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062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34102914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8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8"/>
          <w:szCs w:val="44"/>
          <w:lang w:val="en-US" w:eastAsia="zh-CN"/>
        </w:rPr>
        <w:t>庆云街道办事处</w:t>
      </w:r>
      <w:r>
        <w:rPr>
          <w:rFonts w:hint="eastAsia" w:ascii="Times New Roman" w:hAnsi="Times New Roman" w:eastAsia="方正小标宋简体" w:cs="Times New Roman"/>
          <w:sz w:val="48"/>
          <w:szCs w:val="44"/>
        </w:rPr>
        <w:t>整体支出</w:t>
      </w:r>
    </w:p>
    <w:p w14:paraId="5B99E8F6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0C7C9B1C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EBEE9F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2D3F381D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C76FC41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11F0B26B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3170AEA2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3505563F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4409CD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85CD12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143B63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4E0FF2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807515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C0D6F6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CC754B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1CC08E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F4E5CB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C60F18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BFB7017"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株洲市芦凇区庆云街道办事处（盖章）</w:t>
      </w:r>
    </w:p>
    <w:p w14:paraId="0875FE96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7C5F8C5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BC1FCCA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8470D3C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7161EF">
      <w:pPr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  <w:t>202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  <w:t>年度株洲市芦凇区庆云街道办事处</w:t>
      </w:r>
    </w:p>
    <w:p w14:paraId="119E6D84">
      <w:pPr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  <w:t>整体支出绩效自评报告</w:t>
      </w:r>
    </w:p>
    <w:p w14:paraId="1C2D120B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0EF420E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BC7FEE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一、部门（单位）基本情况</w:t>
      </w:r>
    </w:p>
    <w:p w14:paraId="60F01F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（一）主要职能</w:t>
      </w:r>
    </w:p>
    <w:p w14:paraId="7CB2D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加强党的建设。落实基层党建工作责任制，加强党对基层治理的全面领导，统筹抓好基层党建工作和基层党组织建设各项制度，增强基层党组织的政治功能和组织功能。推进全面从严治党，强化“两个责任”，确保党的路线方针政策在基层得到全面贯彻落实。</w:t>
      </w:r>
    </w:p>
    <w:p w14:paraId="03EF1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.服务经济发展。统筹落实社区（村）发展的重大决策和社区（村）建设规划，参与辖区公共服务设施建设规划，推动辖区健康、有序、可持续发展。优化发展环境，协助做好企业信息采集、项目发展、优化营商环境等工作。</w:t>
      </w:r>
    </w:p>
    <w:p w14:paraId="5C0D1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3.组织公共服务。组织实施与居民生活密切相关的公共服务，落实劳动就业、社会保障、法律援助、基本医疗卫生、文化旅游体育、环境保护等公共服务方面的相关政策。</w:t>
      </w:r>
    </w:p>
    <w:p w14:paraId="0C57E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4.实施公共管理。科学设置管理网格，对辖区内城市管理、人口管理、社会管理、民生保障等区域性、综合性工作，承担组织领导、综合协调和监督检查职责。</w:t>
      </w:r>
    </w:p>
    <w:p w14:paraId="6C203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5.组织基层执法。整合基层一线执法力量，充分发挥属地管理优势，强化对辖区范围内执法力量的统一指挥和统筹协调，组织开展群众监督和社会监督。</w:t>
      </w:r>
    </w:p>
    <w:p w14:paraId="1211C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6.指导基层治理。指导居（村）民委员会建设，健全自治功能，组织居（村）民和辖区单位参与社区（村）建设和治理。动员和支持各类驻辖区单位、居（村）民、社会组织及志愿者等力量参与社会治理，引导辖区内单位履行社会责任，整合辖区内各种社会力量为社区（村）发展服务。</w:t>
      </w:r>
    </w:p>
    <w:p w14:paraId="01CF0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7.负责公共安全。负责辖区社会治安综合管理和安全生产等有关工作，处理群众来信来访，反映社情民意，化解矛盾纠纷等。</w:t>
      </w:r>
    </w:p>
    <w:p w14:paraId="73523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8.做好国防动员。开展国防教育，抓好征兵工作，组织民兵训练。</w:t>
      </w:r>
    </w:p>
    <w:p w14:paraId="63C3C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9.完成区委、区政府交办的其他工作任务。</w:t>
      </w:r>
    </w:p>
    <w:p w14:paraId="286201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机构情况</w:t>
      </w:r>
    </w:p>
    <w:p w14:paraId="0303F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内设机构设置。株洲市芦淞区庆云街道办事处内设机构5个、财政办公室1个、事业服务中心3个、退役军人服务站1个、综合行政执法大队及人大、纪检监察、人民武装等机构和工会、共青团、妇联等组织，具体如下：</w:t>
      </w:r>
    </w:p>
    <w:p w14:paraId="240CE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1.内设机构：党政办公室、党建办公室、经济发展办公室、民生事务办公室、平安法治和应急管理办公室；</w:t>
      </w:r>
    </w:p>
    <w:p w14:paraId="45CA8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2.其他机构：财政办公室及人大、纪检监察、人民武装等机构和工会、共青团、妇联等组织；</w:t>
      </w:r>
    </w:p>
    <w:p w14:paraId="1A3FF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kern w:val="0"/>
          <w:sz w:val="32"/>
          <w:szCs w:val="32"/>
          <w:lang w:val="en-US" w:eastAsia="zh-CN"/>
        </w:rPr>
        <w:t>3.所属事业单位：社会事务服务中心、生态事务中心、自然资源和村镇建设事务中心、综合行政执法大队、退役军人服务站。</w:t>
      </w:r>
    </w:p>
    <w:p w14:paraId="4BEB41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人员情况。</w:t>
      </w:r>
    </w:p>
    <w:p w14:paraId="1FD4F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年本单位年末实有人数3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人（其中：行政编制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人，事业编制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0F9EAA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1EE4F85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（一）基本支出情况</w:t>
      </w:r>
    </w:p>
    <w:p w14:paraId="5F2AB91E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1.2024年年初预算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资金515.72万元。</w:t>
      </w:r>
    </w:p>
    <w:p w14:paraId="58E31F0F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2.2024年度单位一般公共预算财政拨款收入558.06万元。</w:t>
      </w:r>
    </w:p>
    <w:p w14:paraId="69CA799C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3.2024年度单位一般公共预算财政拨款支出558.06万元，其中：人员经费515.03万元，公用经费43.03万元。</w:t>
      </w:r>
    </w:p>
    <w:p w14:paraId="3E8EA08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（二）项目支出情况</w:t>
      </w:r>
    </w:p>
    <w:p w14:paraId="5B78AB97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1.2024年年初预算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资金15.77万元。</w:t>
      </w:r>
    </w:p>
    <w:p w14:paraId="4A8E7AB5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2.2024年度单位一般公共预算财政拨款收入842.95万元。</w:t>
      </w:r>
    </w:p>
    <w:p w14:paraId="3C21BDBE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3.2024年度单位一般公共预算财政拨款支出842.95万元。</w:t>
      </w:r>
    </w:p>
    <w:p w14:paraId="0ABE25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399A5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我单位政府性基金预算支出6万元，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主要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用于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谭家塅村青少年关爱资金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A9B1D5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212BF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无。</w:t>
      </w:r>
    </w:p>
    <w:p w14:paraId="5D6F844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06AA1D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无。</w:t>
      </w:r>
    </w:p>
    <w:p w14:paraId="7F6A1C1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47E996E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49ADA7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2024年，我单位以习近平新时代中国特色社会主义思想为指导，紧扣落实省政府真抓实干督查激励措施，践行为民服务宗旨，全面履职尽责，守正创新，真抓实干，较好的完成了各项绩效目标。</w:t>
      </w:r>
    </w:p>
    <w:p w14:paraId="4A651AE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财政供养人员控制在预算编制以内，预算执行方面：根据“总量控制、计划管理”的要求从严控制行政经费，压缩公务费开支，严格控制“三公”经费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一是抓学习，强队伍，抓牢思想政治建设，二是重党建、增亮点，不断建强基层组织，三是惠民生、办实事，社会事业蓬勃发展，四是守底线、保安全，街道全域和谐稳定，群众满意度达到95%以上。</w:t>
      </w:r>
    </w:p>
    <w:p w14:paraId="4BBFD2C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（一）抓学习，强队伍，抓牢思想政治建设</w:t>
      </w:r>
    </w:p>
    <w:p w14:paraId="091CE823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深入学习贯彻党的二十大精神，及时跟进学习习近平总书记重要讲话和重要指示批示精神，组织开展“第一议题”学习16次，进行党工委理论学习中心组学习10次，开展党的二十届三中全会精神宣讲学习4次，实现了对党的创新理论学习全覆盖。严格管理意识形态阵地，开展意识形态领域排查10次，进行意识形态分析研判1次，处理网络舆情21条。强化警示教育，开展党纪专题学习研讨11次，传达学习上级关于群众身边不正之风和腐败问题集中整治工作会议、文件精神7次，通报典型案例4件，开展集体廉政谈话1次。坚持问题导向，认真开展自查自纠，街道纪工委立案9件，办结9件。</w:t>
      </w:r>
    </w:p>
    <w:p w14:paraId="38938AB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微软雅黑" w:hAnsi="微软雅黑" w:eastAsia="楷体_GB2312" w:cs="微软雅黑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ascii="楷体_GB2312" w:hAnsi="微软雅黑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10"/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10"/>
          <w:rFonts w:ascii="楷体_GB2312" w:hAnsi="微软雅黑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Style w:val="10"/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</w:t>
      </w:r>
      <w:r>
        <w:rPr>
          <w:rStyle w:val="10"/>
          <w:rFonts w:ascii="楷体_GB2312" w:hAnsi="微软雅黑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党建、增亮点，</w:t>
      </w:r>
      <w:r>
        <w:rPr>
          <w:rStyle w:val="10"/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不断建强基层组织</w:t>
      </w:r>
    </w:p>
    <w:p w14:paraId="41CA9C5F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持续抓好党支部标准化规范化建设，锦绣社区党总支2024年获评“株洲市先进基层党组织称号”。全面推行党建引领小区治理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“1+6”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模式，认真落实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一小区一支部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要求，新建金碧花园、月溪谷2个小区党支部；持续推进红色物业、星级支部创建，碧玉花园有望获评五星级小区党支部。坚持以党建为引领，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将践行全过程人民民主融入基层治理，石宋西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路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增设斑马线、居民区枯树倾倒隐患、望月楼小区护坡上方护栏隐患等系列民生问题得到有效解决，相关经验事迹在湖南省人大、株洲市人大等官媒刊登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打造“同心圆工作室”、“红石榴乐园”阵地，创立“邻里红、同心荟”品牌，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加快推动统战工作融入基层党建和基层治理体系，努力把服务触角延伸到群众家门口。全力推进落实党建引领城市基层治理专项攻坚行动，通过解决老旧小区建宁新村的治理难题，探索出无物业小区“1+365”治理模式。</w:t>
      </w:r>
    </w:p>
    <w:p w14:paraId="6CFF3D4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Style w:val="10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惠民生、办实事，社会事业蓬勃发展</w:t>
      </w:r>
    </w:p>
    <w:p w14:paraId="0F34E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化文明创建，联合职能部门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以整治“六乱”现象为重点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开展集中整治行动5000余次，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办结数字城管案件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15994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件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加强对违章建筑的防控力度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共计拆除房屋6户，控制新增违建5户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，市容市貌整体提升成效显著。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持续提升物业管理水平，顺利完成市政华府、枫溪花园、锦绣江山小区业委会换届工作，丰园公寓、翡翠公园小区选举产生第一届业委会。全面促进就业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，协助组织开展“春风行动·百企万岗”稳就业专项活动，为居民群众提供就业指导，完成失业人员、就业困难人员、新增农村劳动力转就业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758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锦绣社区荣获“2024年省级充分就业社区”称号。扎实做好征兵工作，积极开展征兵宣传，向部队输送高质量新兵6人，圆满完成征兵工作任务。聚焦群众身边的小事、急事、难事，解决四季花园地锁拆除、新屋湾小区护坡修缮、庆云山庄危树砍伐清理、蓝天幼儿园附近护栏维修等民生实事130余件，其中影响较大、惠及居民较多的民生实事16件。</w:t>
      </w:r>
    </w:p>
    <w:p w14:paraId="6892D9D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10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10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）守底线、保安全，街道全域和谐稳定</w:t>
      </w:r>
    </w:p>
    <w:p w14:paraId="620273EC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以安全生产治本攻坚三年行动为抓手，常态化开展专题宣传活动，扎实推进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飞线行动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、电动自行车安全隐患全链条整治等行动，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依法开展安全生产检查933余家，整改安全隐患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65处。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坚持和发展好新时代“枫桥经验”，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开展地毯式、全方位、广覆盖的细致排查，共排查矛盾纠纷369起，调处结案364起，调解成功率保持在较高水平。积极协调福鑫南郡房屋验收办证问题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，派驻党建引领工作组，设立专项经费账户，初步梳理办证流程，实质启动消防改造，协调推进安置工作，维护了群众的合法权益和生命财产安全，有效化解了矛盾纠纷。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全力推进翡翠公园“保交楼”工作，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快速主动争取国家“保交楼”政策，频繁与市政府、市直部门汇报协调解决具体问题，朝着2024年12月31日交付的目标稳步推进续建工程，并积极做好业主群体稳控工作，复工以来未发生一起业主越级上访和集访闹访事件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守牢生态环保底线，全面推进河湖长制工作，常态化做好水质量常态监测保护，对湘江侧种植业高排口问题即知即改，确保问题整改到位不反弹。扎实推进“长江十年禁渔”工作，获得市级真抓实干督查激励。</w:t>
      </w:r>
    </w:p>
    <w:p w14:paraId="58C2298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（二）项目支出绩效情况</w:t>
      </w:r>
    </w:p>
    <w:p w14:paraId="05D66D96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枫溪大道两侧耕地绿化租金2024年度资金及时合规发放，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通过支付耕地租金，完成枫溪大道两侧耕地资金的统一流转，实现应绿尽绿，显著改善道路沿线视觉环境，提升城市形象，并保障被租赁土地农户的合理收益。</w:t>
      </w:r>
    </w:p>
    <w:p w14:paraId="2EC52EA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784E934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（一）履职效能方面</w:t>
      </w:r>
    </w:p>
    <w:p w14:paraId="25F840C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一是绩效管理意识有待深化，全员参与、全程管控的绩效理念尚未完全树立。二是专业队伍体系尚未成型，由财务人员兼任，精力与专业性均难保障。三是人员知识结构较为单一，现有人员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多具备财会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专业技能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，但在政策解读、项目管理及多学科综合应用方面存在短板。</w:t>
      </w:r>
    </w:p>
    <w:p w14:paraId="041C075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（二）预算和绩效管理方面</w:t>
      </w:r>
    </w:p>
    <w:p w14:paraId="4875F0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绩效目标编制不规范，设定不完整。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绩效目标是项目立项、预算执行、绩效评价的依据。现阶段缺乏对资金使用效果、效率、预算执行刚性约束等动态情况具体、有针对性的考量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部分资金仍未按要求设定绩效目标或设定不完整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绩效目标的设定较为空洞，指标没有细化量化，可衡量性不强，甚至存在不合理现象：如重投入轻效益、关键指标设定低于规划要求、量化指标与项目内容无关、目标设置不能体现总体目标实现程度或与计划数、投资额不匹配。</w:t>
      </w:r>
    </w:p>
    <w:p w14:paraId="132F74A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（三）资产和财务管理与政府采购方面</w:t>
      </w:r>
    </w:p>
    <w:p w14:paraId="4908E13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资产管理与预算执行衔接不够紧密。采购环节与年初预算存在偏差，反映出预算约束的刚性有待加强；在管理环节，对资产使用效益的动态评估不足，存在资产超年限使用、更新不及时的情况。</w:t>
      </w:r>
    </w:p>
    <w:p w14:paraId="2388D7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53B72FF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（一）夯实组织基础，建强绩效管理专业队伍。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完善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预算绩效管理专职机构并核定相应编制，构建内部专业力量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系统化开展专业培训、专题调研及跨部门学习交流，着力培养兼具财经知识、政策理解与项目实操能力的复合型人才。重点推动单位主要领导和分管负责人参与绩效管理培训，强化顶层引领与责任意识。</w:t>
      </w:r>
    </w:p>
    <w:p w14:paraId="495456A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（二）健全目标体系，严格绩效管理程序约束。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全面推行绩效目标与项目任务同步下达机制，实现“有项目必设目标”。在事前绩效评估与项目评审基础上，严格遵循具体可衡量、关联可细化、现实可达成、权重相匹配的原则，系统设定能真实反映资金使用范围、方向与预期效果的绩效目标。重点设计具有代表性、指向清晰的产出与效益指标，准确衡量项目实质成效，防止将既有成果简单套用于新项目。</w:t>
      </w:r>
    </w:p>
    <w:p w14:paraId="776E349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（三）优化预算安排，强化资金保障与执行刚性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增强财务人员的预算与绩效一体化管理意识，严格依据预算编制规定，围绕单位年度重点工作任务细化预算内容。项目一经确定，应严格按年初预算予以资金保障，切实保障人员经费与公用经费供给，为单位履职与项目推进提供稳定、可持续的财务支撑。</w:t>
      </w:r>
    </w:p>
    <w:p w14:paraId="72482B60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（四）推进全口径预算与资产数字化管理。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全面强化政府采购预算管理，提升采购预算编制的科学性与完整性，将其作为保障采购质量的关键环节。推进全口径预算编制，将省市转移支付及其他各类资金全部纳入采购预算，细化采购品目与预算金额，制定切实可行的采购实施计划，增强采购工作的前瞻性与规范性，从源头减少执行随意性。同步完善资产管理系统信息化功能，提升资产配置、使用与处置环节的精细化管理水平。</w:t>
      </w:r>
    </w:p>
    <w:p w14:paraId="3D6B8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69B49E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本单位无独立网站，绩效自评报告将在政府门户网站与决算报告一起公开。</w:t>
      </w:r>
    </w:p>
    <w:p w14:paraId="2ACAB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DFC9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附件：1.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年度部门整体支出绩效评价基础数据表</w:t>
      </w:r>
    </w:p>
    <w:p w14:paraId="0A8D4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年度部门整体支出绩效自评表</w:t>
      </w:r>
    </w:p>
    <w:p w14:paraId="4EA33EAA">
      <w:pPr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2098" w:right="1531" w:bottom="1984" w:left="1531" w:header="851" w:footer="1587" w:gutter="0"/>
          <w:pgNumType w:fmt="decimal"/>
          <w:cols w:space="720" w:num="1"/>
          <w:rtlGutter w:val="0"/>
          <w:docGrid w:linePitch="386" w:charSpace="0"/>
        </w:sectPr>
      </w:pPr>
    </w:p>
    <w:p w14:paraId="05910F37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39CBEEC5">
      <w:pPr>
        <w:spacing w:after="120" w:afterLines="50" w:line="600" w:lineRule="exact"/>
        <w:jc w:val="center"/>
        <w:rPr>
          <w:rFonts w:hint="eastAsia" w:ascii="Times New Roman" w:hAnsi="Times New Roman" w:eastAsia="方正小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  <w:lang w:eastAsia="zh-CN"/>
        </w:rPr>
        <w:t>2024</w:t>
      </w:r>
      <w:r>
        <w:rPr>
          <w:rFonts w:hint="eastAsia" w:ascii="Times New Roman" w:hAnsi="Times New Roman" w:eastAsia="方正大标宋简体" w:cs="Times New Roman"/>
          <w:sz w:val="36"/>
          <w:szCs w:val="36"/>
        </w:rPr>
        <w:t>年度部门（单位）整体支出绩效评价基础数据表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AB8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593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FCB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AC9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CD5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19203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F34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E8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59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608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 w14:paraId="44AD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A72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990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39BC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AEAB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4C9B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B8C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CC8A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DBE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6D5E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</w:tr>
      <w:tr w14:paraId="79AE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B9E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0C1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4AE9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C25F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</w:tr>
      <w:tr w14:paraId="06F27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7A3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9E1F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8D15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666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</w:tr>
      <w:tr w14:paraId="1DEB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D71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6A3A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F9BC7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521D9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</w:tr>
      <w:tr w14:paraId="54DC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A18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E10C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546B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A0FD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</w:tr>
      <w:tr w14:paraId="244CF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5D3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FABF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6B99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2C4C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</w:tr>
      <w:tr w14:paraId="639B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843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9CC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8EA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15.77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7FC4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848.95</w:t>
            </w:r>
          </w:p>
        </w:tc>
      </w:tr>
      <w:tr w14:paraId="2A11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A5F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349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1CF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15.77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5AA8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yellow"/>
                <w:lang w:val="en-US" w:eastAsia="zh-CN"/>
              </w:rPr>
              <w:t>848.95</w:t>
            </w:r>
          </w:p>
        </w:tc>
      </w:tr>
      <w:tr w14:paraId="1F39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8AD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E912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2AB2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A5D7D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E42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2FA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203B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E330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C240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06A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D5C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0A58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B8BB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F099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8BF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74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60C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09B1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A6F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FC3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3D4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492A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908.98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579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43.03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F99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908.98</w:t>
            </w:r>
          </w:p>
        </w:tc>
      </w:tr>
      <w:tr w14:paraId="12C2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375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08BE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577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39.03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4F6D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</w:tr>
      <w:tr w14:paraId="73CE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121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A841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2.96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646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C2D5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2.96</w:t>
            </w:r>
          </w:p>
        </w:tc>
      </w:tr>
      <w:tr w14:paraId="14FB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F3C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0279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8D5A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A459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0</w:t>
            </w:r>
          </w:p>
        </w:tc>
      </w:tr>
      <w:tr w14:paraId="7515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845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6EED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ABB4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1E28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7FA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C9C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BDEB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3EAD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17A4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7F3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3E5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469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批复规模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C9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B65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B1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FA5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5CF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0"/>
                <w:szCs w:val="20"/>
              </w:rPr>
              <w:t>投资概算控制率</w:t>
            </w:r>
          </w:p>
        </w:tc>
      </w:tr>
      <w:tr w14:paraId="6BCF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5D4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636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05A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4AC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46C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FF7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62E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10BA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51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8B60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厉行节约，严格按要求压减一般性支出　</w:t>
            </w:r>
          </w:p>
        </w:tc>
      </w:tr>
    </w:tbl>
    <w:p w14:paraId="410EF8E9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color w:val="auto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2"/>
        </w:rPr>
        <w:t>项目支出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2"/>
        </w:rPr>
        <w:t>需要填报基本支出以外的所有项目支出情况，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2"/>
        </w:rPr>
        <w:t>公用经费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2"/>
        </w:rPr>
        <w:t>填报基本支出中的一般商品和服务支出。</w:t>
      </w:r>
    </w:p>
    <w:p w14:paraId="20C75C6F">
      <w:pPr>
        <w:tabs>
          <w:tab w:val="left" w:pos="7560"/>
        </w:tabs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2"/>
          <w:sz w:val="22"/>
          <w:szCs w:val="22"/>
          <w:highlight w:val="yellow"/>
        </w:rPr>
        <w:sectPr>
          <w:pgSz w:w="11906" w:h="16838"/>
          <w:pgMar w:top="2098" w:right="1531" w:bottom="1984" w:left="1531" w:header="851" w:footer="1587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仿宋_GB2312" w:cs="Times New Roman"/>
          <w:kern w:val="2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/>
        </w:rPr>
        <w:t>林雅婷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</w:rPr>
        <w:t xml:space="preserve">联系电话：28287125 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highlight w:val="yellow"/>
        </w:rPr>
        <w:t>单位负责人签字：</w:t>
      </w:r>
    </w:p>
    <w:p w14:paraId="6EB1163C"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5E91F13D">
      <w:pPr>
        <w:widowControl/>
        <w:spacing w:after="120" w:afterLines="50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eastAsia="zh-CN"/>
        </w:rPr>
        <w:t>2024</w:t>
      </w: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年度部门（单位）整体支出绩效自评表</w:t>
      </w:r>
    </w:p>
    <w:tbl>
      <w:tblPr>
        <w:tblStyle w:val="8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27"/>
        <w:gridCol w:w="1265"/>
        <w:gridCol w:w="1311"/>
        <w:gridCol w:w="1264"/>
        <w:gridCol w:w="714"/>
        <w:gridCol w:w="916"/>
        <w:gridCol w:w="1434"/>
      </w:tblGrid>
      <w:tr w14:paraId="4F62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4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8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株洲市芦凇区庆云街道办事处</w:t>
            </w:r>
          </w:p>
        </w:tc>
      </w:tr>
      <w:tr w14:paraId="5D08C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E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年度预</w:t>
            </w:r>
          </w:p>
          <w:p w14:paraId="52841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算申请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AB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E1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22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1E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76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78E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29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52960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C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7F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6B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531.49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8B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1576.75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97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1702.51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5C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34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92.61%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14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9.2</w:t>
            </w:r>
          </w:p>
        </w:tc>
      </w:tr>
      <w:tr w14:paraId="56F8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6985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9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1401.1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5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727.8</w:t>
            </w:r>
          </w:p>
        </w:tc>
      </w:tr>
      <w:tr w14:paraId="300F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2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4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0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600" w:firstLineChars="3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项目支出：848.95</w:t>
            </w:r>
          </w:p>
        </w:tc>
      </w:tr>
      <w:tr w14:paraId="7AC1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1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9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D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C12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0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4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169.74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6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CA3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0F2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49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E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B79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04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F6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持续加强党的建设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做好民生日常服务工作，不断提高服务水平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加强政策宣传，提高卫生健康水平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完成临时救助、低保户管理工作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；5.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完成春秋两季征兵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；6.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促进社会治理现代化，争创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平安庆云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”；7.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加强应急处理能力建设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；8.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保障工会会员福利、增加单位凝聚力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1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民生日常服务工作，不断提高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政策宣传，提高卫生健康水平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完成临时救助、低保户管理工作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完成春秋两季征兵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促进社会治理现代化，争创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平安庆云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18CE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13B9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0613C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63E9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1362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D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8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1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9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6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4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A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5B3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06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809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24EC0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4622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CB4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2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完成各项任务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2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年底前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6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城乡居民基本医疗保险参保缴费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工作，共计缴费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15135,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5"/>
                <w:szCs w:val="15"/>
                <w:lang w:val="en-US" w:eastAsia="zh-CN"/>
              </w:rPr>
              <w:t>组织民兵培训1次。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完成失业人员、就业困难人员、新增农村劳动力转就业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758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，解决四季花园地锁拆除、新屋湾小区护坡修缮、庆云山庄危树砍伐清理、蓝天幼儿园附近护栏维修等民生实事130余件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3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8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D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F31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8D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6D52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7E3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财政支出进度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D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6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1702.51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0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9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7.5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9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701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79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C7D4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CB8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D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农民人均纯收入水平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6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高于人均水平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9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5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2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6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C0CC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BA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F15E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85F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0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按各活动进度完成             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按预定时间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7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A36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A9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CBFE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B992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D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成本控制在预算范围内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3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不超预算范围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1702.51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C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4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2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C68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6E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7C2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878E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6B7A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3A23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3D25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6D170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3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加速经费发展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5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加速经费发展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7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3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8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E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739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25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6087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5CB0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01B83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9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维护社会稳定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C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社会效益好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2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社会效益好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7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ADCE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BB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8C51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38C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5F122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8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河湖保护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9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河湖保护巡河次数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4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5"/>
                <w:szCs w:val="15"/>
                <w:highlight w:val="none"/>
                <w:lang w:val="en-US" w:eastAsia="zh-CN"/>
              </w:rPr>
              <w:t>全面推进河湖长制工作，常态化做好水质量常态监测保护，扎实推进“长江十年禁渔”工作，2024年开展河湖保护的巡河次数超78次。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3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9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FCB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550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2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安全生产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F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辖区内无重大安全事故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4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798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AA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4AF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4AEA8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68A32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2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A44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7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5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E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F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5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5B6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AF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3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B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86.2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F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2066A1C3">
      <w:pPr>
        <w:tabs>
          <w:tab w:val="left" w:pos="7560"/>
        </w:tabs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2"/>
          <w:sz w:val="22"/>
          <w:szCs w:val="22"/>
        </w:rPr>
        <w:sectPr>
          <w:pgSz w:w="11906" w:h="16838"/>
          <w:pgMar w:top="2098" w:right="1531" w:bottom="1984" w:left="1531" w:header="851" w:footer="1587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仿宋_GB2312" w:cs="Times New Roman"/>
          <w:kern w:val="2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/>
        </w:rPr>
        <w:t>林雅婷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</w:rPr>
        <w:t xml:space="preserve"> 联系电话：28287125 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highlight w:val="yellow"/>
        </w:rPr>
        <w:t>单位负责人签字：</w:t>
      </w:r>
    </w:p>
    <w:p w14:paraId="525EEEC9"/>
    <w:p w14:paraId="1FB77D25"/>
    <w:sectPr>
      <w:type w:val="continuous"/>
      <w:pgSz w:w="11906" w:h="16838"/>
      <w:pgMar w:top="2098" w:right="1531" w:bottom="1984" w:left="1531" w:header="851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DC5608-385F-47E8-ADC2-AE962DCF9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7F253F-A4A3-4AFC-B43E-070F2A351DB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CA24727-B358-4C4B-B60D-51605FCBA2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2CCF0E4-9699-4763-9979-946BB70889D3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  <w:embedRegular r:id="rId5" w:fontKey="{BE330578-9326-46E9-9C39-76B32244F0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071A74A-8ECA-4C3C-9C3D-11D20274B2E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A15FEA09-D849-4CFD-8A95-F204CBD5E8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E35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531D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D531D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7B0F"/>
    <w:multiLevelType w:val="singleLevel"/>
    <w:tmpl w:val="93337B0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TJmZjg5MjRmYWNmZDg1NjVlOTAzMzM4YjgxMzkifQ=="/>
  </w:docVars>
  <w:rsids>
    <w:rsidRoot w:val="6F5059F8"/>
    <w:rsid w:val="0F833182"/>
    <w:rsid w:val="15EA4A30"/>
    <w:rsid w:val="23CD36CA"/>
    <w:rsid w:val="2A7D4A24"/>
    <w:rsid w:val="2CCD690C"/>
    <w:rsid w:val="480E418A"/>
    <w:rsid w:val="4A8E50B1"/>
    <w:rsid w:val="50712142"/>
    <w:rsid w:val="52BC2285"/>
    <w:rsid w:val="5D8F3812"/>
    <w:rsid w:val="6F5059F8"/>
    <w:rsid w:val="730432AB"/>
    <w:rsid w:val="75AC10EA"/>
    <w:rsid w:val="7B4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eastAsia" w:ascii="仿宋" w:hAnsi="仿宋" w:eastAsia="宋体" w:cs="Times New Roman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BodyText1I2"/>
    <w:basedOn w:val="13"/>
    <w:qFormat/>
    <w:uiPriority w:val="0"/>
    <w:pPr>
      <w:spacing w:line="360" w:lineRule="auto"/>
      <w:ind w:firstLine="420" w:firstLineChars="200"/>
      <w:textAlignment w:val="baseline"/>
    </w:pPr>
    <w:rPr>
      <w:rFonts w:ascii="方正仿宋_GBK" w:eastAsia="方正仿宋_GBK"/>
      <w:sz w:val="30"/>
    </w:rPr>
  </w:style>
  <w:style w:type="paragraph" w:customStyle="1" w:styleId="13">
    <w:name w:val="BodyText1I"/>
    <w:basedOn w:val="14"/>
    <w:qFormat/>
    <w:uiPriority w:val="0"/>
    <w:pPr>
      <w:spacing w:after="120"/>
      <w:ind w:firstLine="420" w:firstLineChars="100"/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4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4970</Words>
  <Characters>5207</Characters>
  <Lines>0</Lines>
  <Paragraphs>0</Paragraphs>
  <TotalTime>49</TotalTime>
  <ScaleCrop>false</ScaleCrop>
  <LinksUpToDate>false</LinksUpToDate>
  <CharactersWithSpaces>5287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2025-10-14T08:55:00Z</dcterms:created>
  <dc:creator>WPS_1602395793</dc:creator>
  <cp:lastModifiedBy>Ming</cp:lastModifiedBy>
  <dcterms:modified xsi:type="dcterms:W3CDTF">2026-02-27T08:18:04Z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847E7F960D5A49A8B40DC56EF5E97838_13</vt:lpwstr>
  </property>
  <property fmtid="{D5CDD505-2E9C-101B-9397-08002B2CF9AE}" pid="4" name="KSOTemplateDocerSaveRecord">
    <vt:lpwstr>eyJoZGlkIjoiMTdlNzdmYmU0NmYwZjFkMThjYjNiYzgwYjhkYmE5MTUiLCJ1c2VySWQiOiIxNDI3OTU5OTA3In0=</vt:lpwstr>
  </property>
</Properties>
</file>