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383D">
      <w:pPr>
        <w:jc w:val="center"/>
        <w:rPr>
          <w:rFonts w:hint="default" w:ascii="Times New Roman" w:hAnsi="Times New Roman" w:eastAsia="方正小标宋_GBK" w:cs="Times New Roman"/>
          <w:sz w:val="48"/>
          <w:szCs w:val="48"/>
          <w:highlight w:val="none"/>
        </w:rPr>
      </w:pPr>
      <w:bookmarkStart w:id="0" w:name="_GoBack"/>
      <w:bookmarkEnd w:id="0"/>
      <w:r>
        <w:rPr>
          <w:rFonts w:hint="default" w:ascii="Times New Roman" w:hAnsi="Times New Roman" w:eastAsia="方正小标宋_GBK" w:cs="Times New Roman"/>
          <w:sz w:val="48"/>
          <w:szCs w:val="48"/>
          <w:highlight w:val="none"/>
          <w:lang w:val="en-US" w:eastAsia="zh-CN"/>
        </w:rPr>
        <w:t>2024</w:t>
      </w:r>
      <w:r>
        <w:rPr>
          <w:rFonts w:hint="default" w:ascii="Times New Roman" w:hAnsi="Times New Roman" w:eastAsia="方正小标宋_GBK" w:cs="Times New Roman"/>
          <w:sz w:val="48"/>
          <w:szCs w:val="48"/>
          <w:highlight w:val="none"/>
        </w:rPr>
        <w:t>年度株洲市芦淞区自然资源局</w:t>
      </w:r>
    </w:p>
    <w:p w14:paraId="389F3F70">
      <w:pPr>
        <w:jc w:val="center"/>
        <w:rPr>
          <w:rFonts w:hint="default" w:ascii="Times New Roman" w:hAnsi="Times New Roman" w:eastAsia="方正小标宋_GBK" w:cs="Times New Roman"/>
          <w:sz w:val="48"/>
          <w:szCs w:val="48"/>
          <w:highlight w:val="none"/>
        </w:rPr>
      </w:pPr>
      <w:r>
        <w:rPr>
          <w:rFonts w:hint="default" w:ascii="Times New Roman" w:hAnsi="Times New Roman" w:eastAsia="方正小标宋_GBK" w:cs="Times New Roman"/>
          <w:sz w:val="48"/>
          <w:szCs w:val="48"/>
          <w:highlight w:val="none"/>
          <w:lang w:eastAsia="zh-CN"/>
        </w:rPr>
        <w:t>部门整体</w:t>
      </w:r>
      <w:r>
        <w:rPr>
          <w:rFonts w:hint="default" w:ascii="Times New Roman" w:hAnsi="Times New Roman" w:eastAsia="方正小标宋_GBK" w:cs="Times New Roman"/>
          <w:sz w:val="48"/>
          <w:szCs w:val="48"/>
          <w:highlight w:val="none"/>
        </w:rPr>
        <w:t>支出绩效自评报告</w:t>
      </w:r>
    </w:p>
    <w:p w14:paraId="4A02D3C1">
      <w:pPr>
        <w:jc w:val="center"/>
        <w:rPr>
          <w:rFonts w:hint="default" w:ascii="Times New Roman" w:hAnsi="Times New Roman" w:eastAsia="黑体" w:cs="Times New Roman"/>
          <w:sz w:val="32"/>
          <w:szCs w:val="32"/>
          <w:highlight w:val="none"/>
        </w:rPr>
      </w:pPr>
    </w:p>
    <w:p w14:paraId="1EEF7F3A">
      <w:pPr>
        <w:jc w:val="center"/>
        <w:rPr>
          <w:rFonts w:hint="default" w:ascii="Times New Roman" w:hAnsi="Times New Roman" w:eastAsia="黑体" w:cs="Times New Roman"/>
          <w:sz w:val="32"/>
          <w:szCs w:val="32"/>
          <w:highlight w:val="none"/>
        </w:rPr>
      </w:pPr>
    </w:p>
    <w:p w14:paraId="7B81B188">
      <w:pPr>
        <w:jc w:val="center"/>
        <w:rPr>
          <w:rFonts w:hint="default" w:ascii="Times New Roman" w:hAnsi="Times New Roman" w:eastAsia="黑体" w:cs="Times New Roman"/>
          <w:sz w:val="32"/>
          <w:szCs w:val="32"/>
          <w:highlight w:val="none"/>
        </w:rPr>
      </w:pPr>
    </w:p>
    <w:p w14:paraId="7A103D94">
      <w:pPr>
        <w:jc w:val="center"/>
        <w:rPr>
          <w:rFonts w:hint="default" w:ascii="Times New Roman" w:hAnsi="Times New Roman" w:eastAsia="黑体" w:cs="Times New Roman"/>
          <w:sz w:val="32"/>
          <w:szCs w:val="32"/>
          <w:highlight w:val="none"/>
        </w:rPr>
      </w:pPr>
    </w:p>
    <w:p w14:paraId="5628FE7D">
      <w:pPr>
        <w:jc w:val="center"/>
        <w:rPr>
          <w:rFonts w:hint="default" w:ascii="Times New Roman" w:hAnsi="Times New Roman" w:eastAsia="黑体" w:cs="Times New Roman"/>
          <w:sz w:val="32"/>
          <w:szCs w:val="32"/>
          <w:highlight w:val="none"/>
        </w:rPr>
      </w:pPr>
    </w:p>
    <w:p w14:paraId="29548FAA">
      <w:pPr>
        <w:jc w:val="center"/>
        <w:rPr>
          <w:rFonts w:hint="default" w:ascii="Times New Roman" w:hAnsi="Times New Roman" w:eastAsia="黑体" w:cs="Times New Roman"/>
          <w:sz w:val="32"/>
          <w:szCs w:val="32"/>
          <w:highlight w:val="none"/>
        </w:rPr>
      </w:pPr>
    </w:p>
    <w:p w14:paraId="30F579D1">
      <w:pPr>
        <w:jc w:val="center"/>
        <w:rPr>
          <w:rFonts w:hint="default" w:ascii="Times New Roman" w:hAnsi="Times New Roman" w:eastAsia="黑体" w:cs="Times New Roman"/>
          <w:sz w:val="32"/>
          <w:szCs w:val="32"/>
          <w:highlight w:val="none"/>
        </w:rPr>
      </w:pPr>
    </w:p>
    <w:p w14:paraId="59831AB3">
      <w:pPr>
        <w:ind w:firstLine="880" w:firstLineChars="200"/>
        <w:jc w:val="center"/>
        <w:rPr>
          <w:rFonts w:hint="default" w:ascii="Times New Roman" w:hAnsi="Times New Roman" w:eastAsia="黑体" w:cs="Times New Roman"/>
          <w:sz w:val="44"/>
          <w:szCs w:val="44"/>
          <w:highlight w:val="none"/>
        </w:rPr>
      </w:pPr>
    </w:p>
    <w:p w14:paraId="21758FB6">
      <w:pPr>
        <w:ind w:firstLine="880" w:firstLineChars="200"/>
        <w:jc w:val="center"/>
        <w:rPr>
          <w:rFonts w:hint="default" w:ascii="Times New Roman" w:hAnsi="Times New Roman" w:eastAsia="黑体" w:cs="Times New Roman"/>
          <w:sz w:val="44"/>
          <w:szCs w:val="44"/>
          <w:highlight w:val="none"/>
        </w:rPr>
      </w:pPr>
    </w:p>
    <w:p w14:paraId="0DF5E764">
      <w:pPr>
        <w:ind w:firstLine="880" w:firstLineChars="200"/>
        <w:jc w:val="center"/>
        <w:rPr>
          <w:rFonts w:hint="default" w:ascii="Times New Roman" w:hAnsi="Times New Roman" w:eastAsia="黑体" w:cs="Times New Roman"/>
          <w:sz w:val="44"/>
          <w:szCs w:val="44"/>
          <w:highlight w:val="none"/>
        </w:rPr>
      </w:pPr>
    </w:p>
    <w:p w14:paraId="7F9A9DB1">
      <w:pPr>
        <w:ind w:firstLine="720" w:firstLineChars="200"/>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单位名称</w:t>
      </w:r>
      <w:r>
        <w:rPr>
          <w:rFonts w:hint="default" w:ascii="Times New Roman" w:hAnsi="Times New Roman" w:eastAsia="黑体" w:cs="Times New Roman"/>
          <w:sz w:val="36"/>
          <w:szCs w:val="36"/>
          <w:highlight w:val="none"/>
          <w:lang w:eastAsia="zh-CN"/>
        </w:rPr>
        <w:t>：</w:t>
      </w:r>
      <w:r>
        <w:rPr>
          <w:rFonts w:hint="default" w:ascii="Times New Roman" w:hAnsi="Times New Roman" w:eastAsia="仿宋_GB2312" w:cs="Times New Roman"/>
          <w:sz w:val="36"/>
          <w:szCs w:val="36"/>
          <w:highlight w:val="none"/>
          <w:u w:val="single"/>
        </w:rPr>
        <w:t>株洲市芦淞区自然资源局（盖章）</w:t>
      </w:r>
    </w:p>
    <w:p w14:paraId="128669E5">
      <w:pPr>
        <w:jc w:val="center"/>
        <w:rPr>
          <w:rFonts w:hint="default" w:ascii="Times New Roman" w:hAnsi="Times New Roman" w:eastAsia="黑体" w:cs="Times New Roman"/>
          <w:sz w:val="36"/>
          <w:szCs w:val="36"/>
          <w:highlight w:val="none"/>
        </w:rPr>
      </w:pPr>
    </w:p>
    <w:p w14:paraId="2AC465C4">
      <w:pPr>
        <w:jc w:val="center"/>
        <w:rPr>
          <w:rFonts w:hint="default" w:ascii="Times New Roman" w:hAnsi="Times New Roman" w:eastAsia="黑体" w:cs="Times New Roman"/>
          <w:sz w:val="32"/>
          <w:szCs w:val="32"/>
          <w:highlight w:val="none"/>
        </w:rPr>
      </w:pPr>
    </w:p>
    <w:p w14:paraId="2CBA6BAA">
      <w:pPr>
        <w:jc w:val="center"/>
        <w:rPr>
          <w:rFonts w:hint="default" w:ascii="Times New Roman" w:hAnsi="Times New Roman" w:eastAsia="黑体" w:cs="Times New Roman"/>
          <w:sz w:val="32"/>
          <w:szCs w:val="32"/>
          <w:highlight w:val="none"/>
        </w:rPr>
      </w:pPr>
    </w:p>
    <w:p w14:paraId="6DDF5515">
      <w:pPr>
        <w:jc w:val="center"/>
        <w:rPr>
          <w:rFonts w:hint="default" w:ascii="Times New Roman" w:hAnsi="Times New Roman" w:eastAsia="黑体" w:cs="Times New Roman"/>
          <w:sz w:val="32"/>
          <w:szCs w:val="32"/>
          <w:highlight w:val="none"/>
        </w:rPr>
      </w:pPr>
    </w:p>
    <w:p w14:paraId="3E340DEB">
      <w:pPr>
        <w:jc w:val="center"/>
        <w:rPr>
          <w:rFonts w:hint="default" w:ascii="Times New Roman" w:hAnsi="Times New Roman" w:eastAsia="黑体" w:cs="Times New Roman"/>
          <w:sz w:val="32"/>
          <w:szCs w:val="32"/>
          <w:highlight w:val="none"/>
        </w:rPr>
      </w:pPr>
    </w:p>
    <w:p w14:paraId="446BA622">
      <w:pPr>
        <w:jc w:val="center"/>
        <w:rPr>
          <w:rFonts w:hint="default" w:ascii="Times New Roman" w:hAnsi="Times New Roman" w:eastAsia="黑体" w:cs="Times New Roman"/>
          <w:sz w:val="32"/>
          <w:szCs w:val="32"/>
          <w:highlight w:val="none"/>
        </w:rPr>
      </w:pPr>
    </w:p>
    <w:p w14:paraId="6347529B">
      <w:pPr>
        <w:jc w:val="center"/>
        <w:rPr>
          <w:rFonts w:hint="default" w:ascii="Times New Roman" w:hAnsi="Times New Roman" w:eastAsia="黑体" w:cs="Times New Roman"/>
          <w:sz w:val="32"/>
          <w:szCs w:val="32"/>
          <w:highlight w:val="none"/>
        </w:rPr>
      </w:pPr>
    </w:p>
    <w:p w14:paraId="68AEA50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C3A22E9">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5EF1F0CC">
      <w:pPr>
        <w:snapToGrid w:val="0"/>
        <w:spacing w:line="560" w:lineRule="exact"/>
        <w:jc w:val="center"/>
        <w:rPr>
          <w:rFonts w:hint="default" w:ascii="Times New Roman" w:hAnsi="Times New Roman" w:eastAsia="方正小标宋_GBK" w:cs="Times New Roman"/>
          <w:sz w:val="52"/>
          <w:szCs w:val="44"/>
          <w:highlight w:val="none"/>
        </w:rPr>
      </w:pPr>
      <w:r>
        <w:rPr>
          <w:rFonts w:hint="default" w:ascii="Times New Roman" w:hAnsi="Times New Roman" w:eastAsia="方正小标宋_GBK" w:cs="Times New Roman"/>
          <w:sz w:val="52"/>
          <w:szCs w:val="44"/>
          <w:highlight w:val="none"/>
        </w:rPr>
        <w:t>202</w:t>
      </w:r>
      <w:r>
        <w:rPr>
          <w:rFonts w:hint="default" w:ascii="Times New Roman" w:hAnsi="Times New Roman" w:eastAsia="方正小标宋_GBK" w:cs="Times New Roman"/>
          <w:sz w:val="52"/>
          <w:szCs w:val="44"/>
          <w:highlight w:val="none"/>
          <w:lang w:val="en-US" w:eastAsia="zh-CN"/>
        </w:rPr>
        <w:t>4</w:t>
      </w:r>
      <w:r>
        <w:rPr>
          <w:rFonts w:hint="default" w:ascii="Times New Roman" w:hAnsi="Times New Roman" w:eastAsia="方正小标宋_GBK" w:cs="Times New Roman"/>
          <w:sz w:val="52"/>
          <w:szCs w:val="44"/>
          <w:highlight w:val="none"/>
        </w:rPr>
        <w:t>年度株洲市芦淞区自然资源局</w:t>
      </w:r>
    </w:p>
    <w:p w14:paraId="0B796678">
      <w:pPr>
        <w:snapToGrid w:val="0"/>
        <w:spacing w:line="560" w:lineRule="exact"/>
        <w:jc w:val="center"/>
        <w:rPr>
          <w:rFonts w:hint="default" w:ascii="Times New Roman" w:hAnsi="Times New Roman" w:eastAsia="方正小标宋_GBK" w:cs="Times New Roman"/>
          <w:sz w:val="52"/>
          <w:szCs w:val="44"/>
          <w:highlight w:val="none"/>
        </w:rPr>
      </w:pPr>
      <w:r>
        <w:rPr>
          <w:rFonts w:hint="default" w:ascii="Times New Roman" w:hAnsi="Times New Roman" w:eastAsia="方正小标宋_GBK" w:cs="Times New Roman"/>
          <w:sz w:val="52"/>
          <w:szCs w:val="44"/>
          <w:highlight w:val="none"/>
        </w:rPr>
        <w:t>部门整体支出绩效自评报告</w:t>
      </w:r>
    </w:p>
    <w:p w14:paraId="78CE3BDD">
      <w:pPr>
        <w:snapToGrid w:val="0"/>
        <w:spacing w:line="560" w:lineRule="exact"/>
        <w:jc w:val="center"/>
        <w:rPr>
          <w:rFonts w:hint="default" w:ascii="Times New Roman" w:hAnsi="Times New Roman" w:eastAsia="方正小标宋简体" w:cs="Times New Roman"/>
          <w:sz w:val="52"/>
          <w:szCs w:val="44"/>
          <w:highlight w:val="none"/>
        </w:rPr>
      </w:pPr>
    </w:p>
    <w:p w14:paraId="36D1B006">
      <w:pPr>
        <w:spacing w:line="600" w:lineRule="exact"/>
        <w:ind w:firstLine="640" w:firstLineChars="200"/>
        <w:jc w:val="center"/>
        <w:rPr>
          <w:rFonts w:hint="default" w:ascii="Times New Roman" w:hAnsi="Times New Roman" w:eastAsia="仿宋_GB2312" w:cs="Times New Roman"/>
          <w:sz w:val="32"/>
          <w:szCs w:val="32"/>
          <w:highlight w:val="none"/>
        </w:rPr>
      </w:pPr>
    </w:p>
    <w:p w14:paraId="5FE526D1">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14:paraId="218F4AD0">
      <w:pPr>
        <w:pStyle w:val="4"/>
        <w:spacing w:line="600" w:lineRule="exact"/>
        <w:ind w:firstLine="640"/>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（一）部门基本情况</w:t>
      </w:r>
    </w:p>
    <w:p w14:paraId="5EF91F31">
      <w:pPr>
        <w:pStyle w:val="4"/>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1．主要职能</w:t>
      </w:r>
    </w:p>
    <w:p w14:paraId="1A5CB314">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芦淞区自然资源局贯彻落实党中央关于自然资源工作的方针政策和决策部署，全面落实省委、市委、区委关于自然资源工作的部署要求，在履行职责过程中坚持和加强党对自然资源工作的集中统一领导。主要职责是：</w:t>
      </w:r>
    </w:p>
    <w:p w14:paraId="05286708">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①协助编制和实施区级国土空间规划。参与辖区内乡（镇）国土空间规划和村庄规划编制，参与辖区内其他规划编制审查。执行土地利用年度计划。</w:t>
      </w:r>
    </w:p>
    <w:p w14:paraId="0A18DCE8">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②承担耕地（特别是永久基本农田）保护相关工作。承担辖区内自然资源所有者权益相关工作；开展辖区内自然资源节约集约利用工作。承担集体土地上的自然资源和不动产的权籍调查、确权登记和权属纠纷调处工作；配合开展辖区内自然资源调查评价工作和年度土地变更调查工作；承办闲置土地处置的具体工作。</w:t>
      </w:r>
    </w:p>
    <w:p w14:paraId="5BA199BC">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③承担辖区内园区工业项目出具规划条件和蓝线，建设用地规划许可、用地管理和建设工程设计方案审查工作。承担辖区内园区基础设施类用地管理工作；负责城市国土空间规划城镇开发边界范围内个人住宅的危房改建审查工作；负责辖区内城市国土空间规划城镇开发边界范围外农村村民住宅建设乡村建设规划许可的审查工作；负责设施农用地备案和不占用耕地的临时用地审批工作。</w:t>
      </w:r>
    </w:p>
    <w:p w14:paraId="03FAC891">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④受市自然资源和规划局委托，负责辖区内工业用地出让、转让和园区土地储备相关工作。</w:t>
      </w:r>
    </w:p>
    <w:p w14:paraId="4DDC06A2">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⑤负责地质灾害预防和治理以及国土空间生态修复相关工作。参与辖区内矿业权出让、转让的前期工作，做好矿产资源合理利用和保护相关工作；做好辖区内测量标志的普查和维护。</w:t>
      </w:r>
    </w:p>
    <w:p w14:paraId="775C4F37">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⑥指导全区造林绿化和森林经营工作。指导森林公园的建设和管理，组织开展森林分类区划界定，组织、指导林地、林权管理，承担森林资源有偿使用和林地综合开发利用工作；负责全区森林防火工作。</w:t>
      </w:r>
    </w:p>
    <w:p w14:paraId="3BD0E1F8">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⑦参与辖区范围内自然资源违法案件查处的相关工作，做好市自然资源和规划局交办的执法监察相关工作。</w:t>
      </w:r>
    </w:p>
    <w:p w14:paraId="5F0B8F65">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⑧做好群众来信来访、信息公开、行政复议及诉讼、依申请听证等工作。</w:t>
      </w:r>
    </w:p>
    <w:p w14:paraId="2B0BAB7F">
      <w:pPr>
        <w:pStyle w:val="4"/>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⑨完成市局和区委、区政府等上级有关部门交办的工作。</w:t>
      </w:r>
    </w:p>
    <w:p w14:paraId="39869AF2">
      <w:pPr>
        <w:pStyle w:val="4"/>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2.机构设置</w:t>
      </w:r>
    </w:p>
    <w:p w14:paraId="36D41DC4">
      <w:pPr>
        <w:pStyle w:val="4"/>
        <w:spacing w:line="600" w:lineRule="exact"/>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株洲市芦淞区自然资源局内设机构包括：办公室、法规股、调查监测和确权登记股、所有者权益和开发利用股、空间规划股、国土空间用途管制股（耕地保护股）、矿产管理和地质环境股、林业股。</w:t>
      </w:r>
    </w:p>
    <w:p w14:paraId="5C0AA6C0">
      <w:pPr>
        <w:pStyle w:val="4"/>
        <w:numPr>
          <w:ilvl w:val="0"/>
          <w:numId w:val="0"/>
        </w:num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 xml:space="preserve">  3.人员情况</w:t>
      </w:r>
    </w:p>
    <w:p w14:paraId="148C5D66">
      <w:pPr>
        <w:pStyle w:val="4"/>
        <w:numPr>
          <w:ilvl w:val="0"/>
          <w:numId w:val="0"/>
        </w:numPr>
        <w:spacing w:line="600" w:lineRule="exact"/>
        <w:ind w:firstLine="640"/>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现有在编人员38人，临聘人员4人，退休人员3人。</w:t>
      </w:r>
    </w:p>
    <w:p w14:paraId="5D8FC3CF">
      <w:pPr>
        <w:pStyle w:val="4"/>
        <w:numPr>
          <w:ilvl w:val="0"/>
          <w:numId w:val="1"/>
        </w:numPr>
        <w:spacing w:line="600" w:lineRule="exact"/>
        <w:ind w:firstLine="640"/>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部门年度整体支出绩效目标，部门专项资金绩效目标、其他项目支出（除省级专项资金以外）绩效目标。</w:t>
      </w:r>
    </w:p>
    <w:p w14:paraId="0BCEE1F4">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国土空间规划：协助编制和实施区级国土空间规划，参与辖区内国土空间规划和村庄规划编制，参与辖区内其他规划编制审查。</w:t>
      </w:r>
    </w:p>
    <w:p w14:paraId="2A89C49F">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耕地保护：严守耕地红线，确保全区耕地保有量和基本农田保护面积不减少。</w:t>
      </w:r>
    </w:p>
    <w:p w14:paraId="68C2F110">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征地拆迁：积极推进民生工程、基础设施、园区产业重点项目的征地拆迁，按期完成市、区政府下达的供地计划内项目的征地拆迁任务。</w:t>
      </w:r>
    </w:p>
    <w:p w14:paraId="0671A431">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规划审查：完成辖区内园区工业项目出具规划条件和蓝线，建设用地规划许可、用地管理和建设工程设计方案审查工作，完成城市国土空间规划城镇开发边界范围内个人住宅的危房改建审查和城市国土空间规划城镇开发边界范围外农村村民住宅建设乡村建设规划许可的审查。</w:t>
      </w:r>
    </w:p>
    <w:p w14:paraId="5D36D8CE">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执法监察：保持治违控违良好态势，形成长效机制,以耕地保护和例行督察挂账问题清零工作为契机，持续加强整改力度，争取整改到位率达100%。</w:t>
      </w:r>
    </w:p>
    <w:p w14:paraId="2936DB35">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地质灾害工作：积极开展地质灾害防治，做好汛期防灾工作，加强与区应急管理局的联系，联合技术单位仔细排查各个地灾点，做好辖区内严重地灾点的搬迁避让工作，继续跟进生态修复工作。</w:t>
      </w:r>
    </w:p>
    <w:p w14:paraId="48E039BA">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确权登记颁证与三调工作：加快完成房地一体确权登记颁证工作以及三调统一时点更新工作,完成集体土地上自然资源和不动产的权籍调查、确权登记和权属纠纷调处工作,配合开展辖区内自然资源调查评价和年度土地变更调查工作。</w:t>
      </w:r>
    </w:p>
    <w:p w14:paraId="3B798BFF">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林业保护：辖区内植树造林和森林防火，绿化面积不减少，无大型责任火灾。</w:t>
      </w:r>
    </w:p>
    <w:p w14:paraId="26516BB9">
      <w:pPr>
        <w:pStyle w:val="4"/>
        <w:spacing w:line="60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48F77F6">
      <w:pPr>
        <w:pStyle w:val="4"/>
        <w:spacing w:line="600" w:lineRule="exact"/>
        <w:ind w:firstLine="643"/>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（一）基本支出情况</w:t>
      </w:r>
    </w:p>
    <w:p w14:paraId="5A73D360">
      <w:pPr>
        <w:pStyle w:val="4"/>
        <w:spacing w:line="600" w:lineRule="exact"/>
        <w:ind w:firstLine="643"/>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color w:val="000000"/>
          <w:sz w:val="32"/>
          <w:szCs w:val="32"/>
          <w:highlight w:val="none"/>
          <w:lang w:eastAsia="zh-CN"/>
        </w:rPr>
        <w:t>2024</w:t>
      </w:r>
      <w:r>
        <w:rPr>
          <w:rFonts w:hint="default" w:ascii="Times New Roman" w:hAnsi="Times New Roman" w:eastAsia="仿宋_GB2312" w:cs="Times New Roman"/>
          <w:b w:val="0"/>
          <w:bCs/>
          <w:color w:val="000000"/>
          <w:sz w:val="32"/>
          <w:szCs w:val="32"/>
          <w:highlight w:val="none"/>
        </w:rPr>
        <w:t>年预算资金1,146.65</w:t>
      </w:r>
      <w:r>
        <w:rPr>
          <w:rFonts w:hint="default" w:ascii="Times New Roman" w:hAnsi="Times New Roman" w:eastAsia="仿宋_GB2312" w:cs="Times New Roman"/>
          <w:b w:val="0"/>
          <w:bCs/>
          <w:color w:val="000000"/>
          <w:sz w:val="32"/>
          <w:szCs w:val="32"/>
          <w:highlight w:val="none"/>
          <w:lang w:eastAsia="zh-CN"/>
        </w:rPr>
        <w:t>万元。</w:t>
      </w:r>
    </w:p>
    <w:p w14:paraId="5055BAB1">
      <w:pPr>
        <w:pStyle w:val="4"/>
        <w:spacing w:line="600" w:lineRule="exact"/>
        <w:ind w:firstLine="64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2、2024年度</w:t>
      </w:r>
      <w:r>
        <w:rPr>
          <w:rFonts w:hint="default" w:ascii="Times New Roman" w:hAnsi="Times New Roman" w:eastAsia="仿宋_GB2312" w:cs="Times New Roman"/>
          <w:color w:val="auto"/>
          <w:sz w:val="32"/>
          <w:szCs w:val="32"/>
          <w:highlight w:val="none"/>
        </w:rPr>
        <w:t>单位一般公共预算财政拨款收入</w:t>
      </w:r>
      <w:r>
        <w:rPr>
          <w:rFonts w:hint="default" w:ascii="Times New Roman" w:hAnsi="Times New Roman" w:eastAsia="仿宋_GB2312" w:cs="Times New Roman"/>
          <w:color w:val="auto"/>
          <w:sz w:val="32"/>
          <w:szCs w:val="32"/>
          <w:highlight w:val="none"/>
          <w:lang w:eastAsia="zh-CN"/>
        </w:rPr>
        <w:t>936.99</w:t>
      </w:r>
      <w:r>
        <w:rPr>
          <w:rFonts w:hint="default" w:ascii="Times New Roman" w:hAnsi="Times New Roman" w:eastAsia="仿宋_GB2312" w:cs="Times New Roman"/>
          <w:color w:val="auto"/>
          <w:sz w:val="32"/>
          <w:szCs w:val="32"/>
          <w:highlight w:val="none"/>
          <w:lang w:val="en-US" w:eastAsia="zh-CN"/>
        </w:rPr>
        <w:t>万元。</w:t>
      </w:r>
    </w:p>
    <w:p w14:paraId="7FA83268">
      <w:pPr>
        <w:spacing w:line="580" w:lineRule="exact"/>
        <w:ind w:firstLine="640" w:firstLineChars="200"/>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2024年度</w:t>
      </w:r>
      <w:r>
        <w:rPr>
          <w:rFonts w:hint="default" w:ascii="Times New Roman" w:hAnsi="Times New Roman" w:eastAsia="仿宋_GB2312" w:cs="Times New Roman"/>
          <w:color w:val="auto"/>
          <w:sz w:val="32"/>
          <w:szCs w:val="32"/>
          <w:highlight w:val="none"/>
        </w:rPr>
        <w:t>单位一般公共预算财政拨款</w:t>
      </w:r>
      <w:r>
        <w:rPr>
          <w:rFonts w:hint="default" w:ascii="Times New Roman" w:hAnsi="Times New Roman" w:eastAsia="仿宋_GB2312" w:cs="Times New Roman"/>
          <w:color w:val="auto"/>
          <w:sz w:val="32"/>
          <w:szCs w:val="32"/>
          <w:highlight w:val="none"/>
          <w:lang w:eastAsia="zh-CN"/>
        </w:rPr>
        <w:t>支出936.99万元。</w:t>
      </w:r>
      <w:r>
        <w:rPr>
          <w:rFonts w:hint="default" w:ascii="Times New Roman" w:hAnsi="Times New Roman" w:eastAsia="仿宋_GB2312" w:cs="Times New Roman"/>
          <w:color w:val="auto"/>
          <w:sz w:val="32"/>
          <w:szCs w:val="32"/>
          <w:highlight w:val="none"/>
        </w:rPr>
        <w:t>其中：项目支出</w:t>
      </w:r>
      <w:r>
        <w:rPr>
          <w:rFonts w:hint="default" w:ascii="Times New Roman" w:hAnsi="Times New Roman" w:eastAsia="仿宋_GB2312" w:cs="Times New Roman"/>
          <w:color w:val="auto"/>
          <w:sz w:val="32"/>
          <w:szCs w:val="32"/>
          <w:highlight w:val="none"/>
          <w:lang w:val="en-US" w:eastAsia="zh-CN"/>
        </w:rPr>
        <w:t>226.95</w:t>
      </w:r>
      <w:r>
        <w:rPr>
          <w:rFonts w:hint="default" w:ascii="Times New Roman" w:hAnsi="Times New Roman" w:eastAsia="仿宋_GB2312" w:cs="Times New Roman"/>
          <w:color w:val="auto"/>
          <w:sz w:val="32"/>
          <w:szCs w:val="32"/>
          <w:highlight w:val="none"/>
        </w:rPr>
        <w:t>万元，基本支出</w:t>
      </w:r>
      <w:r>
        <w:rPr>
          <w:rFonts w:hint="default" w:ascii="Times New Roman" w:hAnsi="Times New Roman" w:eastAsia="仿宋_GB2312" w:cs="Times New Roman"/>
          <w:color w:val="auto"/>
          <w:sz w:val="32"/>
          <w:szCs w:val="32"/>
          <w:highlight w:val="none"/>
          <w:lang w:val="en-US" w:eastAsia="zh-CN"/>
        </w:rPr>
        <w:t>710.04</w:t>
      </w:r>
      <w:r>
        <w:rPr>
          <w:rFonts w:hint="default" w:ascii="Times New Roman" w:hAnsi="Times New Roman" w:eastAsia="仿宋_GB2312" w:cs="Times New Roman"/>
          <w:color w:val="auto"/>
          <w:sz w:val="32"/>
          <w:szCs w:val="32"/>
          <w:highlight w:val="none"/>
        </w:rPr>
        <w:t>万元，其中：人员经费</w:t>
      </w:r>
      <w:r>
        <w:rPr>
          <w:rFonts w:hint="default" w:ascii="Times New Roman" w:hAnsi="Times New Roman" w:eastAsia="仿宋_GB2312" w:cs="Times New Roman"/>
          <w:color w:val="auto"/>
          <w:sz w:val="32"/>
          <w:szCs w:val="32"/>
          <w:highlight w:val="none"/>
          <w:lang w:val="en-US" w:eastAsia="zh-CN"/>
        </w:rPr>
        <w:t>577.81</w:t>
      </w:r>
      <w:r>
        <w:rPr>
          <w:rFonts w:hint="default" w:ascii="Times New Roman" w:hAnsi="Times New Roman" w:eastAsia="仿宋_GB2312" w:cs="Times New Roman"/>
          <w:color w:val="auto"/>
          <w:sz w:val="32"/>
          <w:szCs w:val="32"/>
          <w:highlight w:val="none"/>
        </w:rPr>
        <w:t>万元，公用经费</w:t>
      </w:r>
      <w:r>
        <w:rPr>
          <w:rFonts w:hint="default" w:ascii="Times New Roman" w:hAnsi="Times New Roman" w:eastAsia="仿宋_GB2312" w:cs="Times New Roman"/>
          <w:color w:val="auto"/>
          <w:sz w:val="32"/>
          <w:szCs w:val="32"/>
          <w:highlight w:val="none"/>
          <w:lang w:val="en-US" w:eastAsia="zh-CN"/>
        </w:rPr>
        <w:t>132.23万</w:t>
      </w:r>
      <w:r>
        <w:rPr>
          <w:rFonts w:hint="default" w:ascii="Times New Roman" w:hAnsi="Times New Roman" w:eastAsia="仿宋_GB2312" w:cs="Times New Roman"/>
          <w:color w:val="auto"/>
          <w:sz w:val="32"/>
          <w:szCs w:val="32"/>
          <w:highlight w:val="none"/>
        </w:rPr>
        <w:t>元。</w:t>
      </w:r>
    </w:p>
    <w:p w14:paraId="6EEC3A1E">
      <w:pPr>
        <w:pStyle w:val="4"/>
        <w:spacing w:line="600" w:lineRule="exact"/>
        <w:ind w:firstLine="643"/>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val="en-US" w:eastAsia="zh-CN"/>
        </w:rPr>
        <w:t>二</w:t>
      </w: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val="en-US" w:eastAsia="zh-CN"/>
        </w:rPr>
        <w:t>项目支出情况</w:t>
      </w:r>
    </w:p>
    <w:p w14:paraId="1F2E7E6A">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1、林业项目支出185.11万元（其中：生态护林员补助16.38万元；生态公益林补偿资金112.96万元；农业保险补贴8.78万元；2023年中央国土绿化试点示范项目资金47.00万元）。</w:t>
      </w:r>
    </w:p>
    <w:p w14:paraId="0CC08BD3">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2、非林业项目支出41.84万元（其中：2023年度“两违”控新增奖励</w:t>
      </w:r>
      <w:r>
        <w:rPr>
          <w:rFonts w:hint="eastAsia" w:ascii="Times New Roman" w:hAnsi="Times New Roman" w:eastAsia="仿宋_GB2312" w:cs="Times New Roman"/>
          <w:color w:val="auto"/>
          <w:kern w:val="2"/>
          <w:sz w:val="32"/>
          <w:szCs w:val="32"/>
          <w:highlight w:val="none"/>
          <w:lang w:val="en-US" w:eastAsia="zh-CN" w:bidi="ar-SA"/>
        </w:rPr>
        <w:t>金</w:t>
      </w:r>
      <w:r>
        <w:rPr>
          <w:rFonts w:hint="default" w:ascii="Times New Roman" w:hAnsi="Times New Roman" w:eastAsia="仿宋_GB2312" w:cs="Times New Roman"/>
          <w:color w:val="auto"/>
          <w:kern w:val="2"/>
          <w:sz w:val="32"/>
          <w:szCs w:val="32"/>
          <w:highlight w:val="none"/>
          <w:lang w:val="en-US" w:eastAsia="zh-CN" w:bidi="ar-SA"/>
        </w:rPr>
        <w:t>资金18.91万元；耕地进出平衡9.30万元；档案整理及归档劳务经费2.25万元；日常变更和国土变更调查技术服务0.09万元；芦淞区友好社区友好村5栋崩塌地质灾害应急治理工程1.29万元；松材线虫病除治项目经费10.00万元）。</w:t>
      </w:r>
    </w:p>
    <w:p w14:paraId="4DE90055">
      <w:pPr>
        <w:pStyle w:val="4"/>
        <w:numPr>
          <w:ilvl w:val="0"/>
          <w:numId w:val="0"/>
        </w:num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22519CEB">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2024年无政府性基金预算支出。</w:t>
      </w:r>
    </w:p>
    <w:p w14:paraId="33DD6878">
      <w:pPr>
        <w:pStyle w:val="4"/>
        <w:spacing w:line="60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四、国有资本经营预算支出情况</w:t>
      </w:r>
    </w:p>
    <w:p w14:paraId="62499166">
      <w:pPr>
        <w:pStyle w:val="4"/>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2024年无国有资本经营预算支出。</w:t>
      </w:r>
    </w:p>
    <w:p w14:paraId="5F4EF52D">
      <w:pPr>
        <w:pStyle w:val="4"/>
        <w:spacing w:line="60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0567871D">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2024年无社会保险基金预算支出。</w:t>
      </w:r>
    </w:p>
    <w:p w14:paraId="32867BDD">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lang w:eastAsia="zh-CN"/>
        </w:rPr>
        <w:t>资金使用及</w:t>
      </w:r>
      <w:r>
        <w:rPr>
          <w:rFonts w:hint="default" w:ascii="Times New Roman" w:hAnsi="Times New Roman" w:eastAsia="黑体" w:cs="Times New Roman"/>
          <w:sz w:val="32"/>
          <w:szCs w:val="32"/>
          <w:highlight w:val="none"/>
        </w:rPr>
        <w:t>绩效情况</w:t>
      </w:r>
    </w:p>
    <w:p w14:paraId="36B0E7C9">
      <w:pPr>
        <w:spacing w:line="600" w:lineRule="exact"/>
        <w:ind w:firstLine="640" w:firstLineChars="200"/>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(一）部门整体支出绩效情况</w:t>
      </w:r>
    </w:p>
    <w:p w14:paraId="70FDA52D">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本单位202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年年初预算资金总计1,146.65万元，实际单位年度总支出</w:t>
      </w:r>
      <w:r>
        <w:rPr>
          <w:rFonts w:hint="default" w:ascii="Times New Roman" w:hAnsi="Times New Roman" w:eastAsia="仿宋_GB2312" w:cs="Times New Roman"/>
          <w:color w:val="auto"/>
          <w:sz w:val="32"/>
          <w:szCs w:val="32"/>
          <w:highlight w:val="none"/>
          <w:lang w:eastAsia="zh-CN"/>
        </w:rPr>
        <w:t>936.99</w:t>
      </w:r>
      <w:r>
        <w:rPr>
          <w:rFonts w:hint="default" w:ascii="Times New Roman" w:hAnsi="Times New Roman" w:eastAsia="仿宋_GB2312" w:cs="Times New Roman"/>
          <w:color w:val="000000"/>
          <w:sz w:val="32"/>
          <w:szCs w:val="32"/>
          <w:highlight w:val="none"/>
          <w:lang w:eastAsia="zh-CN"/>
        </w:rPr>
        <w:t>万元，预算执行率为</w:t>
      </w:r>
      <w:r>
        <w:rPr>
          <w:rFonts w:hint="default" w:ascii="Times New Roman" w:hAnsi="Times New Roman" w:eastAsia="仿宋_GB2312" w:cs="Times New Roman"/>
          <w:color w:val="000000"/>
          <w:sz w:val="32"/>
          <w:szCs w:val="32"/>
          <w:highlight w:val="none"/>
          <w:lang w:val="en-US" w:eastAsia="zh-CN"/>
        </w:rPr>
        <w:t>81.72</w:t>
      </w:r>
      <w:r>
        <w:rPr>
          <w:rFonts w:hint="default" w:ascii="Times New Roman" w:hAnsi="Times New Roman" w:eastAsia="仿宋_GB2312" w:cs="Times New Roman"/>
          <w:color w:val="000000"/>
          <w:sz w:val="32"/>
          <w:szCs w:val="32"/>
          <w:highlight w:val="none"/>
          <w:lang w:eastAsia="zh-CN"/>
        </w:rPr>
        <w:t>%。</w:t>
      </w:r>
    </w:p>
    <w:p w14:paraId="486B29B0">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在区委、区政府的正确领导下，在各位领导关怀帮助下，我局紧紧围绕“区域经济要发展，要素保障要先行”的理念，加大土地要素保障力度，加强自然资源和林业行业管理，圆满完成了上级交办的各项任务。</w:t>
      </w:r>
    </w:p>
    <w:p w14:paraId="2017F356">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1.党的领导不断加强。深入贯彻落实习近平总书记关于</w:t>
      </w:r>
      <w:r>
        <w:rPr>
          <w:rFonts w:hint="eastAsia" w:eastAsia="仿宋_GB2312" w:cs="Times New Roman"/>
          <w:color w:val="000000"/>
          <w:sz w:val="32"/>
          <w:szCs w:val="32"/>
          <w:highlight w:val="none"/>
          <w:lang w:eastAsia="zh-CN"/>
        </w:rPr>
        <w:t>党纪学习教育</w:t>
      </w:r>
      <w:r>
        <w:rPr>
          <w:rFonts w:hint="default" w:ascii="Times New Roman" w:hAnsi="Times New Roman" w:eastAsia="仿宋_GB2312" w:cs="Times New Roman"/>
          <w:color w:val="000000"/>
          <w:sz w:val="32"/>
          <w:szCs w:val="32"/>
          <w:highlight w:val="none"/>
          <w:lang w:eastAsia="zh-CN"/>
        </w:rPr>
        <w:t>重要指示精神,按照区委党纪学习教育工作专班统一部署，认真开展全局</w:t>
      </w:r>
      <w:r>
        <w:rPr>
          <w:rFonts w:hint="eastAsia" w:eastAsia="仿宋_GB2312" w:cs="Times New Roman"/>
          <w:color w:val="000000"/>
          <w:sz w:val="32"/>
          <w:szCs w:val="32"/>
          <w:highlight w:val="none"/>
          <w:lang w:eastAsia="zh-CN"/>
        </w:rPr>
        <w:t>党纪学习教育</w:t>
      </w:r>
      <w:r>
        <w:rPr>
          <w:rFonts w:hint="default" w:ascii="Times New Roman" w:hAnsi="Times New Roman" w:eastAsia="仿宋_GB2312" w:cs="Times New Roman"/>
          <w:color w:val="000000"/>
          <w:sz w:val="32"/>
          <w:szCs w:val="32"/>
          <w:highlight w:val="none"/>
          <w:lang w:eastAsia="zh-CN"/>
        </w:rPr>
        <w:t>，及时落实上级党组织交派的各项工作任务，开展各项组织活动，党员队伍思想政治素质得到进一步提升。积极与社区共联共建，赴白关镇白关社区开展“4.22第55个世界地球日珍爱美丽地球守护自然资源”宣传活动、建宁街道车站路社区开展平安夜巡工作，充分发挥战斗堡垒作用和先锋模范带头作用。</w:t>
      </w:r>
    </w:p>
    <w:p w14:paraId="20ED24A5">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2.资源管理更加科学。一是按时推进年度耕地恢复工作。向各涉农镇办下发了《自然资源工作任务清单》《关于加快落实耕地恢复、整改任务的督办函》《关于加快落实耕地恢复的提示函》，明确目标任务、时间节点及耕种标准，全面推进耕地恢复图斑耕种及举证工作，目前已省级审核通过220亩。二是落实2023年度承诺耕种任务。针对2023年度恢复耕地承诺耕种工作，区局迅速将任务细化分解至各涉农镇办，并下发工作清单，联合第三方技术服务单位，通过动态培训、线上指导、微信实时答疑解惑等方式，提高举证工作质量，并分队深入开展实地核查督导，104.25亩耕种任务已全部通过省级审核，完成率100%。三是严格耕地进出平衡。加强耕地流向其他农用地的管理，尤其是设施农用地的管理，严格执行无计划不用地，编制《2024年芦淞区耕地进出平衡总体方案》，预计12月底完成编制并报市人民政府、省自然资源厅备案。</w:t>
      </w:r>
    </w:p>
    <w:p w14:paraId="39BD2C16">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3.服务大局更加有为。一是编制白关镇国土空间规划。已完成基础调研、咨询论证、公示、听证公告挂网等环节，待上市规委会专题会议题通过；开展5个省级重点村庄(白关村、宋家湾村、线江村、东庄村、云山村)规划质量提升工作，已完成公示和村民代表大会意见征求和区级市级部门联审，已向省财政厅、省自然资源厅申请下达村庄规划质量提升省级财政奖补资金，进入招标程序。二是有序推进工业用地供应。完成协议出让土地供应3宗，分别为绿色预拌砂浆和预拌混凝土生产地块一、绿色预拌砂浆和预拌混凝土生产地块二、江渌路工业地块三期补征地块，签订《国有建设用地使用权出让合同》4本，出具规划条件通知书10本，完成土地网挂公示3宗，土地评估招标6宗，工业项目建设工程验线9宗，工业项目建设工程竣工规划核实7宗，配合既有住宅加装电梯的规划审查10宗，推进集体经营性建设用地项目3宗。三是高效完成土地收储。根据“成熟一块，收储一块”的原则，完成土地收储2宗，分别为芙蓉公司教育用地地块一和地块二，收储面积18.51亩，预计收益110余万元；申报土地储备专项债地块2宗，金额4亿元，为形成实物工作量、满足本地实际需求奠定坚实基础</w:t>
      </w:r>
      <w:r>
        <w:rPr>
          <w:rFonts w:hint="eastAsia" w:eastAsia="仿宋_GB2312" w:cs="Times New Roman"/>
          <w:color w:val="000000"/>
          <w:sz w:val="32"/>
          <w:szCs w:val="32"/>
          <w:highlight w:val="none"/>
          <w:lang w:eastAsia="zh-CN"/>
        </w:rPr>
        <w:t>。</w:t>
      </w:r>
    </w:p>
    <w:p w14:paraId="4E8C8C10">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基础工作更加扎实。一是用好资源督察工作方法。2024年国家自然资源督察反馈问题0新增，省土地卫片反馈问题8个，整改完成8个，整改率100%；省级例行督察总任务98个，已完成57个，持续整改29个，未完成12个，整改率87.75%；农村乱占耕地建房补充摸排图斑总数共计2177个，均已通过省级审核；开展存量违法占用耕地问题整改“百日攻坚”行动，提高政治站位，压实工作责任，主动担当作为，切实推动存量违法用地整改；积极处理“两违”信访举报，对违法建设违法用地抓实抓细，从早处置，共回复处理“两违”信访举报、市长热线等140余件。二是完成芦淞区非经营性自建房合法合规性销号。全区共完成非经营性自建房合法合规性销号9521宗，完成率100%。三是加强地质灾害宣传与防治。在白关镇线江村举行地质灾害应急避险演练活动，增强干部群众防灾、避险自救意识，提高抢险救灾的快速反应能力和应对能力，完善抢险救灾体系；全年共巡排查地灾隐患点268次，排查小型新增隐患26处，主汛期间，共出动120余人次，巡排查新旧隐患点150余处。</w:t>
      </w:r>
    </w:p>
    <w:p w14:paraId="601427DF">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民生保障更加务实。一是完成集体土地所有权确权登记成果更新汇交。我区应登记发证宗地数1325宗，落宗率100%，颁发集体土地所有权不动产首证5本。二是严格落实林长制工作。今年以来，区级林长巡林60次，镇、街道级林长巡林1022次；各级林长通过履职有效推动了森林防火带两年行动、中央财政国土绿化示范项目等项目建设、协调解决了松杉线虫治理、公益林资金发放等诸多问题；推行“林长+志愿者”和“林长+检察长”协作机制，充分发动社会力量，开展义务植树活动2次，共栽植苗木三千余株，面积约20亩；批准占用林地8宗，面积2.49公顷，完成项目森林林木采伐手续2宗，面积76公顷，蓄积量2200立方米；积极推进中央财政国土绿化试点示范项目，已完成林地清理3350亩；加强林业有害生物防控，完成疫木除治1441株，完成率为175%；为白关镇争取2024年度省级林长制激励奖并获得奖补资金40万元。三是抓实森林草原防灭火工作。开展森林防灭火培训，利用多种节日进行宣传，发放宣传资料1600余份，悬挂宣传横幅300多条；加强值班检查，严格落实特护期 24 小时值班制度，对火源隐患点和易燃物进行清理排查。四是妥善处理信访投诉。全年共处理信访投诉（举报）165件，已处理回复91件，退转74件，多为违章搭建类。</w:t>
      </w:r>
    </w:p>
    <w:p w14:paraId="6AC8F908">
      <w:pPr>
        <w:numPr>
          <w:ilvl w:val="0"/>
          <w:numId w:val="0"/>
        </w:numPr>
        <w:spacing w:line="600" w:lineRule="exact"/>
        <w:ind w:firstLine="640" w:firstLineChars="200"/>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（二）专项资金支出绩效情况</w:t>
      </w:r>
    </w:p>
    <w:p w14:paraId="27F38372">
      <w:pPr>
        <w:pStyle w:val="4"/>
        <w:spacing w:line="600" w:lineRule="exact"/>
        <w:ind w:firstLine="64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本部门202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年年初预算专项资金共3个，具体情况如下：</w:t>
      </w:r>
    </w:p>
    <w:p w14:paraId="0E2A4524">
      <w:pPr>
        <w:pStyle w:val="4"/>
        <w:spacing w:line="600" w:lineRule="exact"/>
        <w:ind w:firstLine="64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一是机关运转经费：年初预算资金58.68万元，年中执行调减</w:t>
      </w:r>
      <w:r>
        <w:rPr>
          <w:rFonts w:hint="eastAsia" w:ascii="Times New Roman" w:hAnsi="Times New Roman" w:eastAsia="仿宋_GB2312" w:cs="Times New Roman"/>
          <w:color w:val="000000"/>
          <w:sz w:val="32"/>
          <w:szCs w:val="32"/>
          <w:highlight w:val="none"/>
          <w:lang w:val="en-US" w:eastAsia="zh-CN"/>
        </w:rPr>
        <w:t>3.87</w:t>
      </w:r>
      <w:r>
        <w:rPr>
          <w:rFonts w:hint="default" w:ascii="Times New Roman" w:hAnsi="Times New Roman" w:eastAsia="仿宋_GB2312" w:cs="Times New Roman"/>
          <w:color w:val="000000"/>
          <w:sz w:val="32"/>
          <w:szCs w:val="32"/>
          <w:highlight w:val="none"/>
          <w:lang w:eastAsia="zh-CN"/>
        </w:rPr>
        <w:t>万元，实际支出</w:t>
      </w:r>
      <w:r>
        <w:rPr>
          <w:rFonts w:hint="default" w:ascii="Times New Roman" w:hAnsi="Times New Roman" w:eastAsia="仿宋_GB2312" w:cs="Times New Roman"/>
          <w:color w:val="000000"/>
          <w:sz w:val="32"/>
          <w:szCs w:val="32"/>
          <w:highlight w:val="none"/>
          <w:lang w:val="en-US" w:eastAsia="zh-CN"/>
        </w:rPr>
        <w:t>54.81</w:t>
      </w:r>
      <w:r>
        <w:rPr>
          <w:rFonts w:hint="default" w:ascii="Times New Roman" w:hAnsi="Times New Roman" w:eastAsia="仿宋_GB2312" w:cs="Times New Roman"/>
          <w:color w:val="000000"/>
          <w:sz w:val="32"/>
          <w:szCs w:val="32"/>
          <w:highlight w:val="none"/>
          <w:lang w:eastAsia="zh-CN"/>
        </w:rPr>
        <w:t>万元，结余结转</w:t>
      </w:r>
      <w:r>
        <w:rPr>
          <w:rFonts w:hint="eastAsia"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lang w:eastAsia="zh-CN"/>
        </w:rPr>
        <w:t>万元。该专项资金主要用于机关正常运转支出。</w:t>
      </w:r>
    </w:p>
    <w:p w14:paraId="06F9B43B">
      <w:pPr>
        <w:pStyle w:val="4"/>
        <w:spacing w:line="600" w:lineRule="exact"/>
        <w:ind w:firstLine="64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二是国土林业专项：年初预算资金352.00 万元，年中执行调</w:t>
      </w:r>
      <w:r>
        <w:rPr>
          <w:rFonts w:hint="eastAsia" w:ascii="Times New Roman" w:hAnsi="Times New Roman" w:eastAsia="仿宋_GB2312" w:cs="Times New Roman"/>
          <w:color w:val="000000"/>
          <w:sz w:val="32"/>
          <w:szCs w:val="32"/>
          <w:highlight w:val="none"/>
          <w:lang w:eastAsia="zh-CN"/>
        </w:rPr>
        <w:t>减</w:t>
      </w:r>
      <w:r>
        <w:rPr>
          <w:rFonts w:hint="eastAsia" w:ascii="Times New Roman" w:hAnsi="Times New Roman" w:eastAsia="仿宋_GB2312" w:cs="Times New Roman"/>
          <w:color w:val="000000"/>
          <w:sz w:val="32"/>
          <w:szCs w:val="32"/>
          <w:highlight w:val="none"/>
          <w:lang w:val="en-US" w:eastAsia="zh-CN"/>
        </w:rPr>
        <w:t>166.89</w:t>
      </w:r>
      <w:r>
        <w:rPr>
          <w:rFonts w:hint="default" w:ascii="Times New Roman" w:hAnsi="Times New Roman" w:eastAsia="仿宋_GB2312" w:cs="Times New Roman"/>
          <w:color w:val="000000"/>
          <w:sz w:val="32"/>
          <w:szCs w:val="32"/>
          <w:highlight w:val="none"/>
          <w:lang w:eastAsia="zh-CN"/>
        </w:rPr>
        <w:t>万元，实际支出185.11万元（其中：生态护林员补助16.38万元；生态公益林补偿资金112.96万元；农业保险补贴8.78万元；2023年中央国土绿化试点示范项目资金47.00万元）结余结转</w:t>
      </w:r>
      <w:r>
        <w:rPr>
          <w:rFonts w:hint="eastAsia"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lang w:eastAsia="zh-CN"/>
        </w:rPr>
        <w:t>万元。该专项资金主要用于护林员补助、生态保护修复及发展资金、2023年中央公益林补偿资金、</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023年中央公益林农业保险、2023年中央国土绿化试点示范项目资金等。</w:t>
      </w:r>
    </w:p>
    <w:p w14:paraId="7A18B229">
      <w:pPr>
        <w:pStyle w:val="4"/>
        <w:spacing w:line="600" w:lineRule="exact"/>
        <w:ind w:firstLine="64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三是非林业项目支出：年初预算资金</w:t>
      </w:r>
      <w:r>
        <w:rPr>
          <w:rFonts w:hint="default" w:ascii="Times New Roman" w:hAnsi="Times New Roman" w:eastAsia="仿宋_GB2312" w:cs="Times New Roman"/>
          <w:color w:val="000000"/>
          <w:sz w:val="32"/>
          <w:szCs w:val="32"/>
          <w:highlight w:val="none"/>
          <w:lang w:val="en-US" w:eastAsia="zh-CN"/>
        </w:rPr>
        <w:t>94.00万元，年中执行调</w:t>
      </w:r>
      <w:r>
        <w:rPr>
          <w:rFonts w:hint="eastAsia" w:ascii="Times New Roman" w:hAnsi="Times New Roman" w:eastAsia="仿宋_GB2312" w:cs="Times New Roman"/>
          <w:color w:val="000000"/>
          <w:sz w:val="32"/>
          <w:szCs w:val="32"/>
          <w:highlight w:val="none"/>
          <w:lang w:val="en-US" w:eastAsia="zh-CN"/>
        </w:rPr>
        <w:t>减52.16</w:t>
      </w:r>
      <w:r>
        <w:rPr>
          <w:rFonts w:hint="default" w:ascii="Times New Roman" w:hAnsi="Times New Roman" w:eastAsia="仿宋_GB2312" w:cs="Times New Roman"/>
          <w:color w:val="000000"/>
          <w:sz w:val="32"/>
          <w:szCs w:val="32"/>
          <w:highlight w:val="none"/>
          <w:lang w:val="en-US" w:eastAsia="zh-CN"/>
        </w:rPr>
        <w:t>万元，实际支出41.84万元（其中：2023年度“两违”控新增奖励</w:t>
      </w:r>
      <w:r>
        <w:rPr>
          <w:rFonts w:hint="eastAsia" w:ascii="Times New Roman" w:hAnsi="Times New Roman" w:eastAsia="仿宋_GB2312" w:cs="Times New Roman"/>
          <w:color w:val="000000"/>
          <w:sz w:val="32"/>
          <w:szCs w:val="32"/>
          <w:highlight w:val="none"/>
          <w:lang w:val="en-US" w:eastAsia="zh-CN"/>
        </w:rPr>
        <w:t>金</w:t>
      </w:r>
      <w:r>
        <w:rPr>
          <w:rFonts w:hint="default" w:ascii="Times New Roman" w:hAnsi="Times New Roman" w:eastAsia="仿宋_GB2312" w:cs="Times New Roman"/>
          <w:color w:val="000000"/>
          <w:sz w:val="32"/>
          <w:szCs w:val="32"/>
          <w:highlight w:val="none"/>
          <w:lang w:val="en-US" w:eastAsia="zh-CN"/>
        </w:rPr>
        <w:t>资金18.91万元；耕地进出平衡9.30万元；档案整理及归档劳务经费2.25万元；日常变更和国土变更调查技术服务0.09万元；芦淞区友好社区友好村5栋崩塌地质灾害应急治理工程1.29万元；松材线虫病除治项目经费10.00万元）。结余结转</w:t>
      </w:r>
      <w:r>
        <w:rPr>
          <w:rFonts w:hint="eastAsia"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lang w:val="en-US" w:eastAsia="zh-CN"/>
        </w:rPr>
        <w:t>万元。</w:t>
      </w:r>
      <w:r>
        <w:rPr>
          <w:rFonts w:hint="default" w:ascii="Times New Roman" w:hAnsi="Times New Roman" w:eastAsia="仿宋_GB2312" w:cs="Times New Roman"/>
          <w:color w:val="000000"/>
          <w:sz w:val="32"/>
          <w:szCs w:val="32"/>
          <w:highlight w:val="none"/>
          <w:lang w:eastAsia="zh-CN"/>
        </w:rPr>
        <w:t>该专项资金主要用于</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两违”建设测绘技术服务费、耕地进出平衡项目技术服务费、2023年国土变更专家评审费用、淞区友好村5栋崩塌地质灾害应急治理工程质量保证金等。</w:t>
      </w:r>
    </w:p>
    <w:p w14:paraId="7A9A348F">
      <w:pPr>
        <w:pStyle w:val="4"/>
        <w:spacing w:line="60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334013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（一）管理意识有欠缺。</w:t>
      </w:r>
      <w:r>
        <w:rPr>
          <w:rFonts w:hint="default" w:ascii="Times New Roman" w:hAnsi="Times New Roman" w:eastAsia="仿宋_GB2312" w:cs="Times New Roman"/>
          <w:sz w:val="32"/>
          <w:szCs w:val="32"/>
          <w:highlight w:val="none"/>
        </w:rPr>
        <w:t>预算绩效管理意识没有完全树立起来，在绩效目标设定时，未进行充分调研和论证，部分任务目标仅依照上级下达目标设定，未与本单位实际情况相结合。预算绩效管理的申报是时点目标，而全年实际绩效管理是一个动态过程，绩效目标会不断</w:t>
      </w:r>
      <w:r>
        <w:rPr>
          <w:rFonts w:hint="eastAsia"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进行修订和完善，造成年初目标和年末目标会存在较大出入。</w:t>
      </w:r>
    </w:p>
    <w:p w14:paraId="05D55945">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（二）业务水平有待提高。</w:t>
      </w:r>
      <w:r>
        <w:rPr>
          <w:rFonts w:hint="default" w:ascii="Times New Roman" w:hAnsi="Times New Roman" w:eastAsia="仿宋_GB2312" w:cs="Times New Roman"/>
          <w:sz w:val="32"/>
          <w:szCs w:val="32"/>
          <w:highlight w:val="none"/>
        </w:rPr>
        <w:t>预算绩效管理工作时间紧、任务重、专业性强，财务人员不能对全局工作都有全方位了解，造成预算绩效管理指导不到位、认识不到位，理解不充分，对预算绩效管理业务不了解、不熟悉，对工作重点把握不到位。部分绩效目标的数量指标、质量指标缺乏对应性、关联性，可操作性不强。</w:t>
      </w:r>
    </w:p>
    <w:p w14:paraId="09E2622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绩效管理不是财务部门一个部门的事情，需要各个部门的配合，部门间的沟通存在不充分、不到位的情况。</w:t>
      </w:r>
    </w:p>
    <w:p w14:paraId="456EA962">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（三）自评不够客观公正。</w:t>
      </w:r>
      <w:r>
        <w:rPr>
          <w:rFonts w:hint="default" w:ascii="Times New Roman" w:hAnsi="Times New Roman" w:eastAsia="仿宋_GB2312" w:cs="Times New Roman"/>
          <w:sz w:val="32"/>
          <w:szCs w:val="32"/>
          <w:highlight w:val="none"/>
        </w:rPr>
        <w:t>自评时往往依赖于单位年度报告情况，部分绩效目标缺乏相应的信息收集和汇总，影响到自评的客观性和公正性。</w:t>
      </w:r>
    </w:p>
    <w:p w14:paraId="20FA3656">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5997747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（一）提前布局做好谋划。</w:t>
      </w:r>
      <w:r>
        <w:rPr>
          <w:rFonts w:hint="default" w:ascii="Times New Roman" w:hAnsi="Times New Roman" w:eastAsia="仿宋_GB2312" w:cs="Times New Roman"/>
          <w:sz w:val="32"/>
          <w:szCs w:val="32"/>
          <w:highlight w:val="none"/>
        </w:rPr>
        <w:t>以年度工作总结为起点，提前谋划下一年度工作情况，压实科室年度工作目标。</w:t>
      </w:r>
    </w:p>
    <w:p w14:paraId="301E4D6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（二）树立目标意识。</w:t>
      </w:r>
      <w:r>
        <w:rPr>
          <w:rFonts w:hint="default" w:ascii="Times New Roman" w:hAnsi="Times New Roman" w:eastAsia="仿宋_GB2312" w:cs="Times New Roman"/>
          <w:sz w:val="32"/>
          <w:szCs w:val="32"/>
          <w:highlight w:val="none"/>
        </w:rPr>
        <w:t>各业务科室细化并分解目标，申报目标时与预算绩效目标申报牵头科室进行详细沟通，了解目标设立来源、依据，合理、客观的设计目标值。</w:t>
      </w:r>
    </w:p>
    <w:p w14:paraId="5530E403">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（三）加强业务科室沟通。</w:t>
      </w:r>
      <w:r>
        <w:rPr>
          <w:rFonts w:hint="default" w:ascii="Times New Roman" w:hAnsi="Times New Roman" w:eastAsia="仿宋_GB2312" w:cs="Times New Roman"/>
          <w:sz w:val="32"/>
          <w:szCs w:val="32"/>
          <w:highlight w:val="none"/>
        </w:rPr>
        <w:t>从目标来源、目标设立、目标完成、目标评价四个方面，全方位进行沟通并持续交换意见，合理设计并调整相应目标值。</w:t>
      </w:r>
    </w:p>
    <w:p w14:paraId="7227BA1E">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（四）客观评价目标完成情况。</w:t>
      </w:r>
      <w:r>
        <w:rPr>
          <w:rFonts w:hint="default" w:ascii="Times New Roman" w:hAnsi="Times New Roman" w:eastAsia="仿宋_GB2312" w:cs="Times New Roman"/>
          <w:sz w:val="32"/>
          <w:szCs w:val="32"/>
          <w:highlight w:val="none"/>
        </w:rPr>
        <w:t>做到目标完成情况依赖于实际工作、实际资料，做到有成绩有依据，客观评价目标完成情况。</w:t>
      </w:r>
    </w:p>
    <w:p w14:paraId="127FFDA6">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九、绩效自评结果拟应用和公开情况</w:t>
      </w:r>
    </w:p>
    <w:p w14:paraId="4FFD6B80">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通过绩效自评，进一步掌握了资金使用情况和取得的效果。</w:t>
      </w:r>
    </w:p>
    <w:p w14:paraId="389B4C54">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本单位没有独立网站，此次绩效自评报告将与202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年部门决算一起在芦淞区政府信息公开专栏中公开，接受群众监督。</w:t>
      </w:r>
    </w:p>
    <w:p w14:paraId="1F27F1B6">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070811A5">
      <w:pPr>
        <w:spacing w:line="600" w:lineRule="exact"/>
        <w:ind w:firstLine="640" w:firstLineChars="200"/>
        <w:rPr>
          <w:rFonts w:hint="default" w:ascii="Times New Roman" w:hAnsi="Times New Roman" w:eastAsia="黑体" w:cs="Times New Roman"/>
          <w:highlight w:val="none"/>
          <w:lang w:eastAsia="zh-CN"/>
        </w:rPr>
      </w:pPr>
      <w:r>
        <w:rPr>
          <w:rFonts w:hint="default" w:ascii="Times New Roman" w:hAnsi="Times New Roman" w:eastAsia="仿宋_GB2312" w:cs="Times New Roman"/>
          <w:sz w:val="32"/>
          <w:szCs w:val="32"/>
          <w:highlight w:val="none"/>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04E2D-90DB-4A5E-9247-0FFA38F83B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532BFB8-E1B6-4433-8174-C2A1F45BABEB}"/>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3" w:fontKey="{35976B66-F479-4E43-99C7-5469BE5AAAD3}"/>
  </w:font>
  <w:font w:name="仿宋">
    <w:panose1 w:val="02010609060101010101"/>
    <w:charset w:val="86"/>
    <w:family w:val="roman"/>
    <w:pitch w:val="default"/>
    <w:sig w:usb0="800002BF" w:usb1="38CF7CFA" w:usb2="00000016" w:usb3="00000000" w:csb0="00040001" w:csb1="00000000"/>
    <w:embedRegular r:id="rId4" w:fontKey="{C47C58F3-E831-4B67-AA62-F80F0F04E58A}"/>
  </w:font>
  <w:font w:name="方正小标宋简体">
    <w:panose1 w:val="02000000000000000000"/>
    <w:charset w:val="86"/>
    <w:family w:val="script"/>
    <w:pitch w:val="default"/>
    <w:sig w:usb0="00000001" w:usb1="08000000" w:usb2="00000000" w:usb3="00000000" w:csb0="00040000" w:csb1="00000000"/>
    <w:embedRegular r:id="rId5" w:fontKey="{372E49FA-2D07-4542-AD09-2127E3C18753}"/>
  </w:font>
  <w:font w:name="楷体_GB2312">
    <w:altName w:val="楷体"/>
    <w:panose1 w:val="02010609030101010101"/>
    <w:charset w:val="86"/>
    <w:family w:val="modern"/>
    <w:pitch w:val="default"/>
    <w:sig w:usb0="00000000" w:usb1="00000000" w:usb2="00000000" w:usb3="00000000" w:csb0="00040000" w:csb1="00000000"/>
    <w:embedRegular r:id="rId6" w:fontKey="{F6635A6B-BD31-4DB4-8BE1-EB43202BCF6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6C2A0"/>
    <w:multiLevelType w:val="singleLevel"/>
    <w:tmpl w:val="7DD6C2A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2DB58AB"/>
    <w:rsid w:val="03287320"/>
    <w:rsid w:val="03AE3AC0"/>
    <w:rsid w:val="03CB249D"/>
    <w:rsid w:val="03FA6217"/>
    <w:rsid w:val="046063A3"/>
    <w:rsid w:val="048E4A8E"/>
    <w:rsid w:val="04A8621F"/>
    <w:rsid w:val="052D1124"/>
    <w:rsid w:val="05841760"/>
    <w:rsid w:val="058C239E"/>
    <w:rsid w:val="06334EF1"/>
    <w:rsid w:val="06377F01"/>
    <w:rsid w:val="071E5F82"/>
    <w:rsid w:val="072B45AB"/>
    <w:rsid w:val="07582231"/>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017964"/>
    <w:rsid w:val="0D1C42A9"/>
    <w:rsid w:val="0D366EDE"/>
    <w:rsid w:val="0D4B57FA"/>
    <w:rsid w:val="0D60161F"/>
    <w:rsid w:val="0DFB295C"/>
    <w:rsid w:val="0E897C2B"/>
    <w:rsid w:val="0ED94D9B"/>
    <w:rsid w:val="0F957EE7"/>
    <w:rsid w:val="0F9A0948"/>
    <w:rsid w:val="0FA108F2"/>
    <w:rsid w:val="0FB873C3"/>
    <w:rsid w:val="102D3203"/>
    <w:rsid w:val="10593E88"/>
    <w:rsid w:val="10C17504"/>
    <w:rsid w:val="10F06DED"/>
    <w:rsid w:val="11107299"/>
    <w:rsid w:val="1134034B"/>
    <w:rsid w:val="115176A2"/>
    <w:rsid w:val="1225624C"/>
    <w:rsid w:val="129D6027"/>
    <w:rsid w:val="13242D1C"/>
    <w:rsid w:val="13A52CDF"/>
    <w:rsid w:val="146C1DD9"/>
    <w:rsid w:val="14BF24DE"/>
    <w:rsid w:val="14CC54C7"/>
    <w:rsid w:val="14DD5FD7"/>
    <w:rsid w:val="14E33844"/>
    <w:rsid w:val="14EA23A8"/>
    <w:rsid w:val="15A27FE2"/>
    <w:rsid w:val="1627453B"/>
    <w:rsid w:val="17197045"/>
    <w:rsid w:val="175C6F5E"/>
    <w:rsid w:val="179A7791"/>
    <w:rsid w:val="17A47A7E"/>
    <w:rsid w:val="17DC3DC3"/>
    <w:rsid w:val="181F357B"/>
    <w:rsid w:val="188345AC"/>
    <w:rsid w:val="195E168F"/>
    <w:rsid w:val="196A7CDF"/>
    <w:rsid w:val="19C72BF8"/>
    <w:rsid w:val="19CA553D"/>
    <w:rsid w:val="1A4E2E8E"/>
    <w:rsid w:val="1AF51455"/>
    <w:rsid w:val="1B9D302A"/>
    <w:rsid w:val="1BF446CE"/>
    <w:rsid w:val="1C704031"/>
    <w:rsid w:val="1D271A66"/>
    <w:rsid w:val="1D384FE3"/>
    <w:rsid w:val="1DCB47DF"/>
    <w:rsid w:val="1E601115"/>
    <w:rsid w:val="1EB03217"/>
    <w:rsid w:val="1F000FB0"/>
    <w:rsid w:val="1F111AD7"/>
    <w:rsid w:val="1F5A1E7F"/>
    <w:rsid w:val="1FA707DF"/>
    <w:rsid w:val="1FFE7B8C"/>
    <w:rsid w:val="203C025A"/>
    <w:rsid w:val="20775CA3"/>
    <w:rsid w:val="213C23A7"/>
    <w:rsid w:val="217A1AB1"/>
    <w:rsid w:val="22695B47"/>
    <w:rsid w:val="23F6393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0332D9"/>
    <w:rsid w:val="2A5D7E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0F31EA"/>
    <w:rsid w:val="2F7E16D7"/>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9F5F7F"/>
    <w:rsid w:val="4EE91176"/>
    <w:rsid w:val="4EF96755"/>
    <w:rsid w:val="4EFF6E71"/>
    <w:rsid w:val="4F7317CB"/>
    <w:rsid w:val="4F7C135A"/>
    <w:rsid w:val="4FC01EDA"/>
    <w:rsid w:val="50281CF3"/>
    <w:rsid w:val="5039079D"/>
    <w:rsid w:val="5082124F"/>
    <w:rsid w:val="509154B6"/>
    <w:rsid w:val="50BB4683"/>
    <w:rsid w:val="50EC10F9"/>
    <w:rsid w:val="5177797E"/>
    <w:rsid w:val="52F6075F"/>
    <w:rsid w:val="53086FF5"/>
    <w:rsid w:val="5317454F"/>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1FD68D2"/>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257980"/>
    <w:rsid w:val="66A877C4"/>
    <w:rsid w:val="67303E4C"/>
    <w:rsid w:val="67347CE6"/>
    <w:rsid w:val="675A5E15"/>
    <w:rsid w:val="677549A9"/>
    <w:rsid w:val="67F2708D"/>
    <w:rsid w:val="68030691"/>
    <w:rsid w:val="689E76A5"/>
    <w:rsid w:val="68DB1AF2"/>
    <w:rsid w:val="68E0427F"/>
    <w:rsid w:val="68F75735"/>
    <w:rsid w:val="694757F4"/>
    <w:rsid w:val="6A050368"/>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732738"/>
    <w:rsid w:val="778F1D5A"/>
    <w:rsid w:val="7836349E"/>
    <w:rsid w:val="78A55F95"/>
    <w:rsid w:val="794F5B82"/>
    <w:rsid w:val="79C9053D"/>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553FF5"/>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5402</Words>
  <Characters>5758</Characters>
  <Lines>0</Lines>
  <Paragraphs>0</Paragraphs>
  <TotalTime>8</TotalTime>
  <ScaleCrop>false</ScaleCrop>
  <LinksUpToDate>false</LinksUpToDate>
  <CharactersWithSpaces>5764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2026-02-27T08:16:16Z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D9A9417F79E441DB842A8DC4C32F2336_13</vt:lpwstr>
  </property>
  <property fmtid="{D5CDD505-2E9C-101B-9397-08002B2CF9AE}" pid="4" name="KSOTemplateDocerSaveRecord">
    <vt:lpwstr>eyJoZGlkIjoiNDJmMjk1YjcxY2QwYjI4NTNkMzA2MWZjMGM3YzgwNTMiLCJ1c2VySWQiOiIyMzMwMzg2OTYifQ==</vt:lpwstr>
  </property>
</Properties>
</file>