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23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关于《株洲市渌口区政府投资项目管理规程（试行）》的</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修订说明</w:t>
      </w:r>
    </w:p>
    <w:p w14:paraId="44AD21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04885B50">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株洲市</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渌口区政府投资项目管理规程（试行）》的必要性</w:t>
      </w:r>
    </w:p>
    <w:p w14:paraId="1E6B3C88">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2023年11月15日，我区制</w:t>
      </w:r>
      <w:bookmarkStart w:id="0" w:name="_GoBack"/>
      <w:bookmarkEnd w:id="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定并印发了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株洲市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渌口区政府投资项目管理规程（试行）》</w:t>
      </w:r>
      <w:r>
        <w:rPr>
          <w:rFonts w:hint="default" w:ascii="Times New Roman" w:hAnsi="Times New Roman" w:eastAsia="仿宋_GB2312" w:cs="Times New Roman"/>
          <w:color w:val="000000" w:themeColor="text1"/>
          <w:sz w:val="32"/>
          <w:szCs w:val="32"/>
          <w14:textFill>
            <w14:solidFill>
              <w14:schemeClr w14:val="tx1"/>
            </w14:solidFill>
          </w14:textFill>
        </w:rPr>
        <w:t>（渌政发〔202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政府投资项目的决策程序、概算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预算结算</w:t>
      </w:r>
      <w:r>
        <w:rPr>
          <w:rFonts w:hint="default" w:ascii="Times New Roman" w:hAnsi="Times New Roman" w:eastAsia="仿宋_GB2312" w:cs="Times New Roman"/>
          <w:color w:val="000000" w:themeColor="text1"/>
          <w:sz w:val="32"/>
          <w:szCs w:val="32"/>
          <w14:textFill>
            <w14:solidFill>
              <w14:schemeClr w14:val="tx1"/>
            </w14:solidFill>
          </w14:textFill>
        </w:rPr>
        <w:t>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招投标管理、项目资金管理、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奖惩办法及责任追究</w:t>
      </w:r>
      <w:r>
        <w:rPr>
          <w:rFonts w:hint="default" w:ascii="Times New Roman" w:hAnsi="Times New Roman" w:eastAsia="仿宋_GB2312" w:cs="Times New Roman"/>
          <w:color w:val="000000" w:themeColor="text1"/>
          <w:sz w:val="32"/>
          <w:szCs w:val="32"/>
          <w14:textFill>
            <w14:solidFill>
              <w14:schemeClr w14:val="tx1"/>
            </w14:solidFill>
          </w14:textFill>
        </w:rPr>
        <w:t>等方面进行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了</w:t>
      </w:r>
      <w:r>
        <w:rPr>
          <w:rFonts w:hint="default" w:ascii="Times New Roman" w:hAnsi="Times New Roman" w:eastAsia="仿宋_GB2312" w:cs="Times New Roman"/>
          <w:color w:val="000000" w:themeColor="text1"/>
          <w:sz w:val="32"/>
          <w:szCs w:val="32"/>
          <w14:textFill>
            <w14:solidFill>
              <w14:schemeClr w14:val="tx1"/>
            </w14:solidFill>
          </w14:textFill>
        </w:rPr>
        <w:t>规定。</w:t>
      </w:r>
    </w:p>
    <w:p w14:paraId="38004898">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随着《株洲市政府性投资工程招投标操作办法》（株政办发〔2024〕2号）、《湖南省财政厅关于深化财政预算评审改革的实施意见》（湘财预〔2025〕241号）等文件相继出台，政府投资项目在招投标、预结算管理等方面发生了政策变化。</w:t>
      </w:r>
      <w:r>
        <w:rPr>
          <w:rFonts w:hint="default" w:ascii="Times New Roman" w:hAnsi="Times New Roman" w:eastAsia="仿宋_GB2312" w:cs="Times New Roman"/>
          <w:color w:val="000000" w:themeColor="text1"/>
          <w:sz w:val="32"/>
          <w:szCs w:val="32"/>
          <w14:textFill>
            <w14:solidFill>
              <w14:schemeClr w14:val="tx1"/>
            </w14:solidFill>
          </w14:textFill>
        </w:rPr>
        <w:t>为了适应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新形势</w:t>
      </w:r>
      <w:r>
        <w:rPr>
          <w:rFonts w:hint="default" w:ascii="Times New Roman" w:hAnsi="Times New Roman" w:eastAsia="仿宋_GB2312" w:cs="Times New Roman"/>
          <w:color w:val="000000" w:themeColor="text1"/>
          <w:sz w:val="32"/>
          <w:szCs w:val="32"/>
          <w14:textFill>
            <w14:solidFill>
              <w14:schemeClr w14:val="tx1"/>
            </w14:solidFill>
          </w14:textFill>
        </w:rPr>
        <w:t>下的政府投资管理工作，区政府决定对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《株洲市渌口区政府投资项目管理规程（试行）》</w:t>
      </w:r>
      <w:r>
        <w:rPr>
          <w:rFonts w:hint="default" w:ascii="Times New Roman" w:hAnsi="Times New Roman" w:eastAsia="仿宋_GB2312" w:cs="Times New Roman"/>
          <w:color w:val="000000" w:themeColor="text1"/>
          <w:sz w:val="32"/>
          <w:szCs w:val="32"/>
          <w14:textFill>
            <w14:solidFill>
              <w14:schemeClr w14:val="tx1"/>
            </w14:solidFill>
          </w14:textFill>
        </w:rPr>
        <w:t>进行修订。</w:t>
      </w:r>
    </w:p>
    <w:p w14:paraId="634A24B3">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株洲市</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渌口区政府投资项目管理规程（试行）》</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的依据</w:t>
      </w:r>
    </w:p>
    <w:p w14:paraId="03A19B10">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本次修订主要依据《株洲市政府性投资工程招投标操作办法》（株政办发〔2024〕2号）、《湖南省财政厅关于深化财政预算评审改革的实施意见》（湘财预〔2025〕241号）、《财政部 住房城乡建设部关于完善建设工程价款结算有关办法的通知》（财建〔2022〕183号）等相关文件及相关法律法规，并结合渌口区政府投资项目管理实际情况。</w:t>
      </w:r>
    </w:p>
    <w:p w14:paraId="749C2C2B">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株洲市</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渌口区政府投资项目管理规程（试行）》主要</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内容</w:t>
      </w:r>
    </w:p>
    <w:p w14:paraId="41137245">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主要对《株洲市渌口区政府投资项目管理规程（试行）》（渌政发〔2023〕3号）进行了如下修订：</w:t>
      </w:r>
    </w:p>
    <w:p w14:paraId="05365432">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（一）对“项目施工图设计与预算评审管理”章节内容进行了修订。</w:t>
      </w:r>
    </w:p>
    <w:p w14:paraId="7624812E">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1.增加了区财政部门负责项目预算评审、财会监督的内容。</w:t>
      </w:r>
    </w:p>
    <w:p w14:paraId="182CC695">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2.调整了相关招标控制价的内容，修改为：施工图预算由建设单位审核后作为招标控制价，项目招标控制价不得超过项目财政预算。</w:t>
      </w:r>
    </w:p>
    <w:p w14:paraId="47692C83">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3.调整了关于先审后建的内容，修改为：PPP项目、EPC设计施工总承包项目坚持先审后建，项目概算未经财政评审一律不得开工建设。</w:t>
      </w:r>
    </w:p>
    <w:p w14:paraId="237E889C">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（二）对“项目建设管理”章节内容进行了修订。</w:t>
      </w:r>
    </w:p>
    <w:p w14:paraId="19A7D164">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增加了合同签订内容，要求合同条款必须明确合同价款及支付方式及时间节点、农民工工资保障机制、履约保函时效及保函过期的处理方式。并推行合同审查制，合同谈判确定后，在双方签字前应进行合同审查等。</w:t>
      </w:r>
    </w:p>
    <w:p w14:paraId="55B17E5F">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修改了项目结算依据要求，修改为：严格政府投资项目结算依据要求。项目建设单位在发布招标文件和与施工单位订立施工承包合同时，如果约定以区财政部门的评审结果或审计机关的审计结果作为双方办理工程价款结算依据，则应约定预留15%的工程款，并在项目竣工验收后，由建设单位及时办理结算并将结算情况书面报区财政部门或审计机关。</w:t>
      </w:r>
    </w:p>
    <w:p w14:paraId="381145D8">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3.修改了工程量变更规定，修改为：</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严格控制工程变更。工程实施过程中，任何单位不得无故擅自变更，确有必要调整和变更的，应当遵循“先批准，后变更”的程序，增量变更后的总造价不能超过项目控制价。未经批准而自行实施工程变更的，由建设单位或施工单位承担全部责任，并不予支付变更费用。</w:t>
      </w:r>
    </w:p>
    <w:p w14:paraId="062575C1">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（三）对“项目结算管理”章节内容进行了修订</w:t>
      </w:r>
    </w:p>
    <w:p w14:paraId="28460B42">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1.调整了结算送审要求，修改为：</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政府投资结算项目内审结果400万元以下的报送区财政部门接受财会监督，400万元及以上的以及区管国有企业经营性投资的报送区审计部门接受审计监督；政府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和社会资本合作（PPP）、工程总承包和片区综合开发等项目，结算报送区投资审计中心接受审计监督。</w:t>
      </w:r>
    </w:p>
    <w:p w14:paraId="180728E7">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增加了关于过程结算的内容。当年开工、当年不能竣工且合同价在1000万元以上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概（预）算。经双方确认的过程结算文件作为竣工结算文件的组成部分，竣工后原则上不再重复审核。</w:t>
      </w:r>
    </w:p>
    <w:p w14:paraId="1D9C2FD1">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（四）对“奖惩办法及责任追究”章节内容进行了修订</w:t>
      </w:r>
    </w:p>
    <w:p w14:paraId="3E4F5162">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增加了奖励办法文件，修改为：建设单位可在合同中签订概算节约资金奖励条款，对监理、第三方控成本评审节约资金以及设计单位无变更的予以奖励。具体奖励办法参照《株洲市政府投资项目控成本工作指引（试行）》（株财函〔2023〕43号）执行。</w:t>
      </w:r>
    </w:p>
    <w:p w14:paraId="32D8D15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增加了第三方服务机构的管理和取费文件，修改为：第三方服务机构的管理和取费按照《株洲市渌口区项目建设过程社会化第三方服务机构监督管理办法》（渌财联〔2023〕6号）、《株洲市渌口区政府采购项目成本控制操作细则》（渌政办发〔2022〕15号）执行</w:t>
      </w:r>
      <w:r>
        <w:rPr>
          <w:rFonts w:hint="eastAsia"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t>。</w:t>
      </w:r>
    </w:p>
    <w:p w14:paraId="0FC8BD79">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（五）区财政局对附件5《株洲市渌口区政府投资项目变更实施细则》的相关内容进行了修订。</w:t>
      </w:r>
    </w:p>
    <w:p w14:paraId="6FB0835B">
      <w:pPr>
        <w:pStyle w:val="8"/>
        <w:keepNext w:val="0"/>
        <w:keepLines w:val="0"/>
        <w:pageBreakBefore w:val="0"/>
        <w:widowControl w:val="0"/>
        <w:kinsoku/>
        <w:wordWrap/>
        <w:overflowPunct w:val="0"/>
        <w:topLinePunct w:val="0"/>
        <w:autoSpaceDE/>
        <w:autoSpaceDN/>
        <w:bidi w:val="0"/>
        <w:adjustRightInd w:val="0"/>
        <w:snapToGrid w:val="0"/>
        <w:spacing w:line="560" w:lineRule="exact"/>
        <w:ind w:firstLine="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B06C49B">
      <w:pPr>
        <w:pStyle w:val="4"/>
        <w:keepNext w:val="0"/>
        <w:keepLines w:val="0"/>
        <w:pageBreakBefore w:val="0"/>
        <w:widowControl w:val="0"/>
        <w:kinsoku/>
        <w:wordWrap/>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14:paraId="65A3BAAB">
      <w:pPr>
        <w:keepNext w:val="0"/>
        <w:keepLines w:val="0"/>
        <w:pageBreakBefore w:val="0"/>
        <w:widowControl w:val="0"/>
        <w:kinsoku/>
        <w:wordWrap/>
        <w:topLinePunct w:val="0"/>
        <w:autoSpaceDE/>
        <w:autoSpaceDN/>
        <w:bidi w:val="0"/>
        <w:spacing w:line="560" w:lineRule="exact"/>
        <w:ind w:firstLine="640"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0B028A67">
      <w:pPr>
        <w:keepNext w:val="0"/>
        <w:keepLines w:val="0"/>
        <w:pageBreakBefore w:val="0"/>
        <w:widowControl w:val="0"/>
        <w:kinsoku/>
        <w:wordWrap/>
        <w:topLinePunct w:val="0"/>
        <w:autoSpaceDE/>
        <w:autoSpaceDN/>
        <w:bidi w:val="0"/>
        <w:spacing w:line="560" w:lineRule="exact"/>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sectPr>
      <w:footerReference r:id="rId3" w:type="default"/>
      <w:pgSz w:w="11906" w:h="16838"/>
      <w:pgMar w:top="1587"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EA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4DEB1">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4DEB1">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jYmJmZTJiZmJiMWRjZjRkNmY2YjRiOTRiNDQzNmQifQ=="/>
  </w:docVars>
  <w:rsids>
    <w:rsidRoot w:val="00D93534"/>
    <w:rsid w:val="003B3721"/>
    <w:rsid w:val="003B42DD"/>
    <w:rsid w:val="005079BF"/>
    <w:rsid w:val="005534AC"/>
    <w:rsid w:val="00770662"/>
    <w:rsid w:val="009000FE"/>
    <w:rsid w:val="00C43EB3"/>
    <w:rsid w:val="00D93534"/>
    <w:rsid w:val="00FF1520"/>
    <w:rsid w:val="0103164E"/>
    <w:rsid w:val="01535E1A"/>
    <w:rsid w:val="0187402D"/>
    <w:rsid w:val="02C170CB"/>
    <w:rsid w:val="06107E7A"/>
    <w:rsid w:val="0713008D"/>
    <w:rsid w:val="07D66933"/>
    <w:rsid w:val="083D5469"/>
    <w:rsid w:val="085E53BC"/>
    <w:rsid w:val="0888779C"/>
    <w:rsid w:val="097F1E8C"/>
    <w:rsid w:val="0BDB2BA0"/>
    <w:rsid w:val="0C537EA0"/>
    <w:rsid w:val="0CA57A5D"/>
    <w:rsid w:val="0D157DBB"/>
    <w:rsid w:val="0DD71E98"/>
    <w:rsid w:val="0E3530E2"/>
    <w:rsid w:val="0FC87CEA"/>
    <w:rsid w:val="10FC5772"/>
    <w:rsid w:val="13422473"/>
    <w:rsid w:val="14D902A4"/>
    <w:rsid w:val="15316332"/>
    <w:rsid w:val="154642DC"/>
    <w:rsid w:val="15B666F8"/>
    <w:rsid w:val="1615278B"/>
    <w:rsid w:val="161A5018"/>
    <w:rsid w:val="16A6074B"/>
    <w:rsid w:val="17000058"/>
    <w:rsid w:val="17626C76"/>
    <w:rsid w:val="17996410"/>
    <w:rsid w:val="18023FB5"/>
    <w:rsid w:val="181D0DEF"/>
    <w:rsid w:val="18954E2A"/>
    <w:rsid w:val="18A21AD3"/>
    <w:rsid w:val="195E16BF"/>
    <w:rsid w:val="19CE6BC8"/>
    <w:rsid w:val="1A422201"/>
    <w:rsid w:val="1A834500"/>
    <w:rsid w:val="1A9E7AF2"/>
    <w:rsid w:val="1B524842"/>
    <w:rsid w:val="1C060D83"/>
    <w:rsid w:val="1E0D3CA6"/>
    <w:rsid w:val="1EC024D4"/>
    <w:rsid w:val="20140D2A"/>
    <w:rsid w:val="212705E9"/>
    <w:rsid w:val="21352D06"/>
    <w:rsid w:val="22145BA4"/>
    <w:rsid w:val="23642A3D"/>
    <w:rsid w:val="249970EA"/>
    <w:rsid w:val="27473793"/>
    <w:rsid w:val="27D4642D"/>
    <w:rsid w:val="28B27332"/>
    <w:rsid w:val="29F37C02"/>
    <w:rsid w:val="2A2B0031"/>
    <w:rsid w:val="2A5F2BA2"/>
    <w:rsid w:val="2AC714F5"/>
    <w:rsid w:val="2B3A4C37"/>
    <w:rsid w:val="2B473559"/>
    <w:rsid w:val="2BEB4717"/>
    <w:rsid w:val="2C366AB3"/>
    <w:rsid w:val="2D031CD2"/>
    <w:rsid w:val="2DA51213"/>
    <w:rsid w:val="2DC45B3D"/>
    <w:rsid w:val="2DF83A39"/>
    <w:rsid w:val="2F9B233E"/>
    <w:rsid w:val="2FC53D5D"/>
    <w:rsid w:val="306B6744"/>
    <w:rsid w:val="30A67B3C"/>
    <w:rsid w:val="30C23ADA"/>
    <w:rsid w:val="31BE1862"/>
    <w:rsid w:val="345F35E1"/>
    <w:rsid w:val="348C7490"/>
    <w:rsid w:val="34C5194F"/>
    <w:rsid w:val="34EF48FD"/>
    <w:rsid w:val="34FF38FF"/>
    <w:rsid w:val="350470B5"/>
    <w:rsid w:val="350723C1"/>
    <w:rsid w:val="35BA127E"/>
    <w:rsid w:val="35C60C5C"/>
    <w:rsid w:val="365732C7"/>
    <w:rsid w:val="36C26992"/>
    <w:rsid w:val="372672B2"/>
    <w:rsid w:val="38BB43E8"/>
    <w:rsid w:val="38EC419A"/>
    <w:rsid w:val="38F66A17"/>
    <w:rsid w:val="38FF3ECD"/>
    <w:rsid w:val="39316051"/>
    <w:rsid w:val="3BE32B48"/>
    <w:rsid w:val="3D931088"/>
    <w:rsid w:val="3DC12D0A"/>
    <w:rsid w:val="407451A1"/>
    <w:rsid w:val="409228CA"/>
    <w:rsid w:val="411470B2"/>
    <w:rsid w:val="41542D20"/>
    <w:rsid w:val="41953C28"/>
    <w:rsid w:val="436F3116"/>
    <w:rsid w:val="43BD5F5B"/>
    <w:rsid w:val="44824BED"/>
    <w:rsid w:val="45356EC9"/>
    <w:rsid w:val="45450045"/>
    <w:rsid w:val="455D0813"/>
    <w:rsid w:val="4590706F"/>
    <w:rsid w:val="459C6ED3"/>
    <w:rsid w:val="45F65077"/>
    <w:rsid w:val="470365A9"/>
    <w:rsid w:val="475203BF"/>
    <w:rsid w:val="480F755D"/>
    <w:rsid w:val="48550F4C"/>
    <w:rsid w:val="4B4B11F4"/>
    <w:rsid w:val="4C4719BC"/>
    <w:rsid w:val="4D2770F7"/>
    <w:rsid w:val="4F9F45D0"/>
    <w:rsid w:val="50B53F19"/>
    <w:rsid w:val="50FF3217"/>
    <w:rsid w:val="51EA13DA"/>
    <w:rsid w:val="51FF7030"/>
    <w:rsid w:val="53D71DD9"/>
    <w:rsid w:val="54F75F49"/>
    <w:rsid w:val="55A7171D"/>
    <w:rsid w:val="55B503D2"/>
    <w:rsid w:val="55EF6A13"/>
    <w:rsid w:val="565A2B52"/>
    <w:rsid w:val="56B746D9"/>
    <w:rsid w:val="56F74BFE"/>
    <w:rsid w:val="58112E7E"/>
    <w:rsid w:val="58180254"/>
    <w:rsid w:val="597162CA"/>
    <w:rsid w:val="59DD1B06"/>
    <w:rsid w:val="5ADE73FF"/>
    <w:rsid w:val="5AFD6B3F"/>
    <w:rsid w:val="5D544233"/>
    <w:rsid w:val="5E821BC6"/>
    <w:rsid w:val="5FDA1514"/>
    <w:rsid w:val="5FEC1CFE"/>
    <w:rsid w:val="605660D3"/>
    <w:rsid w:val="60A61921"/>
    <w:rsid w:val="60E07891"/>
    <w:rsid w:val="61453906"/>
    <w:rsid w:val="614C4CDF"/>
    <w:rsid w:val="626C3AD2"/>
    <w:rsid w:val="63576530"/>
    <w:rsid w:val="63D35447"/>
    <w:rsid w:val="64405216"/>
    <w:rsid w:val="65FC22CC"/>
    <w:rsid w:val="66E8749F"/>
    <w:rsid w:val="67492B3C"/>
    <w:rsid w:val="681014F3"/>
    <w:rsid w:val="68AA1204"/>
    <w:rsid w:val="68C03B7E"/>
    <w:rsid w:val="69474951"/>
    <w:rsid w:val="6A945905"/>
    <w:rsid w:val="6AAA7680"/>
    <w:rsid w:val="6B601B3A"/>
    <w:rsid w:val="6BA20565"/>
    <w:rsid w:val="6C635F46"/>
    <w:rsid w:val="6CC664D5"/>
    <w:rsid w:val="6DF20202"/>
    <w:rsid w:val="6EB86DBB"/>
    <w:rsid w:val="6ECE2A22"/>
    <w:rsid w:val="6EEC1670"/>
    <w:rsid w:val="72973C1E"/>
    <w:rsid w:val="734E4035"/>
    <w:rsid w:val="73CD625E"/>
    <w:rsid w:val="740718AD"/>
    <w:rsid w:val="75C40209"/>
    <w:rsid w:val="761D53B8"/>
    <w:rsid w:val="76AC04E9"/>
    <w:rsid w:val="76C05D43"/>
    <w:rsid w:val="77DA9527"/>
    <w:rsid w:val="78337B71"/>
    <w:rsid w:val="789E657E"/>
    <w:rsid w:val="79711BFF"/>
    <w:rsid w:val="79E9735F"/>
    <w:rsid w:val="7BBF0CBF"/>
    <w:rsid w:val="7C506F0E"/>
    <w:rsid w:val="7CF6426C"/>
    <w:rsid w:val="7CF67CDF"/>
    <w:rsid w:val="7D93383E"/>
    <w:rsid w:val="7E241519"/>
    <w:rsid w:val="7E521976"/>
    <w:rsid w:val="7F014A77"/>
    <w:rsid w:val="7FEB4C61"/>
    <w:rsid w:val="D5FAB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字符"/>
    <w:basedOn w:val="6"/>
    <w:link w:val="2"/>
    <w:semiHidden/>
    <w:qFormat/>
    <w:uiPriority w:val="99"/>
    <w:rPr>
      <w:sz w:val="18"/>
      <w:szCs w:val="18"/>
    </w:rPr>
  </w:style>
  <w:style w:type="paragraph" w:customStyle="1" w:styleId="8">
    <w:name w:val="Body text|1"/>
    <w:next w:val="4"/>
    <w:qFormat/>
    <w:uiPriority w:val="0"/>
    <w:pPr>
      <w:widowControl w:val="0"/>
      <w:spacing w:line="480" w:lineRule="auto"/>
      <w:ind w:firstLine="400"/>
    </w:pPr>
    <w:rPr>
      <w:rFonts w:ascii="宋体" w:hAnsi="Times New Roman" w:eastAsia="宋体" w:cs="宋体"/>
      <w:color w:val="000000"/>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1775</Words>
  <Characters>1843</Characters>
  <Lines>11</Lines>
  <Paragraphs>3</Paragraphs>
  <TotalTime>5</TotalTime>
  <ScaleCrop>false</ScaleCrop>
  <LinksUpToDate>false</LinksUpToDate>
  <CharactersWithSpaces>1873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2023-08-25T09:53:00Z</dcterms:created>
  <dc:creator>Windows 用户</dc:creator>
  <cp:lastModifiedBy>lzc</cp:lastModifiedBy>
  <cp:lastPrinted>2023-10-16T06:56:00Z</cp:lastPrinted>
  <dcterms:modified xsi:type="dcterms:W3CDTF">2026-02-26T07:00:20Z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1B405EEF6F284474AE4FBD8540698E40_12</vt:lpwstr>
  </property>
  <property fmtid="{D5CDD505-2E9C-101B-9397-08002B2CF9AE}" pid="4" name="KSOTemplateDocerSaveRecord">
    <vt:lpwstr>eyJoZGlkIjoiYTRjYmJmZTJiZmJiMWRjZjRkNmY2YjRiOTRiNDQzNmQiLCJ1c2VySWQiOiIxMDY1NDY4MDU3In0=</vt:lpwstr>
  </property>
</Properties>
</file>