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A1D3B">
      <w:pPr>
        <w:jc w:val="center"/>
        <w:rPr>
          <w:rFonts w:eastAsia="方正小标宋_GBK"/>
          <w:sz w:val="48"/>
          <w:szCs w:val="48"/>
        </w:rPr>
      </w:pPr>
      <w:bookmarkStart w:id="0" w:name="_GoBack"/>
      <w:bookmarkEnd w:id="0"/>
      <w:r>
        <w:rPr>
          <w:rFonts w:hint="eastAsia" w:eastAsia="方正小标宋_GBK"/>
          <w:sz w:val="48"/>
          <w:szCs w:val="48"/>
        </w:rPr>
        <w:t>2024年中国共产党株洲市芦淞区委员会社会工作部</w:t>
      </w:r>
      <w:r>
        <w:rPr>
          <w:rFonts w:eastAsia="方正小标宋_GBK"/>
          <w:sz w:val="48"/>
          <w:szCs w:val="48"/>
        </w:rPr>
        <w:t>部门</w:t>
      </w:r>
      <w:r>
        <w:rPr>
          <w:rFonts w:hint="eastAsia" w:eastAsia="方正小标宋_GBK"/>
          <w:sz w:val="48"/>
          <w:szCs w:val="48"/>
          <w:lang w:eastAsia="zh-CN"/>
        </w:rPr>
        <w:t>整体</w:t>
      </w:r>
      <w:r>
        <w:rPr>
          <w:rFonts w:eastAsia="方正小标宋_GBK"/>
          <w:sz w:val="48"/>
          <w:szCs w:val="48"/>
        </w:rPr>
        <w:t>支出</w:t>
      </w:r>
    </w:p>
    <w:p w14:paraId="3AAB921D">
      <w:pPr>
        <w:jc w:val="center"/>
        <w:rPr>
          <w:rFonts w:eastAsia="方正小标宋_GBK"/>
          <w:sz w:val="48"/>
          <w:szCs w:val="48"/>
        </w:rPr>
      </w:pPr>
      <w:r>
        <w:rPr>
          <w:rFonts w:eastAsia="方正小标宋_GBK"/>
          <w:sz w:val="48"/>
          <w:szCs w:val="48"/>
        </w:rPr>
        <w:t>绩效自评报告</w:t>
      </w:r>
    </w:p>
    <w:p w14:paraId="4D47E65C">
      <w:pPr>
        <w:jc w:val="center"/>
        <w:rPr>
          <w:rFonts w:eastAsia="黑体"/>
          <w:sz w:val="32"/>
          <w:szCs w:val="32"/>
        </w:rPr>
      </w:pPr>
    </w:p>
    <w:p w14:paraId="0B55FA85">
      <w:pPr>
        <w:jc w:val="center"/>
        <w:rPr>
          <w:rFonts w:eastAsia="黑体"/>
          <w:sz w:val="32"/>
          <w:szCs w:val="32"/>
        </w:rPr>
      </w:pPr>
    </w:p>
    <w:p w14:paraId="54B69EAA">
      <w:pPr>
        <w:jc w:val="center"/>
        <w:rPr>
          <w:rFonts w:eastAsia="黑体"/>
          <w:sz w:val="32"/>
          <w:szCs w:val="32"/>
        </w:rPr>
      </w:pPr>
    </w:p>
    <w:p w14:paraId="1DD8C891">
      <w:pPr>
        <w:jc w:val="center"/>
        <w:rPr>
          <w:rFonts w:eastAsia="黑体"/>
          <w:sz w:val="32"/>
          <w:szCs w:val="32"/>
        </w:rPr>
      </w:pPr>
    </w:p>
    <w:p w14:paraId="1DEBF7DE">
      <w:pPr>
        <w:jc w:val="center"/>
        <w:rPr>
          <w:rFonts w:eastAsia="黑体"/>
          <w:sz w:val="32"/>
          <w:szCs w:val="32"/>
        </w:rPr>
      </w:pPr>
    </w:p>
    <w:p w14:paraId="516045DD">
      <w:pPr>
        <w:jc w:val="center"/>
        <w:rPr>
          <w:rFonts w:eastAsia="黑体"/>
          <w:sz w:val="32"/>
          <w:szCs w:val="32"/>
        </w:rPr>
      </w:pPr>
    </w:p>
    <w:p w14:paraId="09995B72">
      <w:pPr>
        <w:jc w:val="center"/>
        <w:rPr>
          <w:rFonts w:eastAsia="黑体"/>
          <w:sz w:val="32"/>
          <w:szCs w:val="32"/>
        </w:rPr>
      </w:pPr>
    </w:p>
    <w:p w14:paraId="697B1CFE">
      <w:pPr>
        <w:ind w:firstLine="880" w:firstLineChars="200"/>
        <w:jc w:val="center"/>
        <w:rPr>
          <w:rFonts w:eastAsia="黑体"/>
          <w:sz w:val="44"/>
          <w:szCs w:val="44"/>
        </w:rPr>
      </w:pPr>
    </w:p>
    <w:p w14:paraId="5BA9C2F8">
      <w:pPr>
        <w:ind w:firstLine="880" w:firstLineChars="200"/>
        <w:jc w:val="center"/>
        <w:rPr>
          <w:rFonts w:eastAsia="黑体"/>
          <w:sz w:val="44"/>
          <w:szCs w:val="44"/>
        </w:rPr>
      </w:pPr>
    </w:p>
    <w:p w14:paraId="5C39F65E">
      <w:pPr>
        <w:ind w:firstLine="880" w:firstLineChars="200"/>
        <w:jc w:val="center"/>
        <w:rPr>
          <w:rFonts w:eastAsia="黑体"/>
          <w:sz w:val="44"/>
          <w:szCs w:val="44"/>
        </w:rPr>
      </w:pPr>
    </w:p>
    <w:p w14:paraId="6A1468B5">
      <w:pPr>
        <w:ind w:firstLine="720" w:firstLineChars="200"/>
        <w:jc w:val="center"/>
        <w:rPr>
          <w:rFonts w:eastAsia="黑体"/>
          <w:sz w:val="36"/>
          <w:szCs w:val="36"/>
        </w:rPr>
      </w:pPr>
      <w:r>
        <w:rPr>
          <w:rFonts w:eastAsia="黑体"/>
          <w:sz w:val="36"/>
          <w:szCs w:val="36"/>
        </w:rPr>
        <w:t>单位名称（盖章）：</w:t>
      </w:r>
    </w:p>
    <w:p w14:paraId="2DE93031">
      <w:pPr>
        <w:jc w:val="center"/>
        <w:rPr>
          <w:rFonts w:eastAsia="黑体"/>
          <w:sz w:val="36"/>
          <w:szCs w:val="36"/>
        </w:rPr>
      </w:pPr>
    </w:p>
    <w:p w14:paraId="55A68F1E">
      <w:pPr>
        <w:jc w:val="center"/>
        <w:rPr>
          <w:rFonts w:eastAsia="黑体"/>
          <w:sz w:val="32"/>
          <w:szCs w:val="32"/>
        </w:rPr>
      </w:pPr>
    </w:p>
    <w:p w14:paraId="60B76020">
      <w:pPr>
        <w:jc w:val="center"/>
        <w:rPr>
          <w:rFonts w:eastAsia="黑体"/>
          <w:sz w:val="32"/>
          <w:szCs w:val="32"/>
        </w:rPr>
      </w:pPr>
    </w:p>
    <w:p w14:paraId="58252877">
      <w:pPr>
        <w:jc w:val="center"/>
        <w:rPr>
          <w:rFonts w:eastAsia="黑体"/>
          <w:sz w:val="32"/>
          <w:szCs w:val="32"/>
        </w:rPr>
      </w:pPr>
    </w:p>
    <w:p w14:paraId="5A7DC87A">
      <w:pPr>
        <w:jc w:val="center"/>
        <w:rPr>
          <w:rFonts w:eastAsia="黑体"/>
          <w:sz w:val="32"/>
          <w:szCs w:val="32"/>
        </w:rPr>
      </w:pPr>
    </w:p>
    <w:p w14:paraId="0C9D86EB">
      <w:pPr>
        <w:jc w:val="both"/>
        <w:rPr>
          <w:rFonts w:eastAsia="黑体"/>
          <w:sz w:val="32"/>
          <w:szCs w:val="32"/>
        </w:rPr>
      </w:pPr>
    </w:p>
    <w:p w14:paraId="6486BC4C">
      <w:pPr>
        <w:jc w:val="center"/>
        <w:rPr>
          <w:rFonts w:eastAsia="仿宋_GB2312"/>
          <w:sz w:val="32"/>
          <w:szCs w:val="32"/>
        </w:rPr>
      </w:pPr>
      <w:r>
        <w:rPr>
          <w:rFonts w:eastAsia="仿宋_GB2312"/>
          <w:sz w:val="32"/>
          <w:szCs w:val="32"/>
        </w:rPr>
        <w:t>（此页为封面）</w:t>
      </w:r>
    </w:p>
    <w:p w14:paraId="6DCD78D4">
      <w:pPr>
        <w:spacing w:line="600" w:lineRule="exact"/>
        <w:ind w:firstLine="640" w:firstLineChars="200"/>
        <w:rPr>
          <w:rFonts w:eastAsia="黑体"/>
          <w:sz w:val="32"/>
          <w:szCs w:val="32"/>
        </w:rPr>
      </w:pPr>
      <w:r>
        <w:rPr>
          <w:rFonts w:eastAsia="黑体"/>
          <w:sz w:val="32"/>
          <w:szCs w:val="32"/>
        </w:rPr>
        <w:t>一、基本情况</w:t>
      </w:r>
    </w:p>
    <w:p w14:paraId="252B98BC">
      <w:pPr>
        <w:spacing w:line="600" w:lineRule="exact"/>
        <w:ind w:firstLine="643" w:firstLineChars="200"/>
        <w:rPr>
          <w:rFonts w:eastAsia="楷体_GB2312"/>
          <w:b/>
          <w:sz w:val="32"/>
          <w:szCs w:val="32"/>
        </w:rPr>
      </w:pPr>
      <w:r>
        <w:rPr>
          <w:rFonts w:eastAsia="楷体_GB2312"/>
          <w:b/>
          <w:sz w:val="32"/>
          <w:szCs w:val="32"/>
        </w:rPr>
        <w:t>（一）单位基本情况</w:t>
      </w:r>
    </w:p>
    <w:p w14:paraId="1AFC7F50">
      <w:pPr>
        <w:spacing w:line="600" w:lineRule="exact"/>
        <w:ind w:firstLine="640" w:firstLineChars="200"/>
        <w:rPr>
          <w:rFonts w:hint="eastAsia" w:eastAsia="楷体_GB2312"/>
          <w:b/>
          <w:sz w:val="32"/>
          <w:szCs w:val="32"/>
        </w:rPr>
      </w:pPr>
      <w:r>
        <w:rPr>
          <w:rFonts w:hint="eastAsia" w:ascii="Calibri" w:hAnsi="Calibri" w:eastAsia="仿宋" w:cs="Times New Roman"/>
          <w:color w:val="auto"/>
          <w:kern w:val="2"/>
          <w:sz w:val="32"/>
          <w:szCs w:val="32"/>
          <w:lang w:val="en-US" w:eastAsia="zh-CN" w:bidi="ar-SA"/>
        </w:rPr>
        <w:t>1．主要职能。</w:t>
      </w:r>
    </w:p>
    <w:p w14:paraId="374F6BF5">
      <w:pPr>
        <w:spacing w:line="580" w:lineRule="exact"/>
        <w:ind w:firstLine="640" w:firstLineChars="200"/>
        <w:rPr>
          <w:rFonts w:hint="eastAsia" w:eastAsia="仿宋"/>
          <w:color w:val="auto"/>
          <w:sz w:val="32"/>
          <w:szCs w:val="32"/>
        </w:rPr>
      </w:pPr>
      <w:r>
        <w:rPr>
          <w:rFonts w:hint="eastAsia" w:eastAsia="仿宋"/>
          <w:color w:val="auto"/>
          <w:sz w:val="32"/>
          <w:szCs w:val="32"/>
        </w:rPr>
        <w:t>(1)研究相关理论、政策和规划，拟订相关规范性文件等，并组织实施。深入调查研究，及时向区委报告工作情况并提出建议。</w:t>
      </w:r>
    </w:p>
    <w:p w14:paraId="4E88D964">
      <w:pPr>
        <w:spacing w:line="580" w:lineRule="exact"/>
        <w:ind w:firstLine="640" w:firstLineChars="200"/>
        <w:rPr>
          <w:rFonts w:hint="eastAsia" w:eastAsia="仿宋"/>
          <w:color w:val="auto"/>
          <w:sz w:val="32"/>
          <w:szCs w:val="32"/>
        </w:rPr>
      </w:pPr>
      <w:r>
        <w:rPr>
          <w:rFonts w:hint="eastAsia" w:eastAsia="仿宋"/>
          <w:color w:val="auto"/>
          <w:sz w:val="32"/>
          <w:szCs w:val="32"/>
        </w:rPr>
        <w:t>(2)统筹指导群众利益协调、诉求表达、矛盾调处、权益保障等人民信访工作，协调解决人民群众急难愁盼的重大问题。指导人民建议征集工作，负责征集、办理公民、法人和其他组织提出的意见建议，向区委、区人民政府及时反映公民、法人和其他组织提出的有关重要意见建议。指导、规范和监督全区民意反映渠道的运行管理工作。</w:t>
      </w:r>
    </w:p>
    <w:p w14:paraId="271056E9">
      <w:pPr>
        <w:spacing w:line="580" w:lineRule="exact"/>
        <w:ind w:firstLine="640" w:firstLineChars="200"/>
        <w:rPr>
          <w:rFonts w:hint="eastAsia" w:eastAsia="仿宋"/>
          <w:color w:val="auto"/>
          <w:sz w:val="32"/>
          <w:szCs w:val="32"/>
        </w:rPr>
      </w:pPr>
      <w:r>
        <w:rPr>
          <w:rFonts w:hint="eastAsia" w:eastAsia="仿宋"/>
          <w:color w:val="auto"/>
          <w:sz w:val="32"/>
          <w:szCs w:val="32"/>
        </w:rPr>
        <w:t>(3)统筹推进党建引领基层治理和基层政权建设，协调推进城乡社区治理体系和治理能力建设，推动基层民主政治建设，指导监督基层群众自治制度的有效实施，健全基层群众自治机制。</w:t>
      </w:r>
    </w:p>
    <w:p w14:paraId="277DFE45">
      <w:pPr>
        <w:spacing w:line="580" w:lineRule="exact"/>
        <w:ind w:firstLine="640" w:firstLineChars="200"/>
        <w:rPr>
          <w:rFonts w:hint="eastAsia" w:eastAsia="仿宋"/>
          <w:color w:val="auto"/>
          <w:sz w:val="32"/>
          <w:szCs w:val="32"/>
        </w:rPr>
      </w:pPr>
      <w:r>
        <w:rPr>
          <w:rFonts w:hint="eastAsia" w:eastAsia="仿宋"/>
          <w:color w:val="auto"/>
          <w:sz w:val="32"/>
          <w:szCs w:val="32"/>
        </w:rPr>
        <w:t>(4)指导混合所有制企业、非公有制企业和新经济组织、新社会组织、新就业群体党建工作，指导协调相关企业单位、社会组织、就业群体中党员的教育、管理、监督和服务工作，研究完善相关领域群体利益协调机制。</w:t>
      </w:r>
    </w:p>
    <w:p w14:paraId="30BD9E22">
      <w:pPr>
        <w:spacing w:line="580" w:lineRule="exact"/>
        <w:ind w:firstLine="640" w:firstLineChars="200"/>
        <w:rPr>
          <w:rFonts w:hint="eastAsia" w:eastAsia="仿宋"/>
          <w:color w:val="auto"/>
          <w:sz w:val="32"/>
          <w:szCs w:val="32"/>
        </w:rPr>
      </w:pPr>
      <w:r>
        <w:rPr>
          <w:rFonts w:hint="eastAsia" w:eastAsia="仿宋"/>
          <w:color w:val="auto"/>
          <w:sz w:val="32"/>
          <w:szCs w:val="32"/>
        </w:rPr>
        <w:t>(5)指导全区性社会组织党建工作，统一领导全区行业协会商会党的工作，协调推动行业协会商会深化改革和转型发展。</w:t>
      </w:r>
    </w:p>
    <w:p w14:paraId="7526AE55">
      <w:pPr>
        <w:spacing w:line="580" w:lineRule="exact"/>
        <w:ind w:firstLine="640" w:firstLineChars="200"/>
        <w:rPr>
          <w:rFonts w:hint="eastAsia" w:eastAsia="仿宋"/>
          <w:color w:val="auto"/>
          <w:sz w:val="32"/>
          <w:szCs w:val="32"/>
        </w:rPr>
      </w:pPr>
      <w:r>
        <w:rPr>
          <w:rFonts w:hint="eastAsia" w:eastAsia="仿宋"/>
          <w:color w:val="auto"/>
          <w:sz w:val="32"/>
          <w:szCs w:val="32"/>
        </w:rPr>
        <w:t>(6)负责全区志愿服务工作的统筹规划、协调指导、督促检查。指导社会工作人才队伍建设。</w:t>
      </w:r>
    </w:p>
    <w:p w14:paraId="0B0EDE49">
      <w:pPr>
        <w:spacing w:line="580" w:lineRule="exact"/>
        <w:ind w:firstLine="640" w:firstLineChars="200"/>
        <w:rPr>
          <w:rFonts w:hint="eastAsia" w:eastAsia="仿宋"/>
          <w:color w:val="auto"/>
          <w:sz w:val="32"/>
          <w:szCs w:val="32"/>
        </w:rPr>
      </w:pPr>
      <w:r>
        <w:rPr>
          <w:rFonts w:hint="eastAsia" w:eastAsia="仿宋"/>
          <w:color w:val="auto"/>
          <w:sz w:val="32"/>
          <w:szCs w:val="32"/>
        </w:rPr>
        <w:t>(7）完成区委交办的其他任务。</w:t>
      </w:r>
    </w:p>
    <w:p w14:paraId="7ABADEE3">
      <w:pPr>
        <w:spacing w:line="580" w:lineRule="exact"/>
        <w:ind w:firstLine="640" w:firstLineChars="200"/>
        <w:rPr>
          <w:rFonts w:hint="eastAsia" w:eastAsia="仿宋"/>
          <w:color w:val="auto"/>
          <w:sz w:val="32"/>
          <w:szCs w:val="32"/>
        </w:rPr>
      </w:pPr>
      <w:r>
        <w:rPr>
          <w:rFonts w:hint="eastAsia" w:eastAsia="仿宋"/>
          <w:color w:val="auto"/>
          <w:sz w:val="32"/>
          <w:szCs w:val="32"/>
        </w:rPr>
        <w:t>2．机构情况，包括当年变动情况及原因。</w:t>
      </w:r>
    </w:p>
    <w:p w14:paraId="4DAE921A">
      <w:pPr>
        <w:spacing w:line="580" w:lineRule="exact"/>
        <w:ind w:firstLine="640" w:firstLineChars="200"/>
        <w:rPr>
          <w:rFonts w:hint="eastAsia" w:eastAsia="仿宋"/>
          <w:color w:val="auto"/>
          <w:sz w:val="32"/>
          <w:szCs w:val="32"/>
        </w:rPr>
      </w:pPr>
      <w:r>
        <w:rPr>
          <w:rFonts w:hint="eastAsia" w:eastAsia="仿宋"/>
          <w:color w:val="auto"/>
          <w:sz w:val="32"/>
          <w:szCs w:val="32"/>
        </w:rPr>
        <w:t>中国共产党株洲市芦淞区委员会社会工作部内设机构包括：综合股、基层治理和基层政权建设股(两企三新党建股)。</w:t>
      </w:r>
    </w:p>
    <w:p w14:paraId="67B563AC">
      <w:pPr>
        <w:spacing w:line="580" w:lineRule="exact"/>
        <w:ind w:firstLine="640" w:firstLineChars="200"/>
        <w:rPr>
          <w:rFonts w:hint="eastAsia" w:eastAsia="仿宋"/>
          <w:color w:val="auto"/>
          <w:sz w:val="32"/>
          <w:szCs w:val="32"/>
        </w:rPr>
      </w:pPr>
      <w:r>
        <w:rPr>
          <w:rFonts w:hint="eastAsia" w:eastAsia="仿宋"/>
          <w:color w:val="auto"/>
          <w:sz w:val="32"/>
          <w:szCs w:val="32"/>
        </w:rPr>
        <w:t>3．人员情况，包括当年变动情况及原因。</w:t>
      </w:r>
    </w:p>
    <w:p w14:paraId="6548DF78">
      <w:pPr>
        <w:spacing w:line="600" w:lineRule="exact"/>
        <w:ind w:firstLine="640" w:firstLineChars="200"/>
        <w:rPr>
          <w:rFonts w:eastAsia="楷体_GB2312"/>
          <w:b/>
          <w:sz w:val="32"/>
          <w:szCs w:val="32"/>
        </w:rPr>
      </w:pPr>
      <w:r>
        <w:rPr>
          <w:rFonts w:hint="eastAsia" w:ascii="Calibri" w:hAnsi="Calibri" w:eastAsia="仿宋" w:cs="Times New Roman"/>
          <w:color w:val="auto"/>
          <w:kern w:val="2"/>
          <w:sz w:val="32"/>
          <w:szCs w:val="32"/>
          <w:lang w:val="en-US" w:eastAsia="zh-CN" w:bidi="ar-SA"/>
        </w:rPr>
        <w:t>2024年在职人员4人，无固定期限人员1人</w:t>
      </w:r>
      <w:r>
        <w:rPr>
          <w:rFonts w:hint="eastAsia" w:eastAsia="楷体_GB2312"/>
          <w:b/>
          <w:sz w:val="32"/>
          <w:szCs w:val="32"/>
        </w:rPr>
        <w:t>。</w:t>
      </w:r>
    </w:p>
    <w:p w14:paraId="655E1120">
      <w:pPr>
        <w:spacing w:line="600" w:lineRule="exact"/>
        <w:ind w:firstLine="643" w:firstLineChars="200"/>
        <w:rPr>
          <w:rFonts w:hint="eastAsia" w:eastAsia="楷体_GB2312"/>
          <w:b/>
          <w:color w:val="auto"/>
          <w:sz w:val="32"/>
          <w:szCs w:val="32"/>
          <w:highlight w:val="none"/>
          <w:lang w:eastAsia="zh-CN"/>
        </w:rPr>
      </w:pPr>
      <w:r>
        <w:rPr>
          <w:rFonts w:eastAsia="楷体_GB2312"/>
          <w:b/>
          <w:color w:val="auto"/>
          <w:sz w:val="32"/>
          <w:szCs w:val="32"/>
          <w:highlight w:val="none"/>
        </w:rPr>
        <w:t>（二）部门（单位）年度整体支出绩效目标，</w:t>
      </w:r>
      <w:r>
        <w:rPr>
          <w:rFonts w:hint="eastAsia" w:eastAsia="楷体_GB2312"/>
          <w:b/>
          <w:color w:val="auto"/>
          <w:sz w:val="32"/>
          <w:szCs w:val="32"/>
          <w:highlight w:val="none"/>
          <w:lang w:eastAsia="zh-CN"/>
        </w:rPr>
        <w:t>部门</w:t>
      </w:r>
      <w:r>
        <w:rPr>
          <w:rFonts w:eastAsia="楷体_GB2312"/>
          <w:b/>
          <w:color w:val="auto"/>
          <w:sz w:val="32"/>
          <w:szCs w:val="32"/>
          <w:highlight w:val="none"/>
        </w:rPr>
        <w:t>专项资金绩效目标、其他项目支出（除省级专项资金以外）</w:t>
      </w:r>
    </w:p>
    <w:p w14:paraId="75744C02">
      <w:pPr>
        <w:pStyle w:val="4"/>
        <w:spacing w:line="600" w:lineRule="exact"/>
        <w:ind w:firstLine="643"/>
        <w:rPr>
          <w:rFonts w:hint="eastAsia" w:eastAsia="仿宋" w:cs="Times New Roman"/>
          <w:color w:val="000000"/>
          <w:sz w:val="32"/>
          <w:szCs w:val="32"/>
          <w:lang w:eastAsia="zh-CN"/>
        </w:rPr>
      </w:pPr>
      <w:r>
        <w:rPr>
          <w:rFonts w:hint="eastAsia" w:eastAsia="仿宋" w:cs="Times New Roman"/>
          <w:color w:val="000000"/>
          <w:sz w:val="32"/>
          <w:szCs w:val="32"/>
          <w:lang w:eastAsia="zh-CN"/>
        </w:rPr>
        <w:t>主要是</w:t>
      </w:r>
      <w:r>
        <w:rPr>
          <w:rFonts w:hint="eastAsia" w:eastAsia="仿宋" w:cs="Times New Roman"/>
          <w:color w:val="000000"/>
          <w:sz w:val="32"/>
          <w:szCs w:val="32"/>
        </w:rPr>
        <w:t>推动信访工作法治化</w:t>
      </w:r>
      <w:r>
        <w:rPr>
          <w:rFonts w:hint="eastAsia" w:eastAsia="仿宋" w:cs="Times New Roman"/>
          <w:color w:val="000000"/>
          <w:sz w:val="32"/>
          <w:szCs w:val="32"/>
          <w:lang w:eastAsia="zh-CN"/>
        </w:rPr>
        <w:t>，强化基层治理减负赋能，抓好“两企三新”党建工作，创新行业协会商会建设，提升志愿服务质效。</w:t>
      </w:r>
    </w:p>
    <w:p w14:paraId="35D16525">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6B4DBCAF">
      <w:pPr>
        <w:pStyle w:val="4"/>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3E14FAE3">
      <w:pPr>
        <w:pStyle w:val="4"/>
        <w:spacing w:line="600" w:lineRule="exact"/>
        <w:ind w:firstLine="643"/>
        <w:rPr>
          <w:rFonts w:hint="eastAsia" w:eastAsia="仿宋"/>
          <w:color w:val="000000"/>
          <w:sz w:val="32"/>
          <w:szCs w:val="32"/>
          <w:lang w:val="en-US" w:eastAsia="zh-CN"/>
        </w:rPr>
      </w:pPr>
      <w:r>
        <w:rPr>
          <w:rFonts w:hint="eastAsia" w:ascii="Times New Roman" w:hAnsi="Times New Roman" w:eastAsia="楷体_GB2312"/>
          <w:b/>
          <w:sz w:val="32"/>
          <w:szCs w:val="32"/>
          <w:lang w:val="en-US" w:eastAsia="zh-CN"/>
        </w:rPr>
        <w:t>1、</w:t>
      </w:r>
      <w:r>
        <w:rPr>
          <w:rFonts w:hint="eastAsia" w:eastAsia="仿宋"/>
          <w:color w:val="000000"/>
          <w:sz w:val="32"/>
          <w:szCs w:val="32"/>
          <w:lang w:eastAsia="zh-CN"/>
        </w:rPr>
        <w:t>2024</w:t>
      </w:r>
      <w:r>
        <w:rPr>
          <w:rFonts w:eastAsia="仿宋"/>
          <w:color w:val="000000"/>
          <w:sz w:val="32"/>
          <w:szCs w:val="32"/>
        </w:rPr>
        <w:t>年预算资金</w:t>
      </w:r>
      <w:r>
        <w:rPr>
          <w:rFonts w:hint="eastAsia" w:eastAsia="仿宋"/>
          <w:color w:val="000000"/>
          <w:sz w:val="32"/>
          <w:szCs w:val="32"/>
          <w:lang w:val="en-US" w:eastAsia="zh-CN"/>
        </w:rPr>
        <w:t>0万元（本单位2024年为新增单位，故无相关年初预算安排情况）。</w:t>
      </w:r>
    </w:p>
    <w:p w14:paraId="76BF2C63">
      <w:pPr>
        <w:pStyle w:val="4"/>
        <w:spacing w:line="600" w:lineRule="exact"/>
        <w:ind w:firstLine="643"/>
        <w:rPr>
          <w:rFonts w:hint="default" w:eastAsia="仿宋"/>
          <w:color w:val="auto"/>
          <w:sz w:val="32"/>
          <w:szCs w:val="32"/>
          <w:lang w:val="en-US" w:eastAsia="zh-CN"/>
        </w:rPr>
      </w:pPr>
      <w:r>
        <w:rPr>
          <w:rFonts w:hint="eastAsia" w:eastAsia="仿宋"/>
          <w:color w:val="auto"/>
          <w:sz w:val="32"/>
          <w:szCs w:val="32"/>
          <w:lang w:val="en-US" w:eastAsia="zh-CN"/>
        </w:rPr>
        <w:t>2、2024年度</w:t>
      </w:r>
      <w:r>
        <w:rPr>
          <w:rFonts w:eastAsia="仿宋"/>
          <w:color w:val="auto"/>
          <w:sz w:val="32"/>
          <w:szCs w:val="32"/>
        </w:rPr>
        <w:t>单位</w:t>
      </w:r>
      <w:r>
        <w:rPr>
          <w:rFonts w:hint="eastAsia" w:eastAsia="仿宋"/>
          <w:color w:val="auto"/>
          <w:sz w:val="32"/>
          <w:szCs w:val="32"/>
        </w:rPr>
        <w:t>一般公共预算财政拨款</w:t>
      </w:r>
      <w:r>
        <w:rPr>
          <w:rFonts w:eastAsia="仿宋"/>
          <w:color w:val="auto"/>
          <w:sz w:val="32"/>
          <w:szCs w:val="32"/>
        </w:rPr>
        <w:t>收入</w:t>
      </w:r>
      <w:r>
        <w:rPr>
          <w:rFonts w:hint="eastAsia" w:eastAsia="仿宋"/>
          <w:color w:val="auto"/>
          <w:sz w:val="32"/>
          <w:szCs w:val="32"/>
          <w:lang w:eastAsia="zh-CN"/>
        </w:rPr>
        <w:t>28.65万元</w:t>
      </w:r>
      <w:r>
        <w:rPr>
          <w:rFonts w:hint="eastAsia" w:eastAsia="仿宋"/>
          <w:color w:val="auto"/>
          <w:sz w:val="32"/>
          <w:szCs w:val="32"/>
          <w:lang w:val="en-US" w:eastAsia="zh-CN"/>
        </w:rPr>
        <w:t>。</w:t>
      </w:r>
    </w:p>
    <w:p w14:paraId="0A6C730B">
      <w:pPr>
        <w:spacing w:line="580" w:lineRule="exact"/>
        <w:ind w:firstLine="640" w:firstLineChars="200"/>
        <w:rPr>
          <w:rFonts w:hint="eastAsia" w:eastAsia="仿宋"/>
          <w:color w:val="0000FF"/>
          <w:sz w:val="32"/>
          <w:szCs w:val="32"/>
          <w:lang w:val="en-US" w:eastAsia="zh-CN"/>
        </w:rPr>
      </w:pPr>
      <w:r>
        <w:rPr>
          <w:rFonts w:eastAsia="仿宋"/>
          <w:color w:val="auto"/>
          <w:sz w:val="32"/>
          <w:szCs w:val="32"/>
        </w:rPr>
        <w:t>3.</w:t>
      </w:r>
      <w:r>
        <w:rPr>
          <w:rFonts w:hint="eastAsia" w:eastAsia="仿宋"/>
          <w:color w:val="auto"/>
          <w:sz w:val="32"/>
          <w:szCs w:val="32"/>
          <w:lang w:val="en-US" w:eastAsia="zh-CN"/>
        </w:rPr>
        <w:t>2024年度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支出28.65万元</w:t>
      </w:r>
      <w:r>
        <w:rPr>
          <w:rFonts w:hint="eastAsia" w:eastAsia="仿宋"/>
          <w:color w:val="auto"/>
          <w:sz w:val="32"/>
          <w:szCs w:val="32"/>
          <w:lang w:val="en-US" w:eastAsia="zh-CN"/>
        </w:rPr>
        <w:t>，</w:t>
      </w:r>
      <w:r>
        <w:rPr>
          <w:rFonts w:eastAsia="仿宋"/>
          <w:color w:val="auto"/>
          <w:sz w:val="32"/>
          <w:szCs w:val="32"/>
        </w:rPr>
        <w:t>其中：项目支出</w:t>
      </w:r>
      <w:r>
        <w:rPr>
          <w:rFonts w:hint="eastAsia" w:eastAsia="仿宋"/>
          <w:color w:val="auto"/>
          <w:sz w:val="32"/>
          <w:szCs w:val="32"/>
          <w:lang w:val="en-US" w:eastAsia="zh-CN"/>
        </w:rPr>
        <w:t>16.78</w:t>
      </w:r>
      <w:r>
        <w:rPr>
          <w:rFonts w:eastAsia="仿宋"/>
          <w:color w:val="auto"/>
          <w:sz w:val="32"/>
          <w:szCs w:val="32"/>
        </w:rPr>
        <w:t>万元，基本支出</w:t>
      </w:r>
      <w:r>
        <w:rPr>
          <w:rFonts w:hint="eastAsia" w:eastAsia="仿宋"/>
          <w:color w:val="auto"/>
          <w:sz w:val="32"/>
          <w:szCs w:val="32"/>
          <w:lang w:val="en-US" w:eastAsia="zh-CN"/>
        </w:rPr>
        <w:t>11.87</w:t>
      </w:r>
      <w:r>
        <w:rPr>
          <w:rFonts w:eastAsia="仿宋"/>
          <w:color w:val="auto"/>
          <w:sz w:val="32"/>
          <w:szCs w:val="32"/>
        </w:rPr>
        <w:t>万元，其中：人员经费</w:t>
      </w:r>
      <w:r>
        <w:rPr>
          <w:rFonts w:hint="eastAsia" w:eastAsia="仿宋"/>
          <w:color w:val="auto"/>
          <w:sz w:val="32"/>
          <w:szCs w:val="32"/>
          <w:lang w:val="en-US" w:eastAsia="zh-CN"/>
        </w:rPr>
        <w:t>11.38</w:t>
      </w:r>
      <w:r>
        <w:rPr>
          <w:rFonts w:eastAsia="仿宋"/>
          <w:color w:val="auto"/>
          <w:sz w:val="32"/>
          <w:szCs w:val="32"/>
        </w:rPr>
        <w:t>万元，公用经费</w:t>
      </w:r>
      <w:r>
        <w:rPr>
          <w:rFonts w:hint="eastAsia" w:eastAsia="仿宋"/>
          <w:color w:val="auto"/>
          <w:sz w:val="32"/>
          <w:szCs w:val="32"/>
          <w:lang w:val="en-US" w:eastAsia="zh-CN"/>
        </w:rPr>
        <w:t>0.49万</w:t>
      </w:r>
      <w:r>
        <w:rPr>
          <w:rFonts w:eastAsia="仿宋"/>
          <w:color w:val="auto"/>
          <w:sz w:val="32"/>
          <w:szCs w:val="32"/>
        </w:rPr>
        <w:t>元。</w:t>
      </w:r>
    </w:p>
    <w:p w14:paraId="5B78E634">
      <w:pPr>
        <w:pStyle w:val="4"/>
        <w:numPr>
          <w:ilvl w:val="0"/>
          <w:numId w:val="1"/>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0308A6F3">
      <w:pPr>
        <w:pStyle w:val="4"/>
        <w:numPr>
          <w:ilvl w:val="0"/>
          <w:numId w:val="0"/>
        </w:numPr>
        <w:spacing w:line="600" w:lineRule="exact"/>
        <w:ind w:firstLine="960" w:firstLineChars="3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上级专款-基层党政建设经费项目支出16.78万元。</w:t>
      </w:r>
    </w:p>
    <w:p w14:paraId="1A9AAA1D">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287C08CC">
      <w:pPr>
        <w:pStyle w:val="4"/>
        <w:spacing w:line="600" w:lineRule="exact"/>
        <w:ind w:firstLine="640"/>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14:paraId="66D136BD">
      <w:pPr>
        <w:pStyle w:val="4"/>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四、国有资本经营预算支出情况</w:t>
      </w:r>
    </w:p>
    <w:p w14:paraId="21CC5641">
      <w:pPr>
        <w:pStyle w:val="4"/>
        <w:spacing w:line="600" w:lineRule="exact"/>
        <w:ind w:firstLine="640"/>
        <w:rPr>
          <w:rFonts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14:paraId="63327372">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5439EB54">
      <w:pPr>
        <w:spacing w:line="600" w:lineRule="exact"/>
        <w:ind w:firstLine="640" w:firstLineChars="200"/>
        <w:rPr>
          <w:rFonts w:eastAsia="仿宋_GB2312"/>
          <w:color w:val="000000"/>
          <w:sz w:val="32"/>
          <w:szCs w:val="32"/>
        </w:rPr>
      </w:pPr>
      <w:r>
        <w:rPr>
          <w:rFonts w:hint="eastAsia" w:eastAsia="仿宋_GB2312"/>
          <w:color w:val="000000"/>
          <w:sz w:val="32"/>
          <w:szCs w:val="32"/>
        </w:rPr>
        <w:t>无。</w:t>
      </w:r>
    </w:p>
    <w:p w14:paraId="5C51F03B">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3AC4CF27">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100B9204">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1.站高谋远抓改革，推动社会工作稳健起步。一是科学谋划部署。按照中央、省、市关于机构改革的部署要求，于5月8日召开推进会，专题研究社会工作部筹备和组建工作，印发《芦淞区机构改革方案》，明确社会工作部职能职责。二是配强机构力量。根据机构改革等相关要求，我部设置2个股室，核定行政编制5名，目前已实际到位4人。机关党支部与工会已成立，规范开展主题党日活动</w:t>
      </w:r>
      <w:r>
        <w:rPr>
          <w:rFonts w:hint="eastAsia" w:eastAsia="仿宋_GB2312"/>
          <w:color w:val="000000"/>
          <w:sz w:val="32"/>
          <w:szCs w:val="32"/>
          <w:lang w:eastAsia="zh-CN"/>
        </w:rPr>
        <w:t>和党纪学习教育。</w:t>
      </w:r>
      <w:r>
        <w:rPr>
          <w:rFonts w:hint="eastAsia" w:eastAsia="仿宋_GB2312"/>
          <w:color w:val="000000"/>
          <w:sz w:val="32"/>
          <w:szCs w:val="32"/>
        </w:rPr>
        <w:t>三是工作有序承接。区委主要领导牵头研究，并组织相关职能部门召开专题会议，进一步厘清了职责边界，统筹考虑相关业务工作的承接与转化，确保工作不断档、能接续。</w:t>
      </w:r>
    </w:p>
    <w:p w14:paraId="31105C58">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2.自上而下抓学习，推动理论武装走深走实。一是领导带头学。通过理论中心组学习、主题党日等形式专题传达学习党建引领基层治理有关事项，深入学习习近平总书记关于基层治理的战略定位、重要任务等，准确把握其重大意义和目标要求。二是全面覆盖学。组织有关部门、街道（镇）、村（社区）的党员干部采取个人自学与集中学习相结合方式深入学习，把理论学习成果转化为推动工作的实际成效。三是聚焦重点学。专题传达学习中央和省委社会工作部部长、信访局局长座谈会议精神，省、市关于“两企三新”党建工作会议精神，进一步明确当前重点任务，强化行动自觉。</w:t>
      </w:r>
    </w:p>
    <w:p w14:paraId="410EB5C0">
      <w:pPr>
        <w:spacing w:line="600" w:lineRule="exact"/>
        <w:ind w:firstLine="640" w:firstLineChars="200"/>
        <w:rPr>
          <w:rFonts w:hint="eastAsia" w:ascii="Times New Roman" w:hAnsi="Times New Roman" w:eastAsia="楷体_GB2312" w:cs="Times New Roman"/>
          <w:b/>
          <w:kern w:val="2"/>
          <w:sz w:val="32"/>
          <w:szCs w:val="32"/>
          <w:lang w:val="en-US" w:eastAsia="zh-CN" w:bidi="ar-SA"/>
        </w:rPr>
      </w:pPr>
      <w:r>
        <w:rPr>
          <w:rFonts w:hint="eastAsia" w:eastAsia="仿宋_GB2312"/>
          <w:color w:val="000000"/>
          <w:sz w:val="32"/>
          <w:szCs w:val="32"/>
        </w:rPr>
        <w:t>3.全力以赴抓落实，推动重点工作多点开花。一是抓实信访工作与人民建议征集工作。围绕习近平总书记关于加强和改进人民信访工作的重要思想和对信访工作的重要指示精神，统筹指导信访工作法治化。深入开展“安全生产、平安株洲”系列人民意见征集工作，围绕全区道路交通安全管理，电动自行车、电动摩托车安全隐患全链条整治征集整合20余条合理化意见建议，并积极推动落实。二是抓实党建引领基层治理工作。制定《芦淞区社区专职工作者管理实施办法（草案）》，规范社区专职工作者队伍管理。多次陪同省委、市委社会工作部调研指导锦绣社区、蓝天花园小区等基层治理情况，积极参与全省党建引领基层治理工作现场交流会和市第二届城市基层治理大会主题展示活动，承办芦淞区第四届“幸福邻里节”活动，引导居民群众与各类组织参与基层治理，切实提高群众参与基层治理的获得感和幸福感。三是抓实“两企三新”党建工作。对全区“两新”党组织进行摸排，组建两新党组织386个。承办首届“717骑士节”，深入新就业群体，解决市中心外卖骑手停车难问题，不断加强对新就业群体的关爱凝聚和服务。四是抓实志愿服务工作。培育“燎原星火”志愿服务品牌，协调解决邻里纠纷、消费纠纷、劳资纠纷、情感纠纷等。实施“夕阳别样红”关爱空巢独居老人项目，让空巢老年群体感受到社会的关注与温暖。</w:t>
      </w: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65D5B028">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上级专款-基层党政建设经费项目支出16.78万元，主要用于党组织活动经费等。</w:t>
      </w:r>
    </w:p>
    <w:p w14:paraId="0CCF89EF">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31BB6A98">
      <w:pPr>
        <w:pStyle w:val="4"/>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无</w:t>
      </w:r>
      <w:r>
        <w:rPr>
          <w:rFonts w:hint="eastAsia" w:ascii="Times New Roman" w:hAnsi="Times New Roman" w:eastAsia="仿宋_GB2312" w:cs="Times New Roman"/>
          <w:color w:val="000000"/>
          <w:kern w:val="2"/>
          <w:sz w:val="32"/>
          <w:szCs w:val="32"/>
          <w:highlight w:val="none"/>
          <w:lang w:val="en-US" w:eastAsia="zh-CN" w:bidi="ar-SA"/>
        </w:rPr>
        <w:t>。</w:t>
      </w:r>
    </w:p>
    <w:p w14:paraId="5AF9C4BD">
      <w:pPr>
        <w:spacing w:line="600" w:lineRule="exact"/>
        <w:ind w:firstLine="640" w:firstLineChars="200"/>
        <w:rPr>
          <w:rFonts w:eastAsia="黑体"/>
          <w:sz w:val="32"/>
          <w:szCs w:val="32"/>
        </w:rPr>
      </w:pPr>
      <w:r>
        <w:rPr>
          <w:rFonts w:eastAsia="黑体"/>
          <w:sz w:val="32"/>
          <w:szCs w:val="32"/>
        </w:rPr>
        <w:t>八、下一步改进措施</w:t>
      </w:r>
    </w:p>
    <w:p w14:paraId="5FB42543">
      <w:pPr>
        <w:spacing w:line="600" w:lineRule="exact"/>
        <w:ind w:firstLine="640" w:firstLineChars="200"/>
        <w:rPr>
          <w:rFonts w:eastAsia="仿宋_GB2312"/>
          <w:sz w:val="32"/>
          <w:szCs w:val="32"/>
        </w:rPr>
      </w:pPr>
      <w:r>
        <w:rPr>
          <w:rFonts w:hint="eastAsia" w:eastAsia="仿宋_GB2312"/>
          <w:sz w:val="32"/>
          <w:szCs w:val="32"/>
        </w:rPr>
        <w:t>本单位将认真分析总结预算编报中存在的问题，在预算阶段制定项目绩效年度目标时尽可能做到科学、合理，并根据部门的职能职责的实际情况，制定能够统领预算编制的整体支出绩效目标，使各项任务的组织实施服务于整体支出绩效，确保部门预算与职能目标一致。</w:t>
      </w:r>
    </w:p>
    <w:p w14:paraId="1564D71F">
      <w:pPr>
        <w:spacing w:line="600" w:lineRule="exact"/>
        <w:ind w:firstLine="640" w:firstLineChars="200"/>
        <w:rPr>
          <w:rFonts w:eastAsia="黑体"/>
          <w:sz w:val="32"/>
          <w:szCs w:val="32"/>
        </w:rPr>
      </w:pPr>
      <w:r>
        <w:rPr>
          <w:rFonts w:eastAsia="黑体"/>
          <w:sz w:val="32"/>
          <w:szCs w:val="32"/>
        </w:rPr>
        <w:t>九、绩效自评结果拟应用和公开情况</w:t>
      </w:r>
    </w:p>
    <w:p w14:paraId="3CC4E2EC">
      <w:pPr>
        <w:pStyle w:val="5"/>
        <w:keepNext w:val="0"/>
        <w:keepLines w:val="0"/>
        <w:pageBreakBefore w:val="0"/>
        <w:widowControl w:val="0"/>
        <w:kinsoku/>
        <w:wordWrap/>
        <w:overflowPunct/>
        <w:topLinePunct w:val="0"/>
        <w:bidi w:val="0"/>
        <w:snapToGrid/>
        <w:spacing w:line="560" w:lineRule="exact"/>
        <w:ind w:leftChars="0" w:firstLine="620" w:firstLineChars="200"/>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仿宋_GB2312" w:cs="Times New Roman"/>
          <w:color w:val="000000"/>
          <w:kern w:val="0"/>
          <w:sz w:val="31"/>
          <w:szCs w:val="31"/>
          <w:highlight w:val="none"/>
          <w:lang w:val="en-US" w:eastAsia="zh-CN" w:bidi="ar"/>
        </w:rPr>
        <w:t>通过绩效自评，进一步掌握了资金使用情况和取得的效果，发现了工作中存在的问题和不足。</w:t>
      </w:r>
    </w:p>
    <w:p w14:paraId="717DD9C2">
      <w:pPr>
        <w:pStyle w:val="5"/>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eastAsia" w:eastAsia="黑体"/>
          <w:sz w:val="32"/>
          <w:szCs w:val="32"/>
          <w:lang w:eastAsia="zh-CN"/>
        </w:rPr>
      </w:pPr>
      <w:r>
        <w:rPr>
          <w:rFonts w:hint="default" w:ascii="Times New Roman" w:hAnsi="Times New Roman" w:eastAsia="仿宋_GB2312" w:cs="Times New Roman"/>
          <w:sz w:val="32"/>
          <w:szCs w:val="32"/>
          <w:highlight w:val="none"/>
        </w:rPr>
        <w:t>本单位没有独立网站，</w:t>
      </w:r>
      <w:r>
        <w:rPr>
          <w:rFonts w:hint="default" w:ascii="Times New Roman" w:hAnsi="Times New Roman" w:eastAsia="仿宋_GB2312" w:cs="Times New Roman"/>
          <w:color w:val="000000"/>
          <w:kern w:val="0"/>
          <w:sz w:val="31"/>
          <w:szCs w:val="31"/>
          <w:highlight w:val="none"/>
          <w:lang w:val="en-US" w:eastAsia="zh-CN" w:bidi="ar"/>
        </w:rPr>
        <w:t>此次绩效自评报告将与202</w:t>
      </w:r>
      <w:r>
        <w:rPr>
          <w:rFonts w:hint="eastAsia" w:ascii="Times New Roman" w:hAnsi="Times New Roman" w:eastAsia="仿宋_GB2312" w:cs="Times New Roman"/>
          <w:color w:val="000000"/>
          <w:kern w:val="0"/>
          <w:sz w:val="31"/>
          <w:szCs w:val="31"/>
          <w:highlight w:val="none"/>
          <w:lang w:val="en-US" w:eastAsia="zh-CN" w:bidi="ar"/>
        </w:rPr>
        <w:t>4</w:t>
      </w:r>
      <w:r>
        <w:rPr>
          <w:rFonts w:hint="default" w:ascii="Times New Roman" w:hAnsi="Times New Roman" w:eastAsia="仿宋_GB2312" w:cs="Times New Roman"/>
          <w:color w:val="000000"/>
          <w:kern w:val="0"/>
          <w:sz w:val="31"/>
          <w:szCs w:val="31"/>
          <w:highlight w:val="none"/>
          <w:lang w:val="en-US" w:eastAsia="zh-CN" w:bidi="ar"/>
        </w:rPr>
        <w:t>年部门决算一起</w:t>
      </w:r>
      <w:r>
        <w:rPr>
          <w:rFonts w:hint="default" w:ascii="Times New Roman" w:hAnsi="Times New Roman" w:eastAsia="仿宋_GB2312" w:cs="Times New Roman"/>
          <w:sz w:val="32"/>
          <w:szCs w:val="32"/>
          <w:highlight w:val="none"/>
        </w:rPr>
        <w:t>在芦淞区政府信息公开专栏中公开</w:t>
      </w:r>
      <w:r>
        <w:rPr>
          <w:rFonts w:hint="default" w:ascii="Times New Roman" w:hAnsi="Times New Roman" w:eastAsia="仿宋_GB2312" w:cs="Times New Roman"/>
          <w:sz w:val="32"/>
          <w:szCs w:val="32"/>
          <w:highlight w:val="none"/>
          <w:lang w:eastAsia="zh-CN"/>
        </w:rPr>
        <w:t>。</w:t>
      </w:r>
    </w:p>
    <w:p w14:paraId="3DEECAC2">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10238845">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p w14:paraId="357C726D">
      <w:pPr>
        <w:spacing w:line="600" w:lineRule="exact"/>
        <w:rPr>
          <w:rFonts w:eastAsia="仿宋_GB2312"/>
          <w:kern w:val="0"/>
          <w:sz w:val="32"/>
          <w:szCs w:val="32"/>
        </w:rPr>
      </w:pPr>
    </w:p>
    <w:p w14:paraId="687EBC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A76A5"/>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633314"/>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0C22E11"/>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067BD"/>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21027FF"/>
    <w:rsid w:val="43141345"/>
    <w:rsid w:val="43420DA9"/>
    <w:rsid w:val="435C781C"/>
    <w:rsid w:val="437C0F5D"/>
    <w:rsid w:val="44B87D18"/>
    <w:rsid w:val="453A160B"/>
    <w:rsid w:val="45E2026E"/>
    <w:rsid w:val="45F85A17"/>
    <w:rsid w:val="463747B7"/>
    <w:rsid w:val="4685440A"/>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4C65CF"/>
    <w:rsid w:val="56685DC5"/>
    <w:rsid w:val="567C109E"/>
    <w:rsid w:val="567E6210"/>
    <w:rsid w:val="56933523"/>
    <w:rsid w:val="56BA55C6"/>
    <w:rsid w:val="57124CDD"/>
    <w:rsid w:val="576D1203"/>
    <w:rsid w:val="57837BDE"/>
    <w:rsid w:val="57935E95"/>
    <w:rsid w:val="57B64068"/>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0372"/>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szCs w:val="22"/>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2370</Words>
  <Characters>2445</Characters>
  <Lines>0</Lines>
  <Paragraphs>0</Paragraphs>
  <TotalTime>6</TotalTime>
  <ScaleCrop>false</ScaleCrop>
  <LinksUpToDate>false</LinksUpToDate>
  <CharactersWithSpaces>2445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Ming</cp:lastModifiedBy>
  <dcterms:modified xsi:type="dcterms:W3CDTF">2026-02-11T01:42:04Z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5A2F5B1C6B3B4A8E9AEEA69E49D9AE2F_13</vt:lpwstr>
  </property>
</Properties>
</file>