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1FAE3">
      <w:pPr>
        <w:jc w:val="center"/>
        <w:rPr>
          <w:rFonts w:hint="eastAsia" w:eastAsia="方正小标宋_GBK"/>
          <w:sz w:val="48"/>
          <w:szCs w:val="48"/>
        </w:rPr>
      </w:pPr>
      <w:bookmarkStart w:id="0" w:name="_GoBack"/>
      <w:bookmarkEnd w:id="0"/>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株洲市芦淞区统计局</w:t>
      </w:r>
    </w:p>
    <w:p w14:paraId="03F5D9E3">
      <w:pPr>
        <w:jc w:val="center"/>
        <w:rPr>
          <w:rFonts w:eastAsia="方正小标宋_GBK"/>
          <w:sz w:val="48"/>
          <w:szCs w:val="48"/>
        </w:rPr>
      </w:pPr>
      <w:r>
        <w:rPr>
          <w:rFonts w:hint="eastAsia" w:eastAsia="方正小标宋_GBK"/>
          <w:sz w:val="48"/>
          <w:szCs w:val="48"/>
          <w:lang w:eastAsia="zh-CN"/>
        </w:rPr>
        <w:t>整体</w:t>
      </w:r>
      <w:r>
        <w:rPr>
          <w:rFonts w:eastAsia="方正小标宋_GBK"/>
          <w:sz w:val="48"/>
          <w:szCs w:val="48"/>
        </w:rPr>
        <w:t>支出绩效自评报告</w:t>
      </w:r>
    </w:p>
    <w:p w14:paraId="6FA0FAAF">
      <w:pPr>
        <w:jc w:val="center"/>
        <w:rPr>
          <w:rFonts w:eastAsia="楷体_GB2312"/>
          <w:b/>
          <w:sz w:val="32"/>
          <w:szCs w:val="32"/>
        </w:rPr>
      </w:pPr>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0476C4DE">
      <w:pPr>
        <w:jc w:val="both"/>
        <w:rPr>
          <w:rFonts w:eastAsia="黑体"/>
          <w:sz w:val="44"/>
          <w:szCs w:val="44"/>
        </w:rPr>
      </w:pPr>
    </w:p>
    <w:p w14:paraId="4B6E8B57">
      <w:pPr>
        <w:ind w:firstLine="880" w:firstLineChars="200"/>
        <w:jc w:val="center"/>
        <w:rPr>
          <w:rFonts w:eastAsia="黑体"/>
          <w:sz w:val="44"/>
          <w:szCs w:val="44"/>
        </w:rPr>
      </w:pPr>
    </w:p>
    <w:p w14:paraId="1E2E0573">
      <w:pPr>
        <w:ind w:firstLine="880" w:firstLineChars="200"/>
        <w:jc w:val="center"/>
        <w:rPr>
          <w:rFonts w:eastAsia="黑体"/>
          <w:sz w:val="44"/>
          <w:szCs w:val="44"/>
        </w:rPr>
      </w:pPr>
    </w:p>
    <w:p w14:paraId="2304FDD0">
      <w:pPr>
        <w:ind w:firstLine="720" w:firstLineChars="200"/>
        <w:jc w:val="center"/>
        <w:rPr>
          <w:rFonts w:eastAsia="黑体"/>
          <w:sz w:val="36"/>
          <w:szCs w:val="36"/>
        </w:rPr>
      </w:pPr>
      <w:r>
        <w:rPr>
          <w:rFonts w:eastAsia="黑体"/>
          <w:sz w:val="36"/>
          <w:szCs w:val="36"/>
        </w:rPr>
        <w:t>单位名称（盖章）：</w:t>
      </w:r>
    </w:p>
    <w:p w14:paraId="6F92C1D1">
      <w:pPr>
        <w:jc w:val="center"/>
        <w:rPr>
          <w:rFonts w:eastAsia="黑体"/>
          <w:sz w:val="36"/>
          <w:szCs w:val="36"/>
        </w:rPr>
      </w:pPr>
    </w:p>
    <w:p w14:paraId="40CAF117">
      <w:pPr>
        <w:jc w:val="center"/>
        <w:rPr>
          <w:rFonts w:eastAsia="黑体"/>
          <w:sz w:val="32"/>
          <w:szCs w:val="32"/>
        </w:rPr>
      </w:pPr>
    </w:p>
    <w:p w14:paraId="0064EFF6">
      <w:pPr>
        <w:jc w:val="center"/>
        <w:rPr>
          <w:rFonts w:eastAsia="黑体"/>
          <w:sz w:val="32"/>
          <w:szCs w:val="32"/>
        </w:rPr>
      </w:pPr>
    </w:p>
    <w:p w14:paraId="76CC390B">
      <w:pPr>
        <w:jc w:val="center"/>
        <w:rPr>
          <w:rFonts w:eastAsia="黑体"/>
          <w:sz w:val="32"/>
          <w:szCs w:val="32"/>
        </w:rPr>
      </w:pPr>
    </w:p>
    <w:p w14:paraId="18000E1F">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48CE3933">
      <w:pPr>
        <w:jc w:val="center"/>
        <w:rPr>
          <w:rFonts w:eastAsia="仿宋_GB2312"/>
          <w:sz w:val="32"/>
          <w:szCs w:val="32"/>
        </w:rPr>
      </w:pPr>
      <w:r>
        <w:rPr>
          <w:rFonts w:eastAsia="仿宋_GB2312"/>
          <w:sz w:val="32"/>
          <w:szCs w:val="32"/>
        </w:rPr>
        <w:t>（此页为封面）</w:t>
      </w:r>
    </w:p>
    <w:p w14:paraId="7505B1A1">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rPr>
        <w:t>区统计局</w:t>
      </w:r>
      <w:r>
        <w:rPr>
          <w:rFonts w:eastAsia="楷体_GB2312"/>
          <w:b/>
          <w:sz w:val="32"/>
          <w:szCs w:val="32"/>
        </w:rPr>
        <w:t>基本情况</w:t>
      </w:r>
    </w:p>
    <w:p w14:paraId="48E5E505">
      <w:pPr>
        <w:spacing w:line="580" w:lineRule="exact"/>
        <w:ind w:firstLine="640" w:firstLineChars="200"/>
        <w:rPr>
          <w:rFonts w:hint="eastAsia" w:eastAsia="仿宋"/>
          <w:color w:val="auto"/>
          <w:sz w:val="32"/>
          <w:szCs w:val="32"/>
        </w:rPr>
      </w:pPr>
      <w:r>
        <w:rPr>
          <w:rFonts w:hint="eastAsia" w:eastAsia="仿宋"/>
          <w:color w:val="auto"/>
          <w:sz w:val="32"/>
          <w:szCs w:val="32"/>
        </w:rPr>
        <w:t>1</w:t>
      </w:r>
      <w:r>
        <w:rPr>
          <w:rFonts w:hint="eastAsia" w:eastAsia="仿宋"/>
          <w:color w:val="auto"/>
          <w:sz w:val="32"/>
          <w:szCs w:val="32"/>
          <w:lang w:eastAsia="zh-CN"/>
        </w:rPr>
        <w:t>、</w:t>
      </w:r>
      <w:r>
        <w:rPr>
          <w:rFonts w:hint="eastAsia" w:eastAsia="仿宋"/>
          <w:color w:val="auto"/>
          <w:sz w:val="32"/>
          <w:szCs w:val="32"/>
        </w:rPr>
        <w:t>主要职能。</w:t>
      </w:r>
    </w:p>
    <w:p w14:paraId="072A2C92">
      <w:pPr>
        <w:spacing w:line="580" w:lineRule="exact"/>
        <w:ind w:firstLine="640" w:firstLineChars="200"/>
        <w:rPr>
          <w:rFonts w:hint="eastAsia" w:eastAsia="仿宋"/>
          <w:color w:val="auto"/>
          <w:sz w:val="32"/>
          <w:szCs w:val="32"/>
        </w:rPr>
      </w:pPr>
      <w:r>
        <w:rPr>
          <w:rFonts w:hint="eastAsia" w:eastAsia="仿宋"/>
          <w:color w:val="auto"/>
          <w:sz w:val="32"/>
          <w:szCs w:val="32"/>
        </w:rPr>
        <w:t>区统计局的主要职责是：</w:t>
      </w:r>
    </w:p>
    <w:p w14:paraId="256ACBA9">
      <w:pPr>
        <w:spacing w:line="580" w:lineRule="exact"/>
        <w:ind w:firstLine="640" w:firstLineChars="200"/>
        <w:rPr>
          <w:rFonts w:hint="eastAsia" w:eastAsia="仿宋"/>
          <w:color w:val="auto"/>
          <w:sz w:val="32"/>
          <w:szCs w:val="32"/>
        </w:rPr>
      </w:pPr>
      <w:r>
        <w:rPr>
          <w:rFonts w:hint="eastAsia" w:eastAsia="仿宋"/>
          <w:color w:val="auto"/>
          <w:sz w:val="32"/>
          <w:szCs w:val="32"/>
        </w:rPr>
        <w:t>（1）贯彻执行国家、省、市有关统计工作的法律、法规和方针、政策。</w:t>
      </w:r>
    </w:p>
    <w:p w14:paraId="03BE6308">
      <w:pPr>
        <w:spacing w:line="580" w:lineRule="exact"/>
        <w:ind w:firstLine="640" w:firstLineChars="200"/>
        <w:rPr>
          <w:rFonts w:hint="eastAsia" w:eastAsia="仿宋"/>
          <w:color w:val="auto"/>
          <w:sz w:val="32"/>
          <w:szCs w:val="32"/>
        </w:rPr>
      </w:pPr>
      <w:r>
        <w:rPr>
          <w:rFonts w:hint="eastAsia" w:eastAsia="仿宋"/>
          <w:color w:val="auto"/>
          <w:sz w:val="32"/>
          <w:szCs w:val="32"/>
        </w:rPr>
        <w:t>（2）拟订全区统计工作规划并组织实施；指导和协调全区统计业务工作；审核批准区直各部门的统计调查计划及调查方案；组织和指导基层单位加强统计基础建设。</w:t>
      </w:r>
    </w:p>
    <w:p w14:paraId="13821399">
      <w:pPr>
        <w:spacing w:line="580" w:lineRule="exact"/>
        <w:ind w:firstLine="640" w:firstLineChars="200"/>
        <w:rPr>
          <w:rFonts w:hint="eastAsia" w:eastAsia="仿宋"/>
          <w:color w:val="auto"/>
          <w:sz w:val="32"/>
          <w:szCs w:val="32"/>
        </w:rPr>
      </w:pPr>
      <w:r>
        <w:rPr>
          <w:rFonts w:hint="eastAsia" w:eastAsia="仿宋"/>
          <w:color w:val="auto"/>
          <w:sz w:val="32"/>
          <w:szCs w:val="32"/>
        </w:rPr>
        <w:t xml:space="preserve">（3）负责全区第一、二、三产业、基本单位以及人口与劳动就业等统计工作；负责全区国民经济核算工作；牵头组织全区经济、人口和农业等普查工作；承担有关专项调查工作。   </w:t>
      </w:r>
    </w:p>
    <w:p w14:paraId="0249BD95">
      <w:pPr>
        <w:spacing w:line="580" w:lineRule="exact"/>
        <w:ind w:firstLine="640" w:firstLineChars="200"/>
        <w:rPr>
          <w:rFonts w:hint="eastAsia" w:eastAsia="仿宋"/>
          <w:color w:val="auto"/>
          <w:sz w:val="32"/>
          <w:szCs w:val="32"/>
        </w:rPr>
      </w:pPr>
      <w:r>
        <w:rPr>
          <w:rFonts w:hint="eastAsia" w:eastAsia="仿宋"/>
          <w:color w:val="auto"/>
          <w:sz w:val="32"/>
          <w:szCs w:val="32"/>
        </w:rPr>
        <w:t>（4）负责对全区国民经济运行情况进行统计分析、统计预测、统计检查和监督，并为区委、区政府提供统计资料。</w:t>
      </w:r>
    </w:p>
    <w:p w14:paraId="4F87A601">
      <w:pPr>
        <w:spacing w:line="580" w:lineRule="exact"/>
        <w:ind w:firstLine="640" w:firstLineChars="200"/>
        <w:rPr>
          <w:rFonts w:hint="eastAsia" w:eastAsia="仿宋"/>
          <w:color w:val="auto"/>
          <w:sz w:val="32"/>
          <w:szCs w:val="32"/>
        </w:rPr>
      </w:pPr>
      <w:r>
        <w:rPr>
          <w:rFonts w:hint="eastAsia" w:eastAsia="仿宋"/>
          <w:color w:val="auto"/>
          <w:sz w:val="32"/>
          <w:szCs w:val="32"/>
        </w:rPr>
        <w:t>（5）负责全区有关考核的统计监测工作。</w:t>
      </w:r>
    </w:p>
    <w:p w14:paraId="548B8668">
      <w:pPr>
        <w:spacing w:line="580" w:lineRule="exact"/>
        <w:ind w:firstLine="640" w:firstLineChars="200"/>
        <w:rPr>
          <w:rFonts w:hint="eastAsia" w:eastAsia="仿宋"/>
          <w:color w:val="auto"/>
          <w:sz w:val="32"/>
          <w:szCs w:val="32"/>
        </w:rPr>
      </w:pPr>
      <w:r>
        <w:rPr>
          <w:rFonts w:hint="eastAsia" w:eastAsia="仿宋"/>
          <w:color w:val="auto"/>
          <w:sz w:val="32"/>
          <w:szCs w:val="32"/>
        </w:rPr>
        <w:t>（6）负责定期发布全区国民经济、社会发展情况和相关普查、专项调查结果。</w:t>
      </w:r>
    </w:p>
    <w:p w14:paraId="5FA69F96">
      <w:pPr>
        <w:spacing w:line="580" w:lineRule="exact"/>
        <w:ind w:firstLine="640" w:firstLineChars="200"/>
        <w:rPr>
          <w:rFonts w:hint="eastAsia" w:eastAsia="仿宋"/>
          <w:color w:val="auto"/>
          <w:sz w:val="32"/>
          <w:szCs w:val="32"/>
        </w:rPr>
      </w:pPr>
      <w:r>
        <w:rPr>
          <w:rFonts w:hint="eastAsia" w:eastAsia="仿宋"/>
          <w:color w:val="auto"/>
          <w:sz w:val="32"/>
          <w:szCs w:val="32"/>
        </w:rPr>
        <w:t>（7）负责全区统计信息化工作；负责统计数据库的建设和管理工作；负责统计网络安全与维护工作。</w:t>
      </w:r>
    </w:p>
    <w:p w14:paraId="68D155A3">
      <w:pPr>
        <w:spacing w:line="580" w:lineRule="exact"/>
        <w:ind w:firstLine="640" w:firstLineChars="200"/>
        <w:rPr>
          <w:rFonts w:hint="eastAsia" w:eastAsia="仿宋"/>
          <w:color w:val="auto"/>
          <w:sz w:val="32"/>
          <w:szCs w:val="32"/>
        </w:rPr>
      </w:pPr>
      <w:r>
        <w:rPr>
          <w:rFonts w:hint="eastAsia" w:eastAsia="仿宋"/>
          <w:color w:val="auto"/>
          <w:sz w:val="32"/>
          <w:szCs w:val="32"/>
        </w:rPr>
        <w:t>（8）组织指导全区统计科研、教育和宣传工作；会同有关部门承办全区统计专业资格考试和职称评审有关工作。 </w:t>
      </w:r>
    </w:p>
    <w:p w14:paraId="68468738">
      <w:pPr>
        <w:spacing w:line="580" w:lineRule="exact"/>
        <w:ind w:firstLine="640" w:firstLineChars="200"/>
        <w:rPr>
          <w:rFonts w:hint="eastAsia" w:eastAsia="仿宋"/>
          <w:color w:val="auto"/>
          <w:sz w:val="32"/>
          <w:szCs w:val="32"/>
        </w:rPr>
      </w:pPr>
      <w:r>
        <w:rPr>
          <w:rFonts w:hint="eastAsia" w:eastAsia="仿宋"/>
          <w:color w:val="auto"/>
          <w:sz w:val="32"/>
          <w:szCs w:val="32"/>
        </w:rPr>
        <w:t>（9）负责有关行政诉讼应诉工作。</w:t>
      </w:r>
    </w:p>
    <w:p w14:paraId="492A7339">
      <w:pPr>
        <w:spacing w:line="580" w:lineRule="exact"/>
        <w:ind w:firstLine="640" w:firstLineChars="200"/>
        <w:rPr>
          <w:rFonts w:hint="eastAsia" w:eastAsia="仿宋"/>
          <w:color w:val="auto"/>
          <w:sz w:val="32"/>
          <w:szCs w:val="32"/>
        </w:rPr>
      </w:pPr>
      <w:r>
        <w:rPr>
          <w:rFonts w:hint="eastAsia" w:eastAsia="仿宋"/>
          <w:color w:val="auto"/>
          <w:sz w:val="32"/>
          <w:szCs w:val="32"/>
        </w:rPr>
        <w:t>（10）负责上级统计部门交办的有关统计工作任务。</w:t>
      </w:r>
    </w:p>
    <w:p w14:paraId="397B6AE6">
      <w:pPr>
        <w:spacing w:line="580" w:lineRule="exact"/>
        <w:ind w:firstLine="640" w:firstLineChars="200"/>
        <w:rPr>
          <w:rFonts w:hint="eastAsia" w:eastAsia="仿宋"/>
          <w:color w:val="auto"/>
          <w:sz w:val="32"/>
          <w:szCs w:val="32"/>
        </w:rPr>
      </w:pPr>
      <w:r>
        <w:rPr>
          <w:rFonts w:hint="eastAsia" w:eastAsia="仿宋"/>
          <w:color w:val="auto"/>
          <w:sz w:val="32"/>
          <w:szCs w:val="32"/>
        </w:rPr>
        <w:t>（11）完成区委、区政府交办的其他任务。</w:t>
      </w:r>
    </w:p>
    <w:p w14:paraId="1037D2C7">
      <w:pPr>
        <w:spacing w:line="580" w:lineRule="exact"/>
        <w:ind w:firstLine="640" w:firstLineChars="200"/>
        <w:rPr>
          <w:rFonts w:hint="eastAsia" w:eastAsia="仿宋"/>
          <w:color w:val="auto"/>
          <w:sz w:val="32"/>
          <w:szCs w:val="32"/>
        </w:rPr>
      </w:pPr>
      <w:r>
        <w:rPr>
          <w:rFonts w:hint="eastAsia" w:eastAsia="仿宋"/>
          <w:color w:val="auto"/>
          <w:sz w:val="32"/>
          <w:szCs w:val="32"/>
        </w:rPr>
        <w:t>2</w:t>
      </w:r>
      <w:r>
        <w:rPr>
          <w:rFonts w:hint="eastAsia" w:eastAsia="仿宋"/>
          <w:color w:val="auto"/>
          <w:sz w:val="32"/>
          <w:szCs w:val="32"/>
          <w:lang w:eastAsia="zh-CN"/>
        </w:rPr>
        <w:t>、</w:t>
      </w:r>
      <w:r>
        <w:rPr>
          <w:rFonts w:hint="eastAsia" w:eastAsia="仿宋"/>
          <w:color w:val="auto"/>
          <w:sz w:val="32"/>
          <w:szCs w:val="32"/>
        </w:rPr>
        <w:t>机构情况。</w:t>
      </w:r>
    </w:p>
    <w:p w14:paraId="5A1666F6">
      <w:pPr>
        <w:spacing w:line="580" w:lineRule="exact"/>
        <w:ind w:firstLine="640" w:firstLineChars="200"/>
        <w:rPr>
          <w:rFonts w:hint="eastAsia" w:eastAsia="仿宋"/>
          <w:color w:val="auto"/>
          <w:sz w:val="32"/>
          <w:szCs w:val="32"/>
        </w:rPr>
      </w:pPr>
      <w:r>
        <w:rPr>
          <w:rFonts w:hint="eastAsia" w:eastAsia="仿宋"/>
          <w:color w:val="auto"/>
          <w:sz w:val="32"/>
          <w:szCs w:val="32"/>
        </w:rPr>
        <w:t>株洲市芦淞区统计局（以下简称区统计局）是区政府工作部门，为正科级。现有股室3个：办公室和综合核算股、第一二产业和投资统计股、第三产业和社会事业统计股，下设2个副科级全额拨款公益一类事业单位。</w:t>
      </w:r>
    </w:p>
    <w:p w14:paraId="682860AF">
      <w:pPr>
        <w:spacing w:line="580" w:lineRule="exact"/>
        <w:ind w:firstLine="640" w:firstLineChars="200"/>
        <w:rPr>
          <w:rFonts w:hint="eastAsia" w:eastAsia="仿宋"/>
          <w:color w:val="auto"/>
          <w:sz w:val="32"/>
          <w:szCs w:val="32"/>
        </w:rPr>
      </w:pPr>
      <w:r>
        <w:rPr>
          <w:rFonts w:hint="eastAsia" w:eastAsia="仿宋"/>
          <w:color w:val="auto"/>
          <w:sz w:val="32"/>
          <w:szCs w:val="32"/>
        </w:rPr>
        <w:t>3</w:t>
      </w:r>
      <w:r>
        <w:rPr>
          <w:rFonts w:hint="eastAsia" w:eastAsia="仿宋"/>
          <w:color w:val="auto"/>
          <w:sz w:val="32"/>
          <w:szCs w:val="32"/>
          <w:lang w:eastAsia="zh-CN"/>
        </w:rPr>
        <w:t>、</w:t>
      </w:r>
      <w:r>
        <w:rPr>
          <w:rFonts w:hint="eastAsia" w:eastAsia="仿宋"/>
          <w:color w:val="auto"/>
          <w:sz w:val="32"/>
          <w:szCs w:val="32"/>
        </w:rPr>
        <w:t>人员情况。</w:t>
      </w:r>
    </w:p>
    <w:p w14:paraId="49736C62">
      <w:pPr>
        <w:spacing w:line="580" w:lineRule="exact"/>
        <w:ind w:firstLine="640" w:firstLineChars="200"/>
        <w:rPr>
          <w:rFonts w:hint="eastAsia" w:eastAsia="仿宋"/>
          <w:color w:val="auto"/>
          <w:sz w:val="32"/>
          <w:szCs w:val="32"/>
        </w:rPr>
      </w:pPr>
      <w:r>
        <w:rPr>
          <w:rFonts w:hint="eastAsia" w:eastAsia="仿宋"/>
          <w:color w:val="auto"/>
          <w:sz w:val="32"/>
          <w:szCs w:val="32"/>
        </w:rPr>
        <w:t>区统计局截至2024年12月末实有人数18人，其中在职在编14人，退休1人，无固定期限人员3人。</w:t>
      </w:r>
    </w:p>
    <w:p w14:paraId="0988FCFA">
      <w:pPr>
        <w:spacing w:line="600" w:lineRule="exact"/>
        <w:ind w:firstLine="643" w:firstLineChars="200"/>
        <w:rPr>
          <w:rFonts w:eastAsia="楷体_GB2312"/>
          <w:b/>
          <w:sz w:val="32"/>
          <w:szCs w:val="32"/>
        </w:rPr>
      </w:pPr>
      <w:r>
        <w:rPr>
          <w:rFonts w:eastAsia="楷体_GB2312"/>
          <w:b/>
          <w:sz w:val="32"/>
          <w:szCs w:val="32"/>
        </w:rPr>
        <w:t>（二）</w:t>
      </w:r>
      <w:r>
        <w:rPr>
          <w:rFonts w:hint="eastAsia" w:eastAsia="楷体_GB2312"/>
          <w:b/>
          <w:sz w:val="32"/>
          <w:szCs w:val="32"/>
        </w:rPr>
        <w:t>区统计局</w:t>
      </w:r>
      <w:r>
        <w:rPr>
          <w:rFonts w:eastAsia="楷体_GB2312"/>
          <w:b/>
          <w:sz w:val="32"/>
          <w:szCs w:val="32"/>
        </w:rPr>
        <w:t>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115430CE">
      <w:pPr>
        <w:spacing w:line="600" w:lineRule="exact"/>
        <w:ind w:firstLine="643" w:firstLineChars="200"/>
        <w:rPr>
          <w:rFonts w:eastAsia="楷体_GB2312"/>
          <w:b/>
          <w:sz w:val="32"/>
          <w:szCs w:val="32"/>
          <w:highlight w:val="none"/>
        </w:rPr>
      </w:pPr>
      <w:r>
        <w:rPr>
          <w:rFonts w:hint="eastAsia" w:eastAsia="楷体_GB2312"/>
          <w:b/>
          <w:sz w:val="32"/>
          <w:szCs w:val="32"/>
        </w:rPr>
        <w:t>1、</w:t>
      </w:r>
      <w:r>
        <w:rPr>
          <w:rFonts w:eastAsia="楷体_GB2312"/>
          <w:b/>
          <w:sz w:val="32"/>
          <w:szCs w:val="32"/>
        </w:rPr>
        <w:t>年度</w:t>
      </w:r>
      <w:r>
        <w:rPr>
          <w:rFonts w:eastAsia="楷体_GB2312"/>
          <w:b/>
          <w:sz w:val="32"/>
          <w:szCs w:val="32"/>
          <w:highlight w:val="none"/>
        </w:rPr>
        <w:t>整体支出绩效目标</w:t>
      </w:r>
    </w:p>
    <w:p w14:paraId="30EE1B15">
      <w:pPr>
        <w:keepNext w:val="0"/>
        <w:keepLines w:val="0"/>
        <w:pageBreakBefore w:val="0"/>
        <w:kinsoku/>
        <w:wordWrap/>
        <w:overflowPunct/>
        <w:topLinePunct w:val="0"/>
        <w:autoSpaceDE/>
        <w:autoSpaceDN/>
        <w:bidi w:val="0"/>
        <w:spacing w:line="560" w:lineRule="exact"/>
        <w:ind w:left="0" w:firstLine="640" w:firstLineChars="200"/>
        <w:jc w:val="both"/>
        <w:rPr>
          <w:rFonts w:hint="eastAsia" w:ascii="仿宋" w:hAnsi="仿宋" w:eastAsia="仿宋" w:cs="仿宋"/>
          <w:b w:val="0"/>
          <w:bCs w:val="0"/>
          <w:color w:val="4C4C4C"/>
          <w:sz w:val="32"/>
          <w:szCs w:val="32"/>
        </w:rPr>
      </w:pP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年我局根据年初工作规划和重点性工作，</w:t>
      </w:r>
      <w:r>
        <w:rPr>
          <w:rFonts w:hint="eastAsia" w:ascii="仿宋" w:hAnsi="仿宋" w:eastAsia="仿宋" w:cs="仿宋"/>
          <w:b w:val="0"/>
          <w:bCs w:val="0"/>
          <w:color w:val="4C4C4C"/>
          <w:sz w:val="32"/>
          <w:szCs w:val="32"/>
        </w:rPr>
        <w:t>（1）承担全区国民经济和社会发展情况分析、监测和研究工作；定期发布全区国民经济、社会发展情况及相关普查、专项调查结果；承担全区国民经济、文化产业、非公经济、中小企业增加值的核算工作；承担全区投入产出调查工作。（2）承担全区工业统计与核算工作；承担全区批发业、零售业、住宿业、餐饮业、地质勘探、信息传输、交通运输仓储业、邮政通讯业、计算机服务、软件业和居民服务业等三产业的相关统计与核算工作；指导全区镇（街道）、村（社区）两级经济社会的综合统计工作。</w:t>
      </w:r>
      <w:r>
        <w:rPr>
          <w:rFonts w:hint="eastAsia" w:ascii="仿宋" w:hAnsi="仿宋" w:eastAsia="仿宋" w:cs="仿宋"/>
          <w:b w:val="0"/>
          <w:bCs w:val="0"/>
          <w:sz w:val="32"/>
          <w:szCs w:val="32"/>
        </w:rPr>
        <w:t>完成区委、区政府交办的其他重点工作。</w:t>
      </w:r>
    </w:p>
    <w:p w14:paraId="4A2C7954">
      <w:pPr>
        <w:spacing w:line="600" w:lineRule="exact"/>
        <w:ind w:firstLine="643" w:firstLineChars="200"/>
        <w:rPr>
          <w:rFonts w:eastAsia="楷体_GB2312"/>
          <w:b/>
          <w:sz w:val="32"/>
          <w:szCs w:val="32"/>
        </w:rPr>
      </w:pPr>
      <w:r>
        <w:rPr>
          <w:rFonts w:hint="eastAsia" w:eastAsia="楷体_GB2312"/>
          <w:b/>
          <w:sz w:val="32"/>
          <w:szCs w:val="32"/>
        </w:rPr>
        <w:t>2、</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p>
    <w:p w14:paraId="01C51EC3">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综合统计工作专项：做好经济运行监测统计（投资、建筑业、房地产业、规模工业、服务业、贸易环资、劳资等），组织指导、综合协调本辖区单位报送各类统计报表，完成国家和地方布置的统计调查任务和为党政领导、社会公众提供统计服务，及时对辖区内单位和个体户进行变更登记，对基本单位名录库及个体名录库进行维护更新。</w:t>
      </w:r>
    </w:p>
    <w:p w14:paraId="12476A4D">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经济普查工作：全面调查掌握我区第二产业和第三产业的发展规模及布局，了解产业组织、产业结构、产业技术现状以及各生产要素的构成，摸清全区各类企业和单位的基本情况，建立健全覆盖国民经济各个行业的基本单位名录库、基础信息数据库和统计电子地理信息系统。</w:t>
      </w:r>
    </w:p>
    <w:p w14:paraId="696D7CC4">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四上企业培育工作：激发市场主体活力，鼓励更多市场主体升规入统为“四上”企业，巩固壮大全区经济总量，确保我区“四上”企业数量和质量双提升，推动全区经济高质量发展。</w:t>
      </w:r>
    </w:p>
    <w:p w14:paraId="65FF2321">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4"/>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4"/>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1、2024年预算资金487.85万元。</w:t>
      </w:r>
    </w:p>
    <w:p w14:paraId="36097CFC">
      <w:pPr>
        <w:pStyle w:val="4"/>
        <w:spacing w:line="600" w:lineRule="exact"/>
        <w:ind w:firstLine="643"/>
        <w:rPr>
          <w:rFonts w:hint="default" w:eastAsia="仿宋"/>
          <w:color w:val="auto"/>
          <w:sz w:val="32"/>
          <w:szCs w:val="32"/>
          <w:lang w:val="en-US" w:eastAsia="zh-CN"/>
        </w:rPr>
      </w:pPr>
      <w:r>
        <w:rPr>
          <w:rFonts w:hint="eastAsia" w:ascii="Times New Roman" w:hAnsi="Times New Roman" w:eastAsia="仿宋" w:cs="Times New Roman"/>
          <w:color w:val="auto"/>
          <w:kern w:val="2"/>
          <w:sz w:val="32"/>
          <w:szCs w:val="32"/>
          <w:lang w:val="en-US" w:eastAsia="zh-CN" w:bidi="ar-SA"/>
        </w:rPr>
        <w:t>2、2024年度单位一般公</w:t>
      </w:r>
      <w:r>
        <w:rPr>
          <w:rFonts w:hint="eastAsia" w:eastAsia="仿宋"/>
          <w:color w:val="auto"/>
          <w:sz w:val="32"/>
          <w:szCs w:val="32"/>
        </w:rPr>
        <w:t>共预算财政拨款</w:t>
      </w:r>
      <w:r>
        <w:rPr>
          <w:rFonts w:eastAsia="仿宋"/>
          <w:color w:val="auto"/>
          <w:sz w:val="32"/>
          <w:szCs w:val="32"/>
        </w:rPr>
        <w:t>收入</w:t>
      </w:r>
      <w:r>
        <w:rPr>
          <w:rFonts w:hint="eastAsia" w:ascii="Times New Roman" w:hAnsi="Times New Roman" w:eastAsia="仿宋" w:cs="Times New Roman"/>
          <w:color w:val="auto"/>
          <w:kern w:val="2"/>
          <w:sz w:val="32"/>
          <w:szCs w:val="32"/>
          <w:lang w:val="en-US" w:eastAsia="zh-CN" w:bidi="ar-SA"/>
        </w:rPr>
        <w:t>441.71</w:t>
      </w:r>
      <w:r>
        <w:rPr>
          <w:rFonts w:hint="eastAsia" w:eastAsia="仿宋"/>
          <w:color w:val="auto"/>
          <w:sz w:val="32"/>
          <w:szCs w:val="32"/>
          <w:lang w:val="en-US" w:eastAsia="zh-CN"/>
        </w:rPr>
        <w:t>万元。</w:t>
      </w:r>
    </w:p>
    <w:p w14:paraId="65368BC4">
      <w:pPr>
        <w:spacing w:line="580" w:lineRule="exact"/>
        <w:ind w:firstLine="640" w:firstLineChars="200"/>
        <w:rPr>
          <w:rFonts w:hint="eastAsia" w:eastAsia="仿宋"/>
          <w:color w:val="0000FF"/>
          <w:sz w:val="32"/>
          <w:szCs w:val="32"/>
          <w:lang w:val="en-US" w:eastAsia="zh-CN"/>
        </w:rPr>
      </w:pPr>
      <w:r>
        <w:rPr>
          <w:rFonts w:eastAsia="仿宋"/>
          <w:color w:val="auto"/>
          <w:sz w:val="32"/>
          <w:szCs w:val="32"/>
        </w:rPr>
        <w:t>3</w:t>
      </w:r>
      <w:r>
        <w:rPr>
          <w:rFonts w:hint="eastAsia" w:eastAsia="仿宋"/>
          <w:color w:val="auto"/>
          <w:sz w:val="32"/>
          <w:szCs w:val="32"/>
          <w:lang w:eastAsia="zh-CN"/>
        </w:rPr>
        <w:t>、</w:t>
      </w:r>
      <w:r>
        <w:rPr>
          <w:rFonts w:hint="eastAsia" w:eastAsia="仿宋"/>
          <w:color w:val="auto"/>
          <w:sz w:val="32"/>
          <w:szCs w:val="32"/>
          <w:lang w:val="en-US" w:eastAsia="zh-CN"/>
        </w:rPr>
        <w:t>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支出441.71</w:t>
      </w:r>
      <w:r>
        <w:rPr>
          <w:rFonts w:hint="eastAsia" w:eastAsia="仿宋"/>
          <w:color w:val="auto"/>
          <w:sz w:val="32"/>
          <w:szCs w:val="32"/>
          <w:lang w:val="en-US" w:eastAsia="zh-CN"/>
        </w:rPr>
        <w:t>万元，</w:t>
      </w:r>
      <w:r>
        <w:rPr>
          <w:rFonts w:eastAsia="仿宋"/>
          <w:color w:val="auto"/>
          <w:sz w:val="32"/>
          <w:szCs w:val="32"/>
        </w:rPr>
        <w:t>其中：项目支出</w:t>
      </w:r>
      <w:r>
        <w:rPr>
          <w:rFonts w:hint="eastAsia" w:eastAsia="仿宋"/>
          <w:color w:val="auto"/>
          <w:sz w:val="32"/>
          <w:szCs w:val="32"/>
          <w:lang w:val="en-US" w:eastAsia="zh-CN"/>
        </w:rPr>
        <w:t>158.25</w:t>
      </w:r>
      <w:r>
        <w:rPr>
          <w:rFonts w:eastAsia="仿宋"/>
          <w:color w:val="auto"/>
          <w:sz w:val="32"/>
          <w:szCs w:val="32"/>
        </w:rPr>
        <w:t>万元，基本支出</w:t>
      </w:r>
      <w:r>
        <w:rPr>
          <w:rFonts w:hint="eastAsia" w:eastAsia="仿宋"/>
          <w:color w:val="auto"/>
          <w:sz w:val="32"/>
          <w:szCs w:val="32"/>
          <w:lang w:val="en-US" w:eastAsia="zh-CN"/>
        </w:rPr>
        <w:t>283.46</w:t>
      </w:r>
      <w:r>
        <w:rPr>
          <w:rFonts w:eastAsia="仿宋"/>
          <w:color w:val="auto"/>
          <w:sz w:val="32"/>
          <w:szCs w:val="32"/>
        </w:rPr>
        <w:t>万元，其中：人员经费</w:t>
      </w:r>
      <w:r>
        <w:rPr>
          <w:rFonts w:hint="eastAsia" w:eastAsia="仿宋"/>
          <w:color w:val="auto"/>
          <w:sz w:val="32"/>
          <w:szCs w:val="32"/>
          <w:lang w:val="en-US" w:eastAsia="zh-CN"/>
        </w:rPr>
        <w:t>239.74</w:t>
      </w:r>
      <w:r>
        <w:rPr>
          <w:rFonts w:eastAsia="仿宋"/>
          <w:color w:val="auto"/>
          <w:sz w:val="32"/>
          <w:szCs w:val="32"/>
        </w:rPr>
        <w:t>万元，公用经费</w:t>
      </w:r>
      <w:r>
        <w:rPr>
          <w:rFonts w:hint="eastAsia" w:eastAsia="仿宋"/>
          <w:color w:val="auto"/>
          <w:sz w:val="32"/>
          <w:szCs w:val="32"/>
          <w:lang w:val="en-US" w:eastAsia="zh-CN"/>
        </w:rPr>
        <w:t>43.72万</w:t>
      </w:r>
      <w:r>
        <w:rPr>
          <w:rFonts w:eastAsia="仿宋"/>
          <w:color w:val="auto"/>
          <w:sz w:val="32"/>
          <w:szCs w:val="32"/>
        </w:rPr>
        <w:t>元。</w:t>
      </w:r>
    </w:p>
    <w:p w14:paraId="546FC3FA">
      <w:pPr>
        <w:pStyle w:val="4"/>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7D11CB47">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2024年项目支出合计158.25万元，其中：1、经济普查项目支出43.98万元；2.基层统计调查补助经费项目支出6万元；3.“四上”企业培育工作项目支出27.55万元；4.综合统计工作专项经费80.72万元。</w:t>
      </w:r>
    </w:p>
    <w:p w14:paraId="7FAE22B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14:paraId="4DBA38A8">
      <w:pPr>
        <w:pStyle w:val="4"/>
        <w:numPr>
          <w:ilvl w:val="0"/>
          <w:numId w:val="0"/>
        </w:numPr>
        <w:spacing w:line="600" w:lineRule="exact"/>
        <w:ind w:firstLine="640" w:firstLineChars="200"/>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222B2C09">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四、国有资本经营预算支出情况</w:t>
      </w:r>
    </w:p>
    <w:p w14:paraId="6EB4AAA5">
      <w:pPr>
        <w:pStyle w:val="4"/>
        <w:spacing w:line="600" w:lineRule="exact"/>
        <w:ind w:firstLine="640"/>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无。</w:t>
      </w:r>
    </w:p>
    <w:p w14:paraId="69913414">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03054522">
      <w:pPr>
        <w:pStyle w:val="4"/>
        <w:spacing w:line="600" w:lineRule="exact"/>
        <w:ind w:firstLine="640"/>
        <w:rPr>
          <w:rFonts w:ascii="Times New Roman" w:hAnsi="Times New Roman" w:eastAsia="黑体"/>
          <w:sz w:val="32"/>
          <w:szCs w:val="32"/>
        </w:rPr>
      </w:pPr>
      <w:r>
        <w:rPr>
          <w:rFonts w:hint="eastAsia" w:ascii="Times New Roman" w:hAnsi="Times New Roman" w:eastAsia="仿宋" w:cs="Times New Roman"/>
          <w:color w:val="auto"/>
          <w:kern w:val="2"/>
          <w:sz w:val="32"/>
          <w:szCs w:val="32"/>
          <w:lang w:val="en-US" w:eastAsia="zh-CN" w:bidi="ar-SA"/>
        </w:rPr>
        <w:t>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679002F5">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1</w:t>
      </w:r>
      <w:r>
        <w:rPr>
          <w:rFonts w:hint="eastAsia" w:eastAsia="仿宋_GB2312"/>
          <w:color w:val="000000"/>
          <w:sz w:val="32"/>
          <w:szCs w:val="32"/>
          <w:lang w:eastAsia="zh-CN"/>
        </w:rPr>
        <w:t>、</w:t>
      </w:r>
      <w:r>
        <w:rPr>
          <w:rFonts w:hint="eastAsia" w:eastAsia="仿宋_GB2312"/>
          <w:color w:val="000000"/>
          <w:sz w:val="32"/>
          <w:szCs w:val="32"/>
        </w:rPr>
        <w:t>从严从实，确保管党治党责任全面落实。一是抓理论学习。坚持将习近平新时代中国特色社会主义思想和党的二十届三中全会精神作为党内重要会议“第一议题”，在研究重大事项、重要问题和重点工作时，严格对标对表。二是抓党纪教育。严格按照上级党纪学习安排，坚持个人自学与集体研讨相结合，确保党纪学习教育走深走实。三是抓业务提升。以新修订《统计法》为引领，全年开展集中学习40余次，常态化开展“统计开讲啦！”，提升干部综合能力。四是抓党风廉政。严格落实“一岗双责”，健全内部管理制度，坚持以制度管人管事，切实增强干部责任意识、岗位意识。</w:t>
      </w:r>
    </w:p>
    <w:p w14:paraId="68DADC49">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2</w:t>
      </w:r>
      <w:r>
        <w:rPr>
          <w:rFonts w:hint="eastAsia" w:eastAsia="仿宋_GB2312"/>
          <w:color w:val="000000"/>
          <w:sz w:val="32"/>
          <w:szCs w:val="32"/>
          <w:lang w:eastAsia="zh-CN"/>
        </w:rPr>
        <w:t>、</w:t>
      </w:r>
      <w:r>
        <w:rPr>
          <w:rFonts w:hint="eastAsia" w:eastAsia="仿宋_GB2312"/>
          <w:color w:val="000000"/>
          <w:sz w:val="32"/>
          <w:szCs w:val="32"/>
        </w:rPr>
        <w:t>立足本职，强化对全区经济运行的监测。一是领导高位推动。健全经济运行监测联席会、研判会、专项问题会商会等会议协商制度，区主要领导牵头，坚持每月分析研判，每季重点监测，共召开专题会议20余次，充分发挥了领导的决策引领作用。二是强化部门协同。加强发改、科工信、住建、商务、统计等多部门之间的协作联动，组织跨部门会商近20次，共同研判经济走势，针对监测中发现的问题，及时会商解决，确保经济运行监测工作的全面性与有效性。三是服务发展决策。报数后期及时组织专业人员深入企业了解企业生产经营状况、面临的困难与需求，挖掘经济运行中的亮点与新趋势。全区经济运行呈现稳中向好，稳中趋优的良好态势。</w:t>
      </w:r>
    </w:p>
    <w:p w14:paraId="7417897D">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3</w:t>
      </w:r>
      <w:r>
        <w:rPr>
          <w:rFonts w:hint="eastAsia" w:eastAsia="仿宋_GB2312"/>
          <w:color w:val="000000"/>
          <w:sz w:val="32"/>
          <w:szCs w:val="32"/>
          <w:lang w:eastAsia="zh-CN"/>
        </w:rPr>
        <w:t>、</w:t>
      </w:r>
      <w:r>
        <w:rPr>
          <w:rFonts w:hint="eastAsia" w:eastAsia="仿宋_GB2312"/>
          <w:color w:val="000000"/>
          <w:sz w:val="32"/>
          <w:szCs w:val="32"/>
        </w:rPr>
        <w:t>务求实效，全力推进“四上”企业培育。通过“抓节点、抓宣传、抓培训、抓审核”，实现量质齐升。抓节点，抓住月度申报和年度申报关键节点，对有望达标的企业进行一对一帮扶，指导整理申报材料，确保申报过程顺利。通过分批次、分专业实行即报即审即反馈，精准做好区级初审工作。</w:t>
      </w:r>
    </w:p>
    <w:p w14:paraId="5596BC38">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4</w:t>
      </w:r>
      <w:r>
        <w:rPr>
          <w:rFonts w:hint="eastAsia" w:eastAsia="仿宋_GB2312"/>
          <w:color w:val="000000"/>
          <w:sz w:val="32"/>
          <w:szCs w:val="32"/>
          <w:lang w:eastAsia="zh-CN"/>
        </w:rPr>
        <w:t>、</w:t>
      </w:r>
      <w:r>
        <w:rPr>
          <w:rFonts w:hint="eastAsia" w:eastAsia="仿宋_GB2312"/>
          <w:color w:val="000000"/>
          <w:sz w:val="32"/>
          <w:szCs w:val="32"/>
        </w:rPr>
        <w:t>攻坚克难，高质量完成“五经普”工作。一是领导高位推动。区委、区政府高度重视，主要领导亲自部署，先后24次组织召开经普工作推进会，明确工作责任，有序抓好节点推进。二是落实工作保障。强化经费保障，市区两级共计安排经费237万元，“两员”补贴及PAD、宣传物资等及时拨付，激发工作积极性。三是强化业务培训。通过集中培训与重点辅导，对区级领导、区直部门、镇（街道）以及全区普查“两员”和“四上”企业统计员分批次、分专业开展业务培训1200余人次，有效提升业务能力水平。四是严把数据质量。成立数据审核专班，综合运用公式审核、排序审核等多种方式开展奇异值审核，有序分类推进上报数据改错，建立审核差错通报机制，确保反馈问题及时整改。</w:t>
      </w:r>
    </w:p>
    <w:p w14:paraId="1A7CA44B">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5</w:t>
      </w:r>
      <w:r>
        <w:rPr>
          <w:rFonts w:hint="eastAsia" w:eastAsia="仿宋_GB2312"/>
          <w:color w:val="000000"/>
          <w:sz w:val="32"/>
          <w:szCs w:val="32"/>
          <w:lang w:eastAsia="zh-CN"/>
        </w:rPr>
        <w:t>、</w:t>
      </w:r>
      <w:r>
        <w:rPr>
          <w:rFonts w:hint="eastAsia" w:eastAsia="仿宋_GB2312"/>
          <w:color w:val="000000"/>
          <w:sz w:val="32"/>
          <w:szCs w:val="32"/>
        </w:rPr>
        <w:t>客观公正，全面加强统计法治建设。一是持之以恒宣传。今年以来，先后3次在区委常委会、区政府常务会上传达学习习近平总书记对统计工作的重要指示批示精神；开展统计法“进党校”活动。二是规范执法检查。依法依规抽选全区17家企业开展</w:t>
      </w:r>
      <w:r>
        <w:rPr>
          <w:rFonts w:hint="eastAsia" w:eastAsia="仿宋_GB2312"/>
          <w:color w:val="000000"/>
          <w:sz w:val="32"/>
          <w:szCs w:val="32"/>
          <w:lang w:eastAsia="zh-CN"/>
        </w:rPr>
        <w:t>“双随机、一公开”</w:t>
      </w:r>
      <w:r>
        <w:rPr>
          <w:rFonts w:hint="eastAsia" w:eastAsia="仿宋_GB2312"/>
          <w:color w:val="000000"/>
          <w:sz w:val="32"/>
          <w:szCs w:val="32"/>
        </w:rPr>
        <w:t>统计执法检查。三是强化数据核查。多次迎接省外贸处、省服务业处和市局两级数据核查，数据质量得到上级肯定；及时组织专业力量对数据异常企业开展走访，对企业数据进行“复盘”，以业务指导为“切入点”，进行“一对一”宣传培训。</w:t>
      </w:r>
    </w:p>
    <w:p w14:paraId="7164C901">
      <w:pPr>
        <w:spacing w:line="600" w:lineRule="exact"/>
        <w:ind w:firstLine="640" w:firstLineChars="200"/>
        <w:rPr>
          <w:rFonts w:eastAsia="仿宋_GB2312"/>
          <w:color w:val="000000"/>
          <w:sz w:val="32"/>
          <w:szCs w:val="32"/>
        </w:rPr>
      </w:pPr>
      <w:r>
        <w:rPr>
          <w:rFonts w:hint="eastAsia" w:eastAsia="仿宋_GB2312"/>
          <w:color w:val="000000"/>
          <w:sz w:val="32"/>
          <w:szCs w:val="32"/>
        </w:rPr>
        <w:t>6</w:t>
      </w:r>
      <w:r>
        <w:rPr>
          <w:rFonts w:hint="eastAsia" w:eastAsia="仿宋_GB2312"/>
          <w:color w:val="000000"/>
          <w:sz w:val="32"/>
          <w:szCs w:val="32"/>
          <w:lang w:eastAsia="zh-CN"/>
        </w:rPr>
        <w:t>、</w:t>
      </w:r>
      <w:r>
        <w:rPr>
          <w:rFonts w:hint="eastAsia" w:eastAsia="仿宋_GB2312"/>
          <w:color w:val="000000"/>
          <w:sz w:val="32"/>
          <w:szCs w:val="32"/>
        </w:rPr>
        <w:t>服务民生，全力夯实统计基层基础。开展好住户收支调查、劳动力调查、时间利用调查、农民工市民化调查、人口变动抽样调查等民生调查任务，高效完成住户调查周期内40户样本轮换工作。夯实统计数据“源头之基”，推进统计示范点建设，2024年聚焦建宁街道地区的服饰产业特色发展，全力打造建宁街道统计示范站，圆满通过市级验收。</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34BA3929">
      <w:pPr>
        <w:numPr>
          <w:ilvl w:val="0"/>
          <w:numId w:val="0"/>
        </w:numPr>
        <w:spacing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eastAsia="zh-CN"/>
        </w:rPr>
        <w:t>本部门202</w:t>
      </w:r>
      <w:r>
        <w:rPr>
          <w:rFonts w:hint="eastAsia" w:eastAsia="仿宋_GB2312"/>
          <w:color w:val="000000"/>
          <w:sz w:val="32"/>
          <w:szCs w:val="32"/>
          <w:lang w:val="en-US" w:eastAsia="zh-CN"/>
        </w:rPr>
        <w:t>4</w:t>
      </w:r>
      <w:r>
        <w:rPr>
          <w:rFonts w:hint="eastAsia" w:eastAsia="仿宋_GB2312"/>
          <w:color w:val="000000"/>
          <w:sz w:val="32"/>
          <w:szCs w:val="32"/>
          <w:lang w:eastAsia="zh-CN"/>
        </w:rPr>
        <w:t>年专项资金共</w:t>
      </w:r>
      <w:r>
        <w:rPr>
          <w:rFonts w:hint="eastAsia" w:eastAsia="仿宋_GB2312"/>
          <w:color w:val="000000"/>
          <w:sz w:val="32"/>
          <w:szCs w:val="32"/>
          <w:highlight w:val="none"/>
          <w:lang w:val="en-US" w:eastAsia="zh-CN"/>
        </w:rPr>
        <w:t>5</w:t>
      </w:r>
      <w:r>
        <w:rPr>
          <w:rFonts w:hint="eastAsia" w:eastAsia="仿宋_GB2312"/>
          <w:color w:val="000000"/>
          <w:sz w:val="32"/>
          <w:szCs w:val="32"/>
          <w:lang w:eastAsia="zh-CN"/>
        </w:rPr>
        <w:t>个，具体情况如下：</w:t>
      </w:r>
    </w:p>
    <w:p w14:paraId="1266363E">
      <w:pPr>
        <w:numPr>
          <w:ilvl w:val="0"/>
          <w:numId w:val="0"/>
        </w:numPr>
        <w:spacing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lang w:eastAsia="zh-CN"/>
        </w:rPr>
        <w:t>一是综合统计工作专项经费，预算支出</w:t>
      </w:r>
      <w:r>
        <w:rPr>
          <w:rFonts w:hint="eastAsia" w:eastAsia="仿宋_GB2312"/>
          <w:color w:val="000000"/>
          <w:sz w:val="32"/>
          <w:szCs w:val="32"/>
          <w:lang w:val="en-US" w:eastAsia="zh-CN"/>
        </w:rPr>
        <w:t>8</w:t>
      </w:r>
      <w:r>
        <w:rPr>
          <w:rFonts w:hint="eastAsia" w:eastAsia="仿宋_GB2312"/>
          <w:color w:val="000000"/>
          <w:sz w:val="32"/>
          <w:szCs w:val="32"/>
          <w:lang w:eastAsia="zh-CN"/>
        </w:rPr>
        <w:t>0万元，年中执行调增</w:t>
      </w:r>
      <w:r>
        <w:rPr>
          <w:rFonts w:hint="eastAsia" w:eastAsia="仿宋_GB2312"/>
          <w:color w:val="000000"/>
          <w:sz w:val="32"/>
          <w:szCs w:val="32"/>
          <w:lang w:val="en-US" w:eastAsia="zh-CN"/>
        </w:rPr>
        <w:t>5.36</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82.85</w:t>
      </w:r>
      <w:r>
        <w:rPr>
          <w:rFonts w:hint="eastAsia" w:eastAsia="仿宋_GB2312"/>
          <w:color w:val="000000"/>
          <w:sz w:val="32"/>
          <w:szCs w:val="32"/>
          <w:lang w:eastAsia="zh-CN"/>
        </w:rPr>
        <w:t>万元，结余结转2.51万元。该专项资金支出</w:t>
      </w:r>
      <w:r>
        <w:rPr>
          <w:rFonts w:hint="eastAsia" w:eastAsia="仿宋_GB2312"/>
          <w:color w:val="000000"/>
          <w:sz w:val="32"/>
          <w:szCs w:val="32"/>
          <w:highlight w:val="none"/>
          <w:lang w:eastAsia="zh-CN"/>
        </w:rPr>
        <w:t>包含了联网直报补贴、街道（镇）社区（村）统计工作、城乡住户、劳动力调查、决策咨询等综合统计工作，便于政府统计系统工作人员联合办公，及时掌握数据报送进度和催报报表，有效引导转型升级发展，提升经济数据质量。</w:t>
      </w:r>
    </w:p>
    <w:p w14:paraId="2FFB207B">
      <w:pPr>
        <w:numPr>
          <w:ilvl w:val="0"/>
          <w:numId w:val="0"/>
        </w:numPr>
        <w:spacing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lang w:eastAsia="zh-CN"/>
        </w:rPr>
        <w:t>二是四上企业培育工作，预算支出45万元，年中执行调减</w:t>
      </w:r>
      <w:r>
        <w:rPr>
          <w:rFonts w:hint="eastAsia" w:eastAsia="仿宋_GB2312"/>
          <w:color w:val="000000"/>
          <w:sz w:val="32"/>
          <w:szCs w:val="32"/>
          <w:lang w:val="en-US" w:eastAsia="zh-CN"/>
        </w:rPr>
        <w:t>17.45</w:t>
      </w:r>
      <w:r>
        <w:rPr>
          <w:rFonts w:hint="eastAsia" w:eastAsia="仿宋_GB2312"/>
          <w:color w:val="000000"/>
          <w:sz w:val="32"/>
          <w:szCs w:val="32"/>
          <w:lang w:eastAsia="zh-CN"/>
        </w:rPr>
        <w:t>万元，实际支出27.55万元，结余结转0万元。</w:t>
      </w:r>
      <w:r>
        <w:rPr>
          <w:rFonts w:hint="eastAsia" w:eastAsia="仿宋_GB2312"/>
          <w:color w:val="000000"/>
          <w:sz w:val="32"/>
          <w:szCs w:val="32"/>
          <w:highlight w:val="none"/>
          <w:lang w:eastAsia="zh-CN"/>
        </w:rPr>
        <w:t>该专项资金支出建立“准四上”企业培育库，加大政策扶持力度，提升服务水平各行业部门要积极搭建龙头企业和培育库企业在生产、销售等方面的沟通桥梁，积极推介培育库企业为龙头企业提供配套服务。</w:t>
      </w:r>
    </w:p>
    <w:p w14:paraId="474EA664">
      <w:pPr>
        <w:numPr>
          <w:ilvl w:val="0"/>
          <w:numId w:val="0"/>
        </w:numPr>
        <w:spacing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lang w:eastAsia="zh-CN"/>
        </w:rPr>
        <w:t>三是经济普查工作，预算支出100万元，年中执行调减</w:t>
      </w:r>
      <w:r>
        <w:rPr>
          <w:rFonts w:hint="eastAsia" w:eastAsia="仿宋_GB2312"/>
          <w:color w:val="000000"/>
          <w:sz w:val="32"/>
          <w:szCs w:val="32"/>
          <w:lang w:val="en-US" w:eastAsia="zh-CN"/>
        </w:rPr>
        <w:t>52.4</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44.96</w:t>
      </w:r>
      <w:r>
        <w:rPr>
          <w:rFonts w:hint="eastAsia" w:eastAsia="仿宋_GB2312"/>
          <w:color w:val="000000"/>
          <w:sz w:val="32"/>
          <w:szCs w:val="32"/>
          <w:lang w:eastAsia="zh-CN"/>
        </w:rPr>
        <w:t>万元，结余结转2.64万元</w:t>
      </w:r>
      <w:r>
        <w:rPr>
          <w:rFonts w:hint="eastAsia" w:eastAsia="仿宋_GB2312"/>
          <w:color w:val="000000"/>
          <w:sz w:val="32"/>
          <w:szCs w:val="32"/>
          <w:highlight w:val="none"/>
          <w:lang w:eastAsia="zh-CN"/>
        </w:rPr>
        <w:t>。全面调查掌握我区第二产业和第三产业的发展规模及布局，了解产业组织、产业结构、产业技术现状以及各生产要素的构成，摸清全区各类企业和单位的基本情况，建立健全覆盖国民经济各个行业的基本单位名录库、基础信息数据库和统计电子地理信息系统。</w:t>
      </w:r>
    </w:p>
    <w:p w14:paraId="34A0D9CB">
      <w:pPr>
        <w:numPr>
          <w:ilvl w:val="0"/>
          <w:numId w:val="0"/>
        </w:numPr>
        <w:spacing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lang w:eastAsia="zh-CN"/>
        </w:rPr>
        <w:t>四是基层统计调查补助经费，预算支出0万元，年中执行调增</w:t>
      </w:r>
      <w:r>
        <w:rPr>
          <w:rFonts w:hint="eastAsia" w:eastAsia="仿宋_GB2312"/>
          <w:color w:val="000000"/>
          <w:sz w:val="32"/>
          <w:szCs w:val="32"/>
          <w:lang w:val="en-US" w:eastAsia="zh-CN"/>
        </w:rPr>
        <w:t>6</w:t>
      </w:r>
      <w:r>
        <w:rPr>
          <w:rFonts w:hint="eastAsia" w:eastAsia="仿宋_GB2312"/>
          <w:color w:val="000000"/>
          <w:sz w:val="32"/>
          <w:szCs w:val="32"/>
          <w:lang w:eastAsia="zh-CN"/>
        </w:rPr>
        <w:t>万元，实际支出</w:t>
      </w:r>
      <w:r>
        <w:rPr>
          <w:rFonts w:hint="eastAsia" w:eastAsia="仿宋_GB2312"/>
          <w:color w:val="000000"/>
          <w:sz w:val="32"/>
          <w:szCs w:val="32"/>
          <w:lang w:val="en-US" w:eastAsia="zh-CN"/>
        </w:rPr>
        <w:t>6</w:t>
      </w:r>
      <w:r>
        <w:rPr>
          <w:rFonts w:hint="eastAsia" w:eastAsia="仿宋_GB2312"/>
          <w:color w:val="000000"/>
          <w:sz w:val="32"/>
          <w:szCs w:val="32"/>
          <w:lang w:eastAsia="zh-CN"/>
        </w:rPr>
        <w:t>万元，结余结转0万元。</w:t>
      </w:r>
      <w:r>
        <w:rPr>
          <w:rFonts w:hint="eastAsia" w:eastAsia="仿宋_GB2312"/>
          <w:color w:val="000000"/>
          <w:sz w:val="32"/>
          <w:szCs w:val="32"/>
          <w:highlight w:val="none"/>
          <w:lang w:eastAsia="zh-CN"/>
        </w:rPr>
        <w:t>该专项资金支出按照信息系统二级等保的建设要求，做好数据处理软硬件环境、统计数据质量监管平台指挥中心专用场地、网络及安全整改加固等配套建设，实现节点间的信息共享和工作互通。</w:t>
      </w:r>
    </w:p>
    <w:p w14:paraId="36B59472">
      <w:pPr>
        <w:numPr>
          <w:ilvl w:val="0"/>
          <w:numId w:val="0"/>
        </w:numPr>
        <w:spacing w:line="600" w:lineRule="exact"/>
        <w:ind w:firstLine="640" w:firstLineChars="200"/>
        <w:rPr>
          <w:rFonts w:hint="eastAsia" w:eastAsia="仿宋_GB2312"/>
          <w:color w:val="000000"/>
          <w:sz w:val="32"/>
          <w:szCs w:val="32"/>
          <w:highlight w:val="none"/>
          <w:lang w:eastAsia="zh-CN"/>
        </w:rPr>
      </w:pPr>
      <w:r>
        <w:rPr>
          <w:rFonts w:hint="eastAsia" w:eastAsia="仿宋_GB2312"/>
          <w:color w:val="000000"/>
          <w:sz w:val="32"/>
          <w:szCs w:val="32"/>
          <w:lang w:eastAsia="zh-CN"/>
        </w:rPr>
        <w:t>五是调查补贴，预算支出0万元，年中执行调增</w:t>
      </w:r>
      <w:r>
        <w:rPr>
          <w:rFonts w:hint="eastAsia" w:eastAsia="仿宋_GB2312"/>
          <w:color w:val="000000"/>
          <w:sz w:val="32"/>
          <w:szCs w:val="32"/>
          <w:lang w:val="en-US" w:eastAsia="zh-CN"/>
        </w:rPr>
        <w:t>19.56</w:t>
      </w:r>
      <w:r>
        <w:rPr>
          <w:rFonts w:hint="eastAsia" w:eastAsia="仿宋_GB2312"/>
          <w:color w:val="000000"/>
          <w:sz w:val="32"/>
          <w:szCs w:val="32"/>
          <w:lang w:eastAsia="zh-CN"/>
        </w:rPr>
        <w:t>万元，实际支出10.73万元，结余结转8.83万元。</w:t>
      </w:r>
      <w:r>
        <w:rPr>
          <w:rFonts w:hint="eastAsia" w:eastAsia="仿宋_GB2312"/>
          <w:color w:val="000000"/>
          <w:sz w:val="32"/>
          <w:szCs w:val="32"/>
          <w:highlight w:val="none"/>
          <w:lang w:eastAsia="zh-CN"/>
        </w:rPr>
        <w:t>该专项资金支出用于两项重要的民生调查。</w:t>
      </w:r>
    </w:p>
    <w:p w14:paraId="34C84C78">
      <w:pPr>
        <w:pStyle w:val="4"/>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234D17D3">
      <w:pPr>
        <w:spacing w:line="600" w:lineRule="exact"/>
        <w:ind w:firstLine="640" w:firstLineChars="200"/>
        <w:rPr>
          <w:rFonts w:eastAsia="仿宋_GB2312"/>
          <w:sz w:val="32"/>
          <w:szCs w:val="32"/>
        </w:rPr>
      </w:pPr>
      <w:r>
        <w:rPr>
          <w:rFonts w:hint="eastAsia" w:eastAsia="仿宋_GB2312"/>
          <w:sz w:val="32"/>
          <w:szCs w:val="32"/>
        </w:rPr>
        <w:t>预算编制工作有待细化。预算编制不够明确和细化，预算编制的合理性需要提高。预算执行力度还要进一步加强。</w:t>
      </w:r>
    </w:p>
    <w:p w14:paraId="5ABFBA2F">
      <w:pPr>
        <w:spacing w:line="600" w:lineRule="exact"/>
        <w:ind w:firstLine="640" w:firstLineChars="200"/>
        <w:rPr>
          <w:rFonts w:eastAsia="黑体"/>
          <w:sz w:val="32"/>
          <w:szCs w:val="32"/>
        </w:rPr>
      </w:pPr>
      <w:r>
        <w:rPr>
          <w:rFonts w:eastAsia="黑体"/>
          <w:sz w:val="32"/>
          <w:szCs w:val="32"/>
        </w:rPr>
        <w:t>八、下一步改进措施</w:t>
      </w:r>
    </w:p>
    <w:p w14:paraId="3A1A1844">
      <w:pPr>
        <w:spacing w:line="600" w:lineRule="exact"/>
        <w:ind w:firstLine="640" w:firstLineChars="200"/>
        <w:rPr>
          <w:rFonts w:hint="eastAsia" w:eastAsia="仿宋_GB2312"/>
          <w:sz w:val="32"/>
          <w:szCs w:val="32"/>
        </w:rPr>
      </w:pPr>
      <w:r>
        <w:rPr>
          <w:rFonts w:hint="eastAsia" w:eastAsia="仿宋_GB2312"/>
          <w:sz w:val="32"/>
          <w:szCs w:val="32"/>
        </w:rPr>
        <w:t>（一）制定有效绩效监控机制，确保绩效目标完成</w:t>
      </w:r>
    </w:p>
    <w:p w14:paraId="24B94655">
      <w:pPr>
        <w:spacing w:line="600" w:lineRule="exact"/>
        <w:ind w:firstLine="640" w:firstLineChars="200"/>
        <w:rPr>
          <w:rFonts w:hint="eastAsia" w:eastAsia="仿宋_GB2312"/>
          <w:sz w:val="32"/>
          <w:szCs w:val="32"/>
        </w:rPr>
      </w:pPr>
      <w:r>
        <w:rPr>
          <w:rFonts w:hint="eastAsia" w:eastAsia="仿宋_GB2312"/>
          <w:sz w:val="32"/>
          <w:szCs w:val="32"/>
        </w:rPr>
        <w:t>科学设置预算绩效指标，合理安排经费和各项资金，使其物尽其用，更加贴合我局财务工作的实际情况，能够合理运用现有资源，及时协调并向上级多争取资金，保证各预算绩效指标的顺利实施。</w:t>
      </w:r>
    </w:p>
    <w:p w14:paraId="1B9D44DA">
      <w:pPr>
        <w:spacing w:line="600" w:lineRule="exact"/>
        <w:ind w:firstLine="640" w:firstLineChars="200"/>
        <w:rPr>
          <w:rFonts w:hint="eastAsia" w:eastAsia="仿宋_GB2312"/>
          <w:sz w:val="32"/>
          <w:szCs w:val="32"/>
        </w:rPr>
      </w:pPr>
      <w:r>
        <w:rPr>
          <w:rFonts w:hint="eastAsia" w:eastAsia="仿宋_GB2312"/>
          <w:sz w:val="32"/>
          <w:szCs w:val="32"/>
        </w:rPr>
        <w:t>（二）科学合理编制预算，严格执行预算</w:t>
      </w:r>
    </w:p>
    <w:p w14:paraId="4672A2AB">
      <w:pPr>
        <w:spacing w:line="600" w:lineRule="exact"/>
        <w:ind w:firstLine="640" w:firstLineChars="200"/>
        <w:rPr>
          <w:rFonts w:hint="eastAsia" w:eastAsia="仿宋_GB2312"/>
          <w:sz w:val="32"/>
          <w:szCs w:val="32"/>
        </w:rPr>
      </w:pPr>
      <w:r>
        <w:rPr>
          <w:rFonts w:hint="eastAsia" w:eastAsia="仿宋_GB2312"/>
          <w:sz w:val="32"/>
          <w:szCs w:val="32"/>
        </w:rPr>
        <w:t>细化预算编制工作。严格按照预算编制的相关制度和要求，编制范围尽可能地全面，不漏项。进一步提高预算编制的科学性、合理性、严谨性和可控性。</w:t>
      </w:r>
    </w:p>
    <w:p w14:paraId="4EF4E497">
      <w:pPr>
        <w:spacing w:line="600" w:lineRule="exact"/>
        <w:ind w:firstLine="640" w:firstLineChars="200"/>
        <w:rPr>
          <w:rFonts w:hint="eastAsia" w:eastAsia="仿宋_GB2312"/>
          <w:sz w:val="32"/>
          <w:szCs w:val="32"/>
        </w:rPr>
      </w:pPr>
      <w:r>
        <w:rPr>
          <w:rFonts w:hint="eastAsia" w:eastAsia="仿宋_GB2312"/>
          <w:sz w:val="32"/>
          <w:szCs w:val="32"/>
        </w:rPr>
        <w:t>（三）加强管理，完善内部控制支出</w:t>
      </w:r>
    </w:p>
    <w:p w14:paraId="57925AF0">
      <w:pPr>
        <w:spacing w:line="600" w:lineRule="exact"/>
        <w:ind w:firstLine="640" w:firstLineChars="200"/>
        <w:rPr>
          <w:rFonts w:hint="eastAsia" w:eastAsia="仿宋_GB2312"/>
          <w:sz w:val="32"/>
          <w:szCs w:val="32"/>
        </w:rPr>
      </w:pPr>
      <w:r>
        <w:rPr>
          <w:rFonts w:hint="eastAsia" w:eastAsia="仿宋_GB2312"/>
          <w:sz w:val="32"/>
          <w:szCs w:val="32"/>
        </w:rPr>
        <w:t>建立和完善内部控制建设，形成系统的内部财务管理制度。加强对专项资金的管理，按工作要求加快专项资金下达及使用进度，切实发挥资金效益。</w:t>
      </w:r>
    </w:p>
    <w:p w14:paraId="35FCF592">
      <w:pPr>
        <w:spacing w:line="600" w:lineRule="exact"/>
        <w:ind w:firstLine="640" w:firstLineChars="200"/>
        <w:rPr>
          <w:rFonts w:hint="eastAsia" w:eastAsia="仿宋_GB2312"/>
          <w:sz w:val="32"/>
          <w:szCs w:val="32"/>
        </w:rPr>
      </w:pPr>
      <w:r>
        <w:rPr>
          <w:rFonts w:hint="eastAsia" w:eastAsia="仿宋_GB2312"/>
          <w:sz w:val="32"/>
          <w:szCs w:val="32"/>
        </w:rPr>
        <w:t>（四）强化学习培训，提高思想认识</w:t>
      </w:r>
    </w:p>
    <w:p w14:paraId="59188500">
      <w:pPr>
        <w:spacing w:line="600" w:lineRule="exact"/>
        <w:ind w:firstLine="640" w:firstLineChars="200"/>
        <w:rPr>
          <w:rFonts w:hint="eastAsia" w:eastAsia="仿宋_GB2312"/>
          <w:sz w:val="32"/>
          <w:szCs w:val="32"/>
        </w:rPr>
      </w:pPr>
      <w:r>
        <w:rPr>
          <w:rFonts w:hint="eastAsia" w:eastAsia="仿宋_GB2312"/>
          <w:sz w:val="32"/>
          <w:szCs w:val="32"/>
        </w:rPr>
        <w:t>加强新《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33191B55">
      <w:pPr>
        <w:spacing w:line="600" w:lineRule="exact"/>
        <w:ind w:firstLine="640" w:firstLineChars="200"/>
        <w:rPr>
          <w:rFonts w:hint="eastAsia" w:eastAsia="仿宋_GB2312"/>
          <w:sz w:val="32"/>
          <w:szCs w:val="32"/>
        </w:rPr>
      </w:pPr>
      <w:r>
        <w:rPr>
          <w:rFonts w:eastAsia="黑体"/>
          <w:sz w:val="32"/>
          <w:szCs w:val="32"/>
        </w:rPr>
        <w:t>九、绩效自评结果拟应用和公开情况</w:t>
      </w:r>
    </w:p>
    <w:p w14:paraId="78611901">
      <w:pPr>
        <w:spacing w:line="600" w:lineRule="exact"/>
        <w:ind w:firstLine="640" w:firstLineChars="200"/>
        <w:rPr>
          <w:rFonts w:hint="eastAsia" w:eastAsia="仿宋_GB2312"/>
          <w:sz w:val="32"/>
          <w:szCs w:val="32"/>
        </w:rPr>
      </w:pPr>
      <w:r>
        <w:rPr>
          <w:rFonts w:hint="eastAsia" w:eastAsia="仿宋_GB2312"/>
          <w:sz w:val="32"/>
          <w:szCs w:val="32"/>
        </w:rPr>
        <w:t>本单位无独立网站，绩效自评报告将在政府门户网站与决算报告一起公开。</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404E2BC6">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无。</w:t>
      </w:r>
    </w:p>
    <w:p w14:paraId="5D2F1411">
      <w:pPr>
        <w:spacing w:line="600" w:lineRule="exact"/>
        <w:ind w:firstLine="640" w:firstLineChars="200"/>
        <w:rPr>
          <w:rFonts w:hint="eastAsia" w:eastAsia="仿宋_GB2312"/>
          <w:sz w:val="32"/>
          <w:szCs w:val="32"/>
        </w:rPr>
      </w:pPr>
    </w:p>
    <w:p w14:paraId="09CC7730">
      <w:pPr>
        <w:spacing w:line="600" w:lineRule="exact"/>
        <w:rPr>
          <w:rFonts w:eastAsia="仿宋_GB2312"/>
          <w:kern w:val="0"/>
          <w:sz w:val="32"/>
          <w:szCs w:val="32"/>
        </w:rPr>
      </w:pPr>
    </w:p>
    <w:p w14:paraId="045EC9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C448CD"/>
    <w:rsid w:val="00D5092F"/>
    <w:rsid w:val="00E55161"/>
    <w:rsid w:val="015876FF"/>
    <w:rsid w:val="016976BE"/>
    <w:rsid w:val="01A6665B"/>
    <w:rsid w:val="01EF5276"/>
    <w:rsid w:val="02040ADD"/>
    <w:rsid w:val="02665DCF"/>
    <w:rsid w:val="02696283"/>
    <w:rsid w:val="02A163DC"/>
    <w:rsid w:val="02A86D87"/>
    <w:rsid w:val="02AE4CCA"/>
    <w:rsid w:val="02D92DDA"/>
    <w:rsid w:val="03287320"/>
    <w:rsid w:val="0351077F"/>
    <w:rsid w:val="03AE3AC0"/>
    <w:rsid w:val="03B73FD7"/>
    <w:rsid w:val="03FA6217"/>
    <w:rsid w:val="046063A3"/>
    <w:rsid w:val="048E4A8E"/>
    <w:rsid w:val="04A8621F"/>
    <w:rsid w:val="04B50046"/>
    <w:rsid w:val="04C063D7"/>
    <w:rsid w:val="05020145"/>
    <w:rsid w:val="05284B01"/>
    <w:rsid w:val="052D1124"/>
    <w:rsid w:val="057D200D"/>
    <w:rsid w:val="05841760"/>
    <w:rsid w:val="058C239E"/>
    <w:rsid w:val="05A247CB"/>
    <w:rsid w:val="05AC2B5C"/>
    <w:rsid w:val="05F81957"/>
    <w:rsid w:val="06334EF1"/>
    <w:rsid w:val="06377F01"/>
    <w:rsid w:val="0666580E"/>
    <w:rsid w:val="071E5F82"/>
    <w:rsid w:val="072B45AB"/>
    <w:rsid w:val="078A686A"/>
    <w:rsid w:val="07BB6AF4"/>
    <w:rsid w:val="07E43A81"/>
    <w:rsid w:val="07E9598A"/>
    <w:rsid w:val="07EF4D29"/>
    <w:rsid w:val="08292EF0"/>
    <w:rsid w:val="08470747"/>
    <w:rsid w:val="0862434F"/>
    <w:rsid w:val="0893725C"/>
    <w:rsid w:val="089572CF"/>
    <w:rsid w:val="08A00773"/>
    <w:rsid w:val="08A4283C"/>
    <w:rsid w:val="08B253D3"/>
    <w:rsid w:val="08EF0DD0"/>
    <w:rsid w:val="08F027B4"/>
    <w:rsid w:val="090B34E3"/>
    <w:rsid w:val="09783F74"/>
    <w:rsid w:val="0990373C"/>
    <w:rsid w:val="09DC5DBA"/>
    <w:rsid w:val="09F04A5A"/>
    <w:rsid w:val="0A3D57A2"/>
    <w:rsid w:val="0A4370BC"/>
    <w:rsid w:val="0A4D6F7D"/>
    <w:rsid w:val="0A742AB5"/>
    <w:rsid w:val="0A94795B"/>
    <w:rsid w:val="0AB4192F"/>
    <w:rsid w:val="0B1F6B23"/>
    <w:rsid w:val="0B347670"/>
    <w:rsid w:val="0B4524E9"/>
    <w:rsid w:val="0B676BC5"/>
    <w:rsid w:val="0B8406F4"/>
    <w:rsid w:val="0BA804E2"/>
    <w:rsid w:val="0BB94E2C"/>
    <w:rsid w:val="0BE27487"/>
    <w:rsid w:val="0C3B6B9E"/>
    <w:rsid w:val="0C4F7C96"/>
    <w:rsid w:val="0C8E7A46"/>
    <w:rsid w:val="0C966F7F"/>
    <w:rsid w:val="0CC41080"/>
    <w:rsid w:val="0CCA6CB7"/>
    <w:rsid w:val="0CCC648D"/>
    <w:rsid w:val="0CEE1EC4"/>
    <w:rsid w:val="0CF208CB"/>
    <w:rsid w:val="0CFF5FF0"/>
    <w:rsid w:val="0D1C42A9"/>
    <w:rsid w:val="0D344BB7"/>
    <w:rsid w:val="0D366EDE"/>
    <w:rsid w:val="0D4B57FA"/>
    <w:rsid w:val="0D60161F"/>
    <w:rsid w:val="0E4B7C02"/>
    <w:rsid w:val="0E897C2B"/>
    <w:rsid w:val="0EB43DAF"/>
    <w:rsid w:val="0ED94D9B"/>
    <w:rsid w:val="0F6D0FDF"/>
    <w:rsid w:val="0F957EE7"/>
    <w:rsid w:val="0F9A0948"/>
    <w:rsid w:val="0FA108F2"/>
    <w:rsid w:val="0FB873C3"/>
    <w:rsid w:val="0FD72C0C"/>
    <w:rsid w:val="10593E88"/>
    <w:rsid w:val="10856228"/>
    <w:rsid w:val="10C17504"/>
    <w:rsid w:val="10E365C2"/>
    <w:rsid w:val="10E82A49"/>
    <w:rsid w:val="10F06DED"/>
    <w:rsid w:val="11107299"/>
    <w:rsid w:val="11146D91"/>
    <w:rsid w:val="11162294"/>
    <w:rsid w:val="1134034B"/>
    <w:rsid w:val="11342682"/>
    <w:rsid w:val="115176A2"/>
    <w:rsid w:val="11B5691A"/>
    <w:rsid w:val="11D4394C"/>
    <w:rsid w:val="129D6027"/>
    <w:rsid w:val="13126856"/>
    <w:rsid w:val="13242D1C"/>
    <w:rsid w:val="13692AE8"/>
    <w:rsid w:val="13A52CDF"/>
    <w:rsid w:val="13AD6A55"/>
    <w:rsid w:val="146C1DD9"/>
    <w:rsid w:val="14BF24DE"/>
    <w:rsid w:val="14CC54C7"/>
    <w:rsid w:val="14DD5FD7"/>
    <w:rsid w:val="14E33844"/>
    <w:rsid w:val="14EA23A8"/>
    <w:rsid w:val="1524753B"/>
    <w:rsid w:val="154C2C7E"/>
    <w:rsid w:val="159D1783"/>
    <w:rsid w:val="15A27FE2"/>
    <w:rsid w:val="15D95D65"/>
    <w:rsid w:val="1627453B"/>
    <w:rsid w:val="16476399"/>
    <w:rsid w:val="16E16597"/>
    <w:rsid w:val="17197045"/>
    <w:rsid w:val="171C7676"/>
    <w:rsid w:val="17435337"/>
    <w:rsid w:val="175C6F5E"/>
    <w:rsid w:val="178A352D"/>
    <w:rsid w:val="179A7791"/>
    <w:rsid w:val="17DC3DC3"/>
    <w:rsid w:val="18170B93"/>
    <w:rsid w:val="181F357B"/>
    <w:rsid w:val="18501FF1"/>
    <w:rsid w:val="188345AC"/>
    <w:rsid w:val="18E21560"/>
    <w:rsid w:val="19274253"/>
    <w:rsid w:val="195E168F"/>
    <w:rsid w:val="196A7CDF"/>
    <w:rsid w:val="197016D9"/>
    <w:rsid w:val="19835866"/>
    <w:rsid w:val="19C72BF8"/>
    <w:rsid w:val="19CA553D"/>
    <w:rsid w:val="1A33348C"/>
    <w:rsid w:val="1A4E2E8E"/>
    <w:rsid w:val="1A9F05BC"/>
    <w:rsid w:val="1AF347C3"/>
    <w:rsid w:val="1AF51455"/>
    <w:rsid w:val="1B9B1759"/>
    <w:rsid w:val="1B9D302A"/>
    <w:rsid w:val="1BF446CE"/>
    <w:rsid w:val="1C13269C"/>
    <w:rsid w:val="1C411EE7"/>
    <w:rsid w:val="1C530F07"/>
    <w:rsid w:val="1C704031"/>
    <w:rsid w:val="1D271A66"/>
    <w:rsid w:val="1DCB47DF"/>
    <w:rsid w:val="1DDB7A8A"/>
    <w:rsid w:val="1E601115"/>
    <w:rsid w:val="1E746983"/>
    <w:rsid w:val="1E9601BD"/>
    <w:rsid w:val="1EB03217"/>
    <w:rsid w:val="1EBE5AFE"/>
    <w:rsid w:val="1EF614DB"/>
    <w:rsid w:val="1F000FB0"/>
    <w:rsid w:val="1F111AD7"/>
    <w:rsid w:val="1F5A1E7F"/>
    <w:rsid w:val="1FA707DF"/>
    <w:rsid w:val="1FEF16F3"/>
    <w:rsid w:val="1FFE7B8C"/>
    <w:rsid w:val="2024414B"/>
    <w:rsid w:val="203C025A"/>
    <w:rsid w:val="2058589F"/>
    <w:rsid w:val="206B6ABE"/>
    <w:rsid w:val="20775CA3"/>
    <w:rsid w:val="20B15F2E"/>
    <w:rsid w:val="213D6E16"/>
    <w:rsid w:val="214D4EB3"/>
    <w:rsid w:val="217A1AB1"/>
    <w:rsid w:val="21F35640"/>
    <w:rsid w:val="2249604F"/>
    <w:rsid w:val="22695B47"/>
    <w:rsid w:val="229A4B54"/>
    <w:rsid w:val="232721BA"/>
    <w:rsid w:val="233F7861"/>
    <w:rsid w:val="23B76226"/>
    <w:rsid w:val="23D47D54"/>
    <w:rsid w:val="243235AA"/>
    <w:rsid w:val="244C451B"/>
    <w:rsid w:val="24B10BAC"/>
    <w:rsid w:val="24C3545E"/>
    <w:rsid w:val="24D2061D"/>
    <w:rsid w:val="251132F3"/>
    <w:rsid w:val="253C38DE"/>
    <w:rsid w:val="254969BC"/>
    <w:rsid w:val="25924832"/>
    <w:rsid w:val="25B24E22"/>
    <w:rsid w:val="262B4FF6"/>
    <w:rsid w:val="264810A7"/>
    <w:rsid w:val="265A7CC8"/>
    <w:rsid w:val="27014400"/>
    <w:rsid w:val="271B2298"/>
    <w:rsid w:val="276969B7"/>
    <w:rsid w:val="276D0D8C"/>
    <w:rsid w:val="279B2689"/>
    <w:rsid w:val="27DE2311"/>
    <w:rsid w:val="28385D8A"/>
    <w:rsid w:val="286C33CA"/>
    <w:rsid w:val="28AD7F47"/>
    <w:rsid w:val="28B43155"/>
    <w:rsid w:val="28E4125D"/>
    <w:rsid w:val="298E08BA"/>
    <w:rsid w:val="29BB6A7E"/>
    <w:rsid w:val="29EC49AF"/>
    <w:rsid w:val="2A2A61BA"/>
    <w:rsid w:val="2AB01C96"/>
    <w:rsid w:val="2AC43DDE"/>
    <w:rsid w:val="2AEF4956"/>
    <w:rsid w:val="2B1C41DD"/>
    <w:rsid w:val="2B372E74"/>
    <w:rsid w:val="2B3808F6"/>
    <w:rsid w:val="2B81456D"/>
    <w:rsid w:val="2BA14AA2"/>
    <w:rsid w:val="2BBE35CD"/>
    <w:rsid w:val="2BD6382B"/>
    <w:rsid w:val="2BE46810"/>
    <w:rsid w:val="2C7A0558"/>
    <w:rsid w:val="2C933EBB"/>
    <w:rsid w:val="2CDF6E04"/>
    <w:rsid w:val="2D284D02"/>
    <w:rsid w:val="2D3A266F"/>
    <w:rsid w:val="2D8470B0"/>
    <w:rsid w:val="2D85399E"/>
    <w:rsid w:val="2DC65E1F"/>
    <w:rsid w:val="2DE64CDC"/>
    <w:rsid w:val="2DF055EB"/>
    <w:rsid w:val="2DF720F5"/>
    <w:rsid w:val="2E1C0F3D"/>
    <w:rsid w:val="2E5D5EBC"/>
    <w:rsid w:val="2E69253C"/>
    <w:rsid w:val="2EEF2198"/>
    <w:rsid w:val="2F0246FC"/>
    <w:rsid w:val="2F080155"/>
    <w:rsid w:val="30161448"/>
    <w:rsid w:val="30343502"/>
    <w:rsid w:val="30470CFF"/>
    <w:rsid w:val="306918BE"/>
    <w:rsid w:val="30A37680"/>
    <w:rsid w:val="31121990"/>
    <w:rsid w:val="31594303"/>
    <w:rsid w:val="31AF70F0"/>
    <w:rsid w:val="31D22CC8"/>
    <w:rsid w:val="32437B04"/>
    <w:rsid w:val="324F1398"/>
    <w:rsid w:val="32614B36"/>
    <w:rsid w:val="32D24F00"/>
    <w:rsid w:val="32D963A9"/>
    <w:rsid w:val="32ED21B4"/>
    <w:rsid w:val="331926DE"/>
    <w:rsid w:val="33992634"/>
    <w:rsid w:val="343B1E3D"/>
    <w:rsid w:val="343F0843"/>
    <w:rsid w:val="3442504B"/>
    <w:rsid w:val="35124AFB"/>
    <w:rsid w:val="35164EC9"/>
    <w:rsid w:val="358B0865"/>
    <w:rsid w:val="35C054BC"/>
    <w:rsid w:val="35EE1AE6"/>
    <w:rsid w:val="36216ACD"/>
    <w:rsid w:val="36763CE6"/>
    <w:rsid w:val="36AD5505"/>
    <w:rsid w:val="36DB24F1"/>
    <w:rsid w:val="37406C32"/>
    <w:rsid w:val="3763266A"/>
    <w:rsid w:val="37774B8E"/>
    <w:rsid w:val="37904E67"/>
    <w:rsid w:val="3797204C"/>
    <w:rsid w:val="37A771FF"/>
    <w:rsid w:val="37B37AED"/>
    <w:rsid w:val="37D33C22"/>
    <w:rsid w:val="37EF7DFA"/>
    <w:rsid w:val="380A1D4B"/>
    <w:rsid w:val="38A54053"/>
    <w:rsid w:val="38AB1707"/>
    <w:rsid w:val="38D37D37"/>
    <w:rsid w:val="390A7522"/>
    <w:rsid w:val="39312765"/>
    <w:rsid w:val="393A2055"/>
    <w:rsid w:val="393E0C76"/>
    <w:rsid w:val="394E4794"/>
    <w:rsid w:val="39511E95"/>
    <w:rsid w:val="399C1F0E"/>
    <w:rsid w:val="3A003CFF"/>
    <w:rsid w:val="3A1339C4"/>
    <w:rsid w:val="3A8D769E"/>
    <w:rsid w:val="3AF63590"/>
    <w:rsid w:val="3AF67FC7"/>
    <w:rsid w:val="3B06110B"/>
    <w:rsid w:val="3B1043F4"/>
    <w:rsid w:val="3B197282"/>
    <w:rsid w:val="3B314929"/>
    <w:rsid w:val="3B6250F8"/>
    <w:rsid w:val="3B692505"/>
    <w:rsid w:val="3B736697"/>
    <w:rsid w:val="3B915C47"/>
    <w:rsid w:val="3B9B7004"/>
    <w:rsid w:val="3BCF551C"/>
    <w:rsid w:val="3C612A9D"/>
    <w:rsid w:val="3C87456A"/>
    <w:rsid w:val="3CA231F4"/>
    <w:rsid w:val="3CDC3CFC"/>
    <w:rsid w:val="3CFC20B7"/>
    <w:rsid w:val="3D1C31D0"/>
    <w:rsid w:val="3E694CE7"/>
    <w:rsid w:val="3E835DD7"/>
    <w:rsid w:val="3E8B0E28"/>
    <w:rsid w:val="3EC819BA"/>
    <w:rsid w:val="3EEE35A4"/>
    <w:rsid w:val="3F094F7A"/>
    <w:rsid w:val="3F476FDD"/>
    <w:rsid w:val="3F4A7F61"/>
    <w:rsid w:val="3F7004CB"/>
    <w:rsid w:val="3FA5067B"/>
    <w:rsid w:val="3FFC7781"/>
    <w:rsid w:val="405317F7"/>
    <w:rsid w:val="4057269D"/>
    <w:rsid w:val="40754FF3"/>
    <w:rsid w:val="407E4ADB"/>
    <w:rsid w:val="40CE715B"/>
    <w:rsid w:val="40D508AB"/>
    <w:rsid w:val="40E640CC"/>
    <w:rsid w:val="414932AA"/>
    <w:rsid w:val="41741B70"/>
    <w:rsid w:val="41C602F5"/>
    <w:rsid w:val="41D57B43"/>
    <w:rsid w:val="41E975B0"/>
    <w:rsid w:val="42F83EEA"/>
    <w:rsid w:val="42FB06F2"/>
    <w:rsid w:val="43141345"/>
    <w:rsid w:val="43166D1E"/>
    <w:rsid w:val="432050AF"/>
    <w:rsid w:val="43420DA9"/>
    <w:rsid w:val="435C781C"/>
    <w:rsid w:val="437C0F5D"/>
    <w:rsid w:val="43854DD3"/>
    <w:rsid w:val="44775660"/>
    <w:rsid w:val="44B87D18"/>
    <w:rsid w:val="44D74780"/>
    <w:rsid w:val="453A160B"/>
    <w:rsid w:val="456B71F2"/>
    <w:rsid w:val="45E2026E"/>
    <w:rsid w:val="45F85A17"/>
    <w:rsid w:val="463311B9"/>
    <w:rsid w:val="463747B7"/>
    <w:rsid w:val="46F459F4"/>
    <w:rsid w:val="46F76979"/>
    <w:rsid w:val="47212ECA"/>
    <w:rsid w:val="47323108"/>
    <w:rsid w:val="47492F00"/>
    <w:rsid w:val="47515D8E"/>
    <w:rsid w:val="47D51345"/>
    <w:rsid w:val="47E11557"/>
    <w:rsid w:val="47F33399"/>
    <w:rsid w:val="47FB4028"/>
    <w:rsid w:val="48154BD2"/>
    <w:rsid w:val="48196B29"/>
    <w:rsid w:val="4875266D"/>
    <w:rsid w:val="4885603F"/>
    <w:rsid w:val="48EE48B5"/>
    <w:rsid w:val="491722FF"/>
    <w:rsid w:val="491D74A7"/>
    <w:rsid w:val="497C7C2F"/>
    <w:rsid w:val="498307B4"/>
    <w:rsid w:val="49882B9B"/>
    <w:rsid w:val="49AF4809"/>
    <w:rsid w:val="49B27E76"/>
    <w:rsid w:val="49B324BE"/>
    <w:rsid w:val="4A3763F6"/>
    <w:rsid w:val="4A3A6AD6"/>
    <w:rsid w:val="4A5007FC"/>
    <w:rsid w:val="4A885383"/>
    <w:rsid w:val="4AE85958"/>
    <w:rsid w:val="4AF33D06"/>
    <w:rsid w:val="4AF51ADF"/>
    <w:rsid w:val="4AFD5436"/>
    <w:rsid w:val="4B4D1E16"/>
    <w:rsid w:val="4B7C2BF9"/>
    <w:rsid w:val="4B920728"/>
    <w:rsid w:val="4B9357A5"/>
    <w:rsid w:val="4BC67BFF"/>
    <w:rsid w:val="4C19263D"/>
    <w:rsid w:val="4C1D6C6B"/>
    <w:rsid w:val="4C253F32"/>
    <w:rsid w:val="4C442E20"/>
    <w:rsid w:val="4C496836"/>
    <w:rsid w:val="4C4F073F"/>
    <w:rsid w:val="4C714499"/>
    <w:rsid w:val="4C845F8F"/>
    <w:rsid w:val="4C89181E"/>
    <w:rsid w:val="4D1107FD"/>
    <w:rsid w:val="4D36566E"/>
    <w:rsid w:val="4D405AC9"/>
    <w:rsid w:val="4D4A1C5C"/>
    <w:rsid w:val="4DBB24B5"/>
    <w:rsid w:val="4DEE4968"/>
    <w:rsid w:val="4E03467F"/>
    <w:rsid w:val="4E52468C"/>
    <w:rsid w:val="4E7735C7"/>
    <w:rsid w:val="4E7C32D2"/>
    <w:rsid w:val="4E9179F4"/>
    <w:rsid w:val="4EE91176"/>
    <w:rsid w:val="4EF96755"/>
    <w:rsid w:val="4EFF6E71"/>
    <w:rsid w:val="4F485E9E"/>
    <w:rsid w:val="4F6222CB"/>
    <w:rsid w:val="4F7317CB"/>
    <w:rsid w:val="4F7C135A"/>
    <w:rsid w:val="4FA871BC"/>
    <w:rsid w:val="4FBC3C5F"/>
    <w:rsid w:val="4FC01EDA"/>
    <w:rsid w:val="501F267E"/>
    <w:rsid w:val="50281CF3"/>
    <w:rsid w:val="50621E6E"/>
    <w:rsid w:val="509154B6"/>
    <w:rsid w:val="50BB4683"/>
    <w:rsid w:val="50EC10F9"/>
    <w:rsid w:val="50EF74D3"/>
    <w:rsid w:val="51391ED1"/>
    <w:rsid w:val="5177797E"/>
    <w:rsid w:val="51C44034"/>
    <w:rsid w:val="5219373E"/>
    <w:rsid w:val="528662F0"/>
    <w:rsid w:val="52C51760"/>
    <w:rsid w:val="52F6075F"/>
    <w:rsid w:val="53086FF5"/>
    <w:rsid w:val="534D0228"/>
    <w:rsid w:val="53801D8B"/>
    <w:rsid w:val="539E133B"/>
    <w:rsid w:val="53AB142E"/>
    <w:rsid w:val="5409646C"/>
    <w:rsid w:val="541212FA"/>
    <w:rsid w:val="54207C51"/>
    <w:rsid w:val="54855DB6"/>
    <w:rsid w:val="54AF247D"/>
    <w:rsid w:val="54DA727F"/>
    <w:rsid w:val="54E65F5A"/>
    <w:rsid w:val="557C08CC"/>
    <w:rsid w:val="557D2E1D"/>
    <w:rsid w:val="55804F6C"/>
    <w:rsid w:val="55E31575"/>
    <w:rsid w:val="564516B7"/>
    <w:rsid w:val="564D31A3"/>
    <w:rsid w:val="56685DC5"/>
    <w:rsid w:val="567C109E"/>
    <w:rsid w:val="567E6210"/>
    <w:rsid w:val="56933523"/>
    <w:rsid w:val="56BA55C6"/>
    <w:rsid w:val="57075E55"/>
    <w:rsid w:val="57124CDD"/>
    <w:rsid w:val="575D6863"/>
    <w:rsid w:val="576D1203"/>
    <w:rsid w:val="57837BDE"/>
    <w:rsid w:val="57935E95"/>
    <w:rsid w:val="57E654C3"/>
    <w:rsid w:val="58152013"/>
    <w:rsid w:val="58191195"/>
    <w:rsid w:val="58450D5F"/>
    <w:rsid w:val="58CE683B"/>
    <w:rsid w:val="59A40B9B"/>
    <w:rsid w:val="5A317606"/>
    <w:rsid w:val="5A3C1A0D"/>
    <w:rsid w:val="5A6A2A29"/>
    <w:rsid w:val="5A9244F7"/>
    <w:rsid w:val="5AAC6F50"/>
    <w:rsid w:val="5ADB7A9F"/>
    <w:rsid w:val="5AF97A89"/>
    <w:rsid w:val="5B352171"/>
    <w:rsid w:val="5B514882"/>
    <w:rsid w:val="5B5C757D"/>
    <w:rsid w:val="5B6B124E"/>
    <w:rsid w:val="5B7C3DA5"/>
    <w:rsid w:val="5BA64BE9"/>
    <w:rsid w:val="5BDA1BC0"/>
    <w:rsid w:val="5C7D13C9"/>
    <w:rsid w:val="5D155819"/>
    <w:rsid w:val="5D656D7E"/>
    <w:rsid w:val="5DCE0C96"/>
    <w:rsid w:val="5DE454AE"/>
    <w:rsid w:val="5DE47A17"/>
    <w:rsid w:val="5DEC70B2"/>
    <w:rsid w:val="5E1F095F"/>
    <w:rsid w:val="5E482C04"/>
    <w:rsid w:val="5E5D637B"/>
    <w:rsid w:val="5E996241"/>
    <w:rsid w:val="5EC735B0"/>
    <w:rsid w:val="5F0F193D"/>
    <w:rsid w:val="5F2B6724"/>
    <w:rsid w:val="5F332BBC"/>
    <w:rsid w:val="5FC11526"/>
    <w:rsid w:val="60C055B7"/>
    <w:rsid w:val="60E173FF"/>
    <w:rsid w:val="60E40384"/>
    <w:rsid w:val="612D4EDB"/>
    <w:rsid w:val="61775374"/>
    <w:rsid w:val="61F20913"/>
    <w:rsid w:val="624B0B8B"/>
    <w:rsid w:val="62674C7D"/>
    <w:rsid w:val="627D6E20"/>
    <w:rsid w:val="62923B3C"/>
    <w:rsid w:val="62AC7970"/>
    <w:rsid w:val="62C32DEC"/>
    <w:rsid w:val="62DB4C3B"/>
    <w:rsid w:val="62EF16DE"/>
    <w:rsid w:val="630D66DA"/>
    <w:rsid w:val="630E4191"/>
    <w:rsid w:val="639F4202"/>
    <w:rsid w:val="63B0031B"/>
    <w:rsid w:val="640D5FD9"/>
    <w:rsid w:val="641E0B92"/>
    <w:rsid w:val="642C6292"/>
    <w:rsid w:val="643B0B1A"/>
    <w:rsid w:val="645E3C0F"/>
    <w:rsid w:val="64637041"/>
    <w:rsid w:val="647D1024"/>
    <w:rsid w:val="649324AE"/>
    <w:rsid w:val="64B66725"/>
    <w:rsid w:val="64C074E1"/>
    <w:rsid w:val="65025750"/>
    <w:rsid w:val="65191B9C"/>
    <w:rsid w:val="653021A9"/>
    <w:rsid w:val="65EB60C2"/>
    <w:rsid w:val="66022946"/>
    <w:rsid w:val="66A877C4"/>
    <w:rsid w:val="66E47FD9"/>
    <w:rsid w:val="67303E4C"/>
    <w:rsid w:val="67347CE6"/>
    <w:rsid w:val="675A5E15"/>
    <w:rsid w:val="677549A9"/>
    <w:rsid w:val="67A96A9E"/>
    <w:rsid w:val="67F2708D"/>
    <w:rsid w:val="68030691"/>
    <w:rsid w:val="687E35FE"/>
    <w:rsid w:val="689E60B1"/>
    <w:rsid w:val="689E76A5"/>
    <w:rsid w:val="68DB1AF2"/>
    <w:rsid w:val="68E0427F"/>
    <w:rsid w:val="68F75735"/>
    <w:rsid w:val="6924760F"/>
    <w:rsid w:val="692A1518"/>
    <w:rsid w:val="694757F4"/>
    <w:rsid w:val="698663AF"/>
    <w:rsid w:val="698718B2"/>
    <w:rsid w:val="699740CB"/>
    <w:rsid w:val="69983D4A"/>
    <w:rsid w:val="69AB74E8"/>
    <w:rsid w:val="6A790E3A"/>
    <w:rsid w:val="6ABC6C0F"/>
    <w:rsid w:val="6AF36585"/>
    <w:rsid w:val="6B3B48D5"/>
    <w:rsid w:val="6BBF4B8D"/>
    <w:rsid w:val="6BF43BAA"/>
    <w:rsid w:val="6C630660"/>
    <w:rsid w:val="6C6E6460"/>
    <w:rsid w:val="6C9165DC"/>
    <w:rsid w:val="6C9331C1"/>
    <w:rsid w:val="6D2E13D1"/>
    <w:rsid w:val="6D3264BE"/>
    <w:rsid w:val="6D6D6826"/>
    <w:rsid w:val="6D9767D9"/>
    <w:rsid w:val="6D9E11D0"/>
    <w:rsid w:val="6DCC19D2"/>
    <w:rsid w:val="6DF27B97"/>
    <w:rsid w:val="6DF523F6"/>
    <w:rsid w:val="6E095813"/>
    <w:rsid w:val="6E224140"/>
    <w:rsid w:val="6E2E58DF"/>
    <w:rsid w:val="6E987E4E"/>
    <w:rsid w:val="6EE044A0"/>
    <w:rsid w:val="6F0F7BD0"/>
    <w:rsid w:val="6F1D59CD"/>
    <w:rsid w:val="6FE61A56"/>
    <w:rsid w:val="6FEF21B0"/>
    <w:rsid w:val="704C412C"/>
    <w:rsid w:val="708304A5"/>
    <w:rsid w:val="70AD1C74"/>
    <w:rsid w:val="71010D74"/>
    <w:rsid w:val="711C4732"/>
    <w:rsid w:val="72072820"/>
    <w:rsid w:val="720B1226"/>
    <w:rsid w:val="72581325"/>
    <w:rsid w:val="72696BF8"/>
    <w:rsid w:val="7278765C"/>
    <w:rsid w:val="729F1A9A"/>
    <w:rsid w:val="72DD4E02"/>
    <w:rsid w:val="734F28D5"/>
    <w:rsid w:val="734F3820"/>
    <w:rsid w:val="73F11B0B"/>
    <w:rsid w:val="742C2525"/>
    <w:rsid w:val="7455119F"/>
    <w:rsid w:val="748154B2"/>
    <w:rsid w:val="749B7B08"/>
    <w:rsid w:val="74B015AB"/>
    <w:rsid w:val="74BF00CF"/>
    <w:rsid w:val="74CF5344"/>
    <w:rsid w:val="75786376"/>
    <w:rsid w:val="75C622C6"/>
    <w:rsid w:val="75C857C9"/>
    <w:rsid w:val="75EB6C83"/>
    <w:rsid w:val="75F34010"/>
    <w:rsid w:val="76294569"/>
    <w:rsid w:val="765D45B4"/>
    <w:rsid w:val="765D5CBD"/>
    <w:rsid w:val="766024C5"/>
    <w:rsid w:val="767201E1"/>
    <w:rsid w:val="76735213"/>
    <w:rsid w:val="77114867"/>
    <w:rsid w:val="77226D00"/>
    <w:rsid w:val="772B072A"/>
    <w:rsid w:val="77432AB8"/>
    <w:rsid w:val="777A0A13"/>
    <w:rsid w:val="778F1D5A"/>
    <w:rsid w:val="7836349E"/>
    <w:rsid w:val="78601C0A"/>
    <w:rsid w:val="786F2225"/>
    <w:rsid w:val="78A55F95"/>
    <w:rsid w:val="78BB101F"/>
    <w:rsid w:val="78BD7DA6"/>
    <w:rsid w:val="794C090E"/>
    <w:rsid w:val="794F5B82"/>
    <w:rsid w:val="79E234DF"/>
    <w:rsid w:val="7A0966D2"/>
    <w:rsid w:val="7A0F2FD7"/>
    <w:rsid w:val="7A1B3CD1"/>
    <w:rsid w:val="7A5B19C4"/>
    <w:rsid w:val="7A702BF0"/>
    <w:rsid w:val="7AD9139A"/>
    <w:rsid w:val="7B091C7D"/>
    <w:rsid w:val="7B877F0B"/>
    <w:rsid w:val="7BA10DE3"/>
    <w:rsid w:val="7C511C26"/>
    <w:rsid w:val="7C5E4A19"/>
    <w:rsid w:val="7C6565A2"/>
    <w:rsid w:val="7CA00AC6"/>
    <w:rsid w:val="7CEF5D73"/>
    <w:rsid w:val="7D00680F"/>
    <w:rsid w:val="7D353D37"/>
    <w:rsid w:val="7DC00DDD"/>
    <w:rsid w:val="7DED6266"/>
    <w:rsid w:val="7DF80F37"/>
    <w:rsid w:val="7E071551"/>
    <w:rsid w:val="7E1953C1"/>
    <w:rsid w:val="7E226C0D"/>
    <w:rsid w:val="7E294730"/>
    <w:rsid w:val="7E3B45BE"/>
    <w:rsid w:val="7E4D1CC6"/>
    <w:rsid w:val="7EC4324E"/>
    <w:rsid w:val="7EE840C2"/>
    <w:rsid w:val="7EF36598"/>
    <w:rsid w:val="7F7D45B6"/>
    <w:rsid w:val="7F811079"/>
    <w:rsid w:val="7F953939"/>
    <w:rsid w:val="7FC6022D"/>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4237</Words>
  <Characters>4379</Characters>
  <Lines>0</Lines>
  <Paragraphs>0</Paragraphs>
  <TotalTime>6</TotalTime>
  <ScaleCrop>false</ScaleCrop>
  <LinksUpToDate>false</LinksUpToDate>
  <CharactersWithSpaces>4383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Ming</cp:lastModifiedBy>
  <dcterms:modified xsi:type="dcterms:W3CDTF">2026-02-11T01:41:56Z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4181F7D9250A4EDCA34643FDB3189F86_13</vt:lpwstr>
  </property>
  <property fmtid="{D5CDD505-2E9C-101B-9397-08002B2CF9AE}" pid="4" name="KSOTemplateDocerSaveRecord">
    <vt:lpwstr>eyJoZGlkIjoiMDc1Mjk5MTM1MWZkMDE2OGU3Nzg5ZmI0MGMyODMzMTQiLCJ1c2VySWQiOiIxMTQyMjU0NjIzIn0=</vt:lpwstr>
  </property>
</Properties>
</file>