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8FDDF">
      <w:pPr>
        <w:jc w:val="center"/>
        <w:rPr>
          <w:rFonts w:eastAsia="方正小标宋_GBK"/>
          <w:sz w:val="48"/>
          <w:szCs w:val="48"/>
        </w:rPr>
      </w:pPr>
      <w:bookmarkStart w:id="0" w:name="_GoBack"/>
      <w:bookmarkEnd w:id="0"/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年度部门（单位）</w:t>
      </w:r>
      <w:r>
        <w:rPr>
          <w:rFonts w:hint="eastAsia" w:eastAsia="方正小标宋_GBK"/>
          <w:sz w:val="48"/>
          <w:szCs w:val="48"/>
          <w:lang w:eastAsia="zh-CN"/>
        </w:rPr>
        <w:t>整体</w:t>
      </w:r>
      <w:r>
        <w:rPr>
          <w:rFonts w:eastAsia="方正小标宋_GBK"/>
          <w:sz w:val="48"/>
          <w:szCs w:val="48"/>
        </w:rPr>
        <w:t>支出</w:t>
      </w:r>
    </w:p>
    <w:p w14:paraId="74E43491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05A86D9E">
      <w:pPr>
        <w:jc w:val="center"/>
        <w:rPr>
          <w:rFonts w:eastAsia="黑体"/>
          <w:sz w:val="32"/>
          <w:szCs w:val="32"/>
        </w:rPr>
      </w:pPr>
    </w:p>
    <w:p w14:paraId="03C560C3">
      <w:pPr>
        <w:jc w:val="center"/>
        <w:rPr>
          <w:rFonts w:eastAsia="黑体"/>
          <w:sz w:val="32"/>
          <w:szCs w:val="32"/>
        </w:rPr>
      </w:pPr>
    </w:p>
    <w:p w14:paraId="196BE711">
      <w:pPr>
        <w:jc w:val="center"/>
        <w:rPr>
          <w:rFonts w:eastAsia="黑体"/>
          <w:sz w:val="32"/>
          <w:szCs w:val="32"/>
        </w:rPr>
      </w:pPr>
    </w:p>
    <w:p w14:paraId="334D61B0">
      <w:pPr>
        <w:jc w:val="center"/>
        <w:rPr>
          <w:rFonts w:eastAsia="黑体"/>
          <w:sz w:val="32"/>
          <w:szCs w:val="32"/>
        </w:rPr>
      </w:pPr>
    </w:p>
    <w:p w14:paraId="1003E075">
      <w:pPr>
        <w:jc w:val="center"/>
        <w:rPr>
          <w:rFonts w:eastAsia="黑体"/>
          <w:sz w:val="32"/>
          <w:szCs w:val="32"/>
        </w:rPr>
      </w:pPr>
    </w:p>
    <w:p w14:paraId="435D176D">
      <w:pPr>
        <w:jc w:val="center"/>
        <w:rPr>
          <w:rFonts w:eastAsia="黑体"/>
          <w:sz w:val="32"/>
          <w:szCs w:val="32"/>
        </w:rPr>
      </w:pPr>
    </w:p>
    <w:p w14:paraId="70172537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7F02F532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09127EB5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1A07A0A2">
      <w:pPr>
        <w:jc w:val="both"/>
        <w:rPr>
          <w:rFonts w:hint="default" w:eastAsia="仿宋_GB2312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</w:t>
      </w:r>
      <w:r>
        <w:rPr>
          <w:rFonts w:eastAsia="黑体"/>
          <w:sz w:val="36"/>
          <w:szCs w:val="36"/>
          <w:u w:val="none"/>
        </w:rPr>
        <w:t>：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株洲市芦淞区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科技和工业信息化局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 w14:paraId="49014832">
      <w:pPr>
        <w:jc w:val="center"/>
        <w:rPr>
          <w:rFonts w:eastAsia="黑体"/>
          <w:sz w:val="36"/>
          <w:szCs w:val="36"/>
        </w:rPr>
      </w:pPr>
    </w:p>
    <w:p w14:paraId="288A77F9">
      <w:pPr>
        <w:jc w:val="center"/>
        <w:rPr>
          <w:rFonts w:eastAsia="黑体"/>
          <w:sz w:val="32"/>
          <w:szCs w:val="32"/>
        </w:rPr>
      </w:pPr>
    </w:p>
    <w:p w14:paraId="5520D085">
      <w:pPr>
        <w:jc w:val="center"/>
        <w:rPr>
          <w:rFonts w:eastAsia="黑体"/>
          <w:sz w:val="32"/>
          <w:szCs w:val="32"/>
        </w:rPr>
      </w:pPr>
    </w:p>
    <w:p w14:paraId="2E6B4A66">
      <w:pPr>
        <w:jc w:val="center"/>
        <w:rPr>
          <w:rFonts w:eastAsia="黑体"/>
          <w:sz w:val="32"/>
          <w:szCs w:val="32"/>
        </w:rPr>
      </w:pPr>
    </w:p>
    <w:p w14:paraId="4CF08EF4">
      <w:pPr>
        <w:jc w:val="center"/>
        <w:rPr>
          <w:rFonts w:eastAsia="黑体"/>
          <w:sz w:val="32"/>
          <w:szCs w:val="32"/>
        </w:rPr>
      </w:pPr>
    </w:p>
    <w:p w14:paraId="3FF7763A">
      <w:pPr>
        <w:jc w:val="center"/>
        <w:rPr>
          <w:rFonts w:eastAsia="黑体"/>
          <w:sz w:val="32"/>
          <w:szCs w:val="32"/>
        </w:rPr>
      </w:pPr>
    </w:p>
    <w:p w14:paraId="4F69EB25">
      <w:pPr>
        <w:jc w:val="center"/>
        <w:rPr>
          <w:rFonts w:eastAsia="黑体"/>
          <w:sz w:val="32"/>
          <w:szCs w:val="32"/>
        </w:rPr>
      </w:pPr>
    </w:p>
    <w:p w14:paraId="11AA000A">
      <w:pPr>
        <w:jc w:val="center"/>
        <w:rPr>
          <w:rFonts w:eastAsia="仿宋_GB2312"/>
          <w:sz w:val="32"/>
          <w:szCs w:val="32"/>
        </w:rPr>
      </w:pPr>
    </w:p>
    <w:p w14:paraId="78010B75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 w14:paraId="038622F4">
      <w:pPr>
        <w:numPr>
          <w:ilvl w:val="0"/>
          <w:numId w:val="1"/>
        </w:num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部门（单位）基本情况</w:t>
      </w:r>
    </w:p>
    <w:p w14:paraId="493F8CF1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1.机构情况。我单位内</w:t>
      </w:r>
      <w:r>
        <w:rPr>
          <w:rFonts w:hint="eastAsia" w:eastAsia="仿宋"/>
          <w:color w:val="auto"/>
          <w:sz w:val="32"/>
          <w:szCs w:val="32"/>
          <w:lang w:val="zh-CN" w:eastAsia="zh-CN"/>
        </w:rPr>
        <w:t>设机构包括：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办公室、科技创新股、科技成果股、企业综合股、军民融合股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、科技创新服务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中心。</w:t>
      </w:r>
    </w:p>
    <w:p w14:paraId="08ABD9C9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2.人员情况。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截止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2024年12月31日，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年末实有人数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13人，比上年减少1人。</w:t>
      </w:r>
    </w:p>
    <w:p w14:paraId="04D37302">
      <w:pPr>
        <w:spacing w:line="580" w:lineRule="exact"/>
        <w:ind w:firstLine="640" w:firstLineChars="200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3.主要职能:</w:t>
      </w:r>
    </w:p>
    <w:p w14:paraId="0E50C499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贯彻执行国家和省、市有关科技创新、工业和信息化工作的法律法规、方针政策和决策部署；实施创新引领战略，推动区域创新发展和协同创新能力建设。</w:t>
      </w:r>
    </w:p>
    <w:p w14:paraId="2220A40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制定和实施全区科技创新工作计划；统筹推进科技创新体系建设和科技体制改革；组织实施科技专项申报，促进科技成果转化；会同有关部门健全技术创新激励机制，指导实施全区创新调查制度和科技报告制度；承担科技统计和科研诚信建设工作；承担高新技术产业发展、科技促进农业农村发展与社会事业发展相关工作；组织高新技术企业、科技型中小企业的推荐申报工作；指导全区科技保密工作。</w:t>
      </w:r>
    </w:p>
    <w:p w14:paraId="59139972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化科研体系建设，加强企业科技创新能力建设，推动科研企业改革；促进科研条件保障建设和科技资源开放共享；指导全区科技研发机构、重点实验室、科技企业孵化器、特色产业基地等各类科技创新载体和科技创新平台建设；推动科技计划管理改革；组织协调科学技术普及和培训工作。</w:t>
      </w:r>
    </w:p>
    <w:p w14:paraId="3D73CEAA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负责区科技等各项经费预决算和监督管理；加强对科研项目资金、科技计划专项的监督管理；负责科技成果管理、科技奖励的组织推荐工作；引导全区加大科技投入。</w:t>
      </w:r>
    </w:p>
    <w:p w14:paraId="568FACE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开展科技合作与交流；拟订和实施产学研结合的相关政策；做好外国专家管理和服务工作；会同有关部门做好科技人才培养和高层次人才引进工作；做好省、市重大科技创新项目的储备和协调推进工作，统筹引导关键共性技术、前沿引领技术、现代工程技术、颠覆性技术研发和创新，促进重大技术攻关和成果应用示范。</w:t>
      </w:r>
    </w:p>
    <w:p w14:paraId="0A9A0F59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拟订工业经济发展规划，协调工业和信息化领域相关行业规划编制；负责全区工业和信息化领域技术改造工作；牵头推进智能制造业发展；组织推广工业企业清洁生产。</w:t>
      </w:r>
    </w:p>
    <w:p w14:paraId="108838E6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测分析工业和信息化领域的经济运行态势，进行预测预警和信息引导；编制并组织实施近期工业和信息化领域主要预期经济目标、政策和措施；协调解决经济运行中的突出矛盾和问题并提出政策建议；推进全区新型工业化；指导工业和信息化领域的应急管理工作。</w:t>
      </w:r>
    </w:p>
    <w:p w14:paraId="1AD07498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担中小企业的综合管理、指导、协调和服务工作；监测与分析中小企业和非公有制经济的运行情况，研究提出促进全区中小企业和非公有制经济的政策措施；承担协调减轻企业负担的工作；做好中小企业融资和融资担保的服务与协调工作；负责全区中小企业发展专项资金的管理和使用。</w:t>
      </w:r>
    </w:p>
    <w:p w14:paraId="1A920DFF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推进信息服务业发展，指导软件服务业公共服务体系建设；指导推进社会经济各领域大数据开发应用和大数据产业发展。</w:t>
      </w:r>
    </w:p>
    <w:p w14:paraId="68FB528A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指导、协调全区军民融合工作。</w:t>
      </w:r>
    </w:p>
    <w:p w14:paraId="2F774459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负责有关行政复议和行政诉讼应诉工作。</w:t>
      </w:r>
    </w:p>
    <w:p w14:paraId="653DA8A0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完成区委、区政府交办的其他任务。</w:t>
      </w:r>
    </w:p>
    <w:p w14:paraId="28897ADD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职能转变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将原区经科信局的职责划入区科技和工业信息化局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将原区人社局的外国专家管理职责加入区科技和工业信息化局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将原区科技和工业信息化局的知识产权管理职责划入区市场监管局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将原区科技和工业信息化局的防震减灾、震灾应急救援相关职责划入区应急局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将原区经科信局的交通战备相关职责划入区交通运输局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将原区经科信局的信息化推进和信息安全相关职责划入区网信办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将原区经科信局的能源运行相关职责划入区发改局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B2E3775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（二）部门（单位）年度</w:t>
      </w:r>
      <w:r>
        <w:rPr>
          <w:rFonts w:hint="eastAsia" w:eastAsia="楷体_GB2312"/>
          <w:b/>
          <w:sz w:val="32"/>
          <w:szCs w:val="32"/>
          <w:lang w:eastAsia="zh-CN"/>
        </w:rPr>
        <w:t>各项</w:t>
      </w:r>
      <w:r>
        <w:rPr>
          <w:rFonts w:eastAsia="楷体_GB2312"/>
          <w:b/>
          <w:sz w:val="32"/>
          <w:szCs w:val="32"/>
        </w:rPr>
        <w:t>绩效目标</w:t>
      </w:r>
    </w:p>
    <w:p w14:paraId="3A193587">
      <w:pPr>
        <w:pStyle w:val="11"/>
        <w:spacing w:line="600" w:lineRule="exact"/>
        <w:ind w:firstLine="643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1、2024年度</w:t>
      </w:r>
      <w:r>
        <w:rPr>
          <w:rFonts w:hint="eastAsia" w:eastAsia="仿宋"/>
          <w:color w:val="auto"/>
          <w:sz w:val="32"/>
          <w:szCs w:val="32"/>
          <w:lang w:eastAsia="zh-CN"/>
        </w:rPr>
        <w:t>整体支出绩效目标</w:t>
      </w:r>
    </w:p>
    <w:p w14:paraId="00B612E2">
      <w:pPr>
        <w:pStyle w:val="11"/>
        <w:numPr>
          <w:ilvl w:val="0"/>
          <w:numId w:val="2"/>
        </w:numPr>
        <w:spacing w:line="600" w:lineRule="exact"/>
        <w:ind w:firstLine="643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全面贯彻习近平新时代中国特色社会主义思想，深化推进创新驱动发展战略，打造具有核心竞争力的科技创新高地，鼓励企业加强研发投入，培育更多科技型中小企业和高新技术企业，助力区域经济高质量发展。</w:t>
      </w:r>
    </w:p>
    <w:p w14:paraId="3031666B">
      <w:pPr>
        <w:pStyle w:val="11"/>
        <w:numPr>
          <w:ilvl w:val="0"/>
          <w:numId w:val="2"/>
        </w:numPr>
        <w:spacing w:line="600" w:lineRule="exact"/>
        <w:ind w:firstLine="643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推动两化融合，培育好优质中小企业发展壮大，增大工业经济总量。</w:t>
      </w:r>
    </w:p>
    <w:p w14:paraId="40BAF4F4">
      <w:pPr>
        <w:pStyle w:val="11"/>
        <w:numPr>
          <w:ilvl w:val="0"/>
          <w:numId w:val="2"/>
        </w:numPr>
        <w:spacing w:line="600" w:lineRule="exact"/>
        <w:ind w:firstLine="643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做好转企升规工作，重点引导科技创新能力较强的规下企业升规，增强工业发展后劲。</w:t>
      </w:r>
    </w:p>
    <w:p w14:paraId="088CF408">
      <w:pPr>
        <w:pStyle w:val="11"/>
        <w:numPr>
          <w:ilvl w:val="0"/>
          <w:numId w:val="2"/>
        </w:numPr>
        <w:spacing w:line="600" w:lineRule="exact"/>
        <w:ind w:firstLine="643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eastAsia="仿宋"/>
          <w:color w:val="auto"/>
          <w:sz w:val="32"/>
          <w:szCs w:val="32"/>
          <w:lang w:eastAsia="zh-CN"/>
        </w:rPr>
        <w:t>加速推进我区新型工业化工作，增加全区规模以上工业企业数量，壮大全区工业经济总量。</w:t>
      </w:r>
    </w:p>
    <w:p w14:paraId="0A8CB54A">
      <w:pPr>
        <w:pStyle w:val="11"/>
        <w:spacing w:line="600" w:lineRule="exact"/>
        <w:ind w:firstLine="643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2、2024年度部门专项资金绩效目标</w:t>
      </w:r>
    </w:p>
    <w:p w14:paraId="417E8521">
      <w:pPr>
        <w:pStyle w:val="11"/>
        <w:spacing w:line="600" w:lineRule="exact"/>
        <w:ind w:firstLine="643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工业企业名录建设专项、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促进科技创新高质量发展专项、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推进新型工业化工作经费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。</w:t>
      </w:r>
    </w:p>
    <w:p w14:paraId="283B2FC6">
      <w:pPr>
        <w:pStyle w:val="11"/>
        <w:numPr>
          <w:ilvl w:val="0"/>
          <w:numId w:val="3"/>
        </w:numPr>
        <w:spacing w:line="600" w:lineRule="exact"/>
        <w:ind w:firstLine="643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其他项目支出绩效目标</w:t>
      </w:r>
    </w:p>
    <w:p w14:paraId="3F28F87E">
      <w:pPr>
        <w:pStyle w:val="11"/>
        <w:numPr>
          <w:ilvl w:val="0"/>
          <w:numId w:val="0"/>
        </w:numPr>
        <w:spacing w:line="600" w:lineRule="exact"/>
        <w:rPr>
          <w:rFonts w:hint="default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 xml:space="preserve">    无</w:t>
      </w:r>
    </w:p>
    <w:p w14:paraId="41F5E69D">
      <w:pPr>
        <w:pStyle w:val="11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6FF5C6DC">
      <w:pPr>
        <w:pStyle w:val="11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771FCB66">
      <w:pPr>
        <w:pStyle w:val="11"/>
        <w:spacing w:line="600" w:lineRule="exact"/>
        <w:ind w:firstLine="643"/>
        <w:rPr>
          <w:rFonts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1、</w:t>
      </w:r>
      <w:r>
        <w:rPr>
          <w:rFonts w:hint="eastAsia" w:eastAsia="仿宋"/>
          <w:color w:val="000000"/>
          <w:sz w:val="32"/>
          <w:szCs w:val="32"/>
          <w:lang w:eastAsia="zh-CN"/>
        </w:rPr>
        <w:t>2024</w:t>
      </w:r>
      <w:r>
        <w:rPr>
          <w:rFonts w:eastAsia="仿宋"/>
          <w:color w:val="000000"/>
          <w:sz w:val="32"/>
          <w:szCs w:val="32"/>
        </w:rPr>
        <w:t>年预算资金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662.32万元。</w:t>
      </w:r>
    </w:p>
    <w:p w14:paraId="3603DDD2">
      <w:pPr>
        <w:pStyle w:val="11"/>
        <w:spacing w:line="600" w:lineRule="exact"/>
        <w:ind w:firstLine="643"/>
        <w:rPr>
          <w:rFonts w:hint="default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2、2024年度</w:t>
      </w:r>
      <w:r>
        <w:rPr>
          <w:rFonts w:eastAsia="仿宋"/>
          <w:color w:val="auto"/>
          <w:sz w:val="32"/>
          <w:szCs w:val="32"/>
        </w:rPr>
        <w:t>单位</w:t>
      </w:r>
      <w:r>
        <w:rPr>
          <w:rFonts w:hint="eastAsia" w:eastAsia="仿宋"/>
          <w:color w:val="auto"/>
          <w:sz w:val="32"/>
          <w:szCs w:val="32"/>
        </w:rPr>
        <w:t>一般公共预算财政拨款</w:t>
      </w:r>
      <w:r>
        <w:rPr>
          <w:rFonts w:eastAsia="仿宋"/>
          <w:color w:val="auto"/>
          <w:sz w:val="32"/>
          <w:szCs w:val="32"/>
        </w:rPr>
        <w:t>收入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1,093.54万元。</w:t>
      </w:r>
    </w:p>
    <w:p w14:paraId="555B84F6">
      <w:pPr>
        <w:spacing w:line="580" w:lineRule="exact"/>
        <w:ind w:firstLine="640" w:firstLineChars="200"/>
        <w:rPr>
          <w:rFonts w:hint="eastAsia" w:eastAsia="仿宋"/>
          <w:color w:val="0000FF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3、2024年度</w:t>
      </w:r>
      <w:r>
        <w:rPr>
          <w:rFonts w:eastAsia="仿宋"/>
          <w:color w:val="auto"/>
          <w:sz w:val="32"/>
          <w:szCs w:val="32"/>
        </w:rPr>
        <w:t>单位</w:t>
      </w:r>
      <w:r>
        <w:rPr>
          <w:rFonts w:hint="eastAsia" w:eastAsia="仿宋"/>
          <w:color w:val="auto"/>
          <w:sz w:val="32"/>
          <w:szCs w:val="32"/>
        </w:rPr>
        <w:t>一般公共预算财政拨款</w:t>
      </w:r>
      <w:r>
        <w:rPr>
          <w:rFonts w:hint="eastAsia" w:eastAsia="仿宋"/>
          <w:color w:val="auto"/>
          <w:sz w:val="32"/>
          <w:szCs w:val="32"/>
          <w:lang w:eastAsia="zh-CN"/>
        </w:rPr>
        <w:t>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1,093.54万元</w:t>
      </w:r>
      <w:r>
        <w:rPr>
          <w:rFonts w:eastAsia="仿宋"/>
          <w:color w:val="auto"/>
          <w:sz w:val="32"/>
          <w:szCs w:val="32"/>
        </w:rPr>
        <w:t>其中：项目支出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431.01</w:t>
      </w:r>
      <w:r>
        <w:rPr>
          <w:rFonts w:eastAsia="仿宋"/>
          <w:color w:val="auto"/>
          <w:sz w:val="32"/>
          <w:szCs w:val="32"/>
        </w:rPr>
        <w:t>万元，基本支出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662.53</w:t>
      </w:r>
      <w:r>
        <w:rPr>
          <w:rFonts w:eastAsia="仿宋"/>
          <w:color w:val="auto"/>
          <w:sz w:val="32"/>
          <w:szCs w:val="32"/>
        </w:rPr>
        <w:t>万元，其中：人员经费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595.01</w:t>
      </w:r>
      <w:r>
        <w:rPr>
          <w:rFonts w:eastAsia="仿宋"/>
          <w:color w:val="auto"/>
          <w:sz w:val="32"/>
          <w:szCs w:val="32"/>
        </w:rPr>
        <w:t>万元，公用经费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67.52万</w:t>
      </w:r>
      <w:r>
        <w:rPr>
          <w:rFonts w:eastAsia="仿宋"/>
          <w:color w:val="auto"/>
          <w:sz w:val="32"/>
          <w:szCs w:val="32"/>
        </w:rPr>
        <w:t>元。</w:t>
      </w:r>
    </w:p>
    <w:p w14:paraId="6CA7FD3D">
      <w:pPr>
        <w:pStyle w:val="11"/>
        <w:numPr>
          <w:ilvl w:val="0"/>
          <w:numId w:val="4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sz w:val="32"/>
          <w:szCs w:val="32"/>
          <w:lang w:val="en-US" w:eastAsia="zh-CN"/>
        </w:rPr>
        <w:t>项目支出情况</w:t>
      </w:r>
    </w:p>
    <w:p w14:paraId="64794C4D">
      <w:pPr>
        <w:pStyle w:val="11"/>
        <w:numPr>
          <w:ilvl w:val="0"/>
          <w:numId w:val="5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一般公共服务支出15.81万元；</w:t>
      </w:r>
    </w:p>
    <w:p w14:paraId="260FBBF6">
      <w:pPr>
        <w:pStyle w:val="11"/>
        <w:numPr>
          <w:ilvl w:val="0"/>
          <w:numId w:val="5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公共安全支出9.00万元；</w:t>
      </w:r>
    </w:p>
    <w:p w14:paraId="5D05EB17">
      <w:pPr>
        <w:pStyle w:val="11"/>
        <w:numPr>
          <w:ilvl w:val="0"/>
          <w:numId w:val="5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社会保障和就业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支出74.41万元；</w:t>
      </w:r>
    </w:p>
    <w:p w14:paraId="42FB6D98">
      <w:pPr>
        <w:pStyle w:val="11"/>
        <w:numPr>
          <w:ilvl w:val="0"/>
          <w:numId w:val="5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城乡社区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支出243.88万元；</w:t>
      </w:r>
    </w:p>
    <w:p w14:paraId="6BE15E2B">
      <w:pPr>
        <w:pStyle w:val="11"/>
        <w:numPr>
          <w:ilvl w:val="0"/>
          <w:numId w:val="5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农林水支出60.58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万元；</w:t>
      </w:r>
    </w:p>
    <w:p w14:paraId="6EC61C57">
      <w:pPr>
        <w:pStyle w:val="11"/>
        <w:numPr>
          <w:ilvl w:val="0"/>
          <w:numId w:val="5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自然资源还有气象等支出21.64万元</w:t>
      </w:r>
    </w:p>
    <w:p w14:paraId="352C1389">
      <w:pPr>
        <w:pStyle w:val="11"/>
        <w:numPr>
          <w:ilvl w:val="0"/>
          <w:numId w:val="5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住房保障支出0.69万元</w:t>
      </w:r>
    </w:p>
    <w:p w14:paraId="0B3C912B">
      <w:pPr>
        <w:pStyle w:val="11"/>
        <w:numPr>
          <w:ilvl w:val="0"/>
          <w:numId w:val="5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灾害防治及应急管理支出5.00万元</w:t>
      </w:r>
    </w:p>
    <w:p w14:paraId="00E0E766">
      <w:pPr>
        <w:pStyle w:val="11"/>
        <w:numPr>
          <w:ilvl w:val="0"/>
          <w:numId w:val="6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6F63D39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320" w:firstLineChars="100"/>
        <w:textAlignment w:val="auto"/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sz w:val="32"/>
          <w:szCs w:val="32"/>
        </w:rPr>
        <w:t>年度政府性基金预算财政拨款收入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35.00</w:t>
      </w:r>
      <w:r>
        <w:rPr>
          <w:rFonts w:hint="eastAsia" w:ascii="Times New Roman" w:hAnsi="Times New Roman" w:eastAsia="仿宋_GB2312"/>
          <w:sz w:val="32"/>
          <w:szCs w:val="32"/>
        </w:rPr>
        <w:t>万元；年初结转和结余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仿宋_GB2312"/>
          <w:sz w:val="32"/>
          <w:szCs w:val="32"/>
        </w:rPr>
        <w:t>万元；支出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35.00</w:t>
      </w:r>
      <w:r>
        <w:rPr>
          <w:rFonts w:hint="eastAsia" w:ascii="Times New Roman" w:hAnsi="Times New Roman" w:eastAsia="仿宋_GB2312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仿宋_GB2312"/>
          <w:sz w:val="32"/>
          <w:szCs w:val="32"/>
        </w:rPr>
        <w:t>万元，项目支出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35.00</w:t>
      </w:r>
      <w:r>
        <w:rPr>
          <w:rFonts w:hint="eastAsia" w:ascii="Times New Roman" w:hAnsi="Times New Roman" w:eastAsia="仿宋_GB2312"/>
          <w:sz w:val="32"/>
          <w:szCs w:val="32"/>
        </w:rPr>
        <w:t>万元；年末结转和结余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仿宋_GB2312"/>
          <w:sz w:val="32"/>
          <w:szCs w:val="32"/>
        </w:rPr>
        <w:t>万元。具体情况如下：</w:t>
      </w:r>
    </w:p>
    <w:p w14:paraId="0816FBE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其他支出（类）彩票公益金安排的支出（款）用于社会福利的彩票公益金支出（项）。</w:t>
      </w:r>
    </w:p>
    <w:p w14:paraId="5A92AC6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年初预算为0.00万元，支出决算为35.00万元，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由于预算数为0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，无法计算百分比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决算数大于年初预算数的主要原因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是新增项目，追加预算。</w:t>
      </w:r>
    </w:p>
    <w:p w14:paraId="18C697A8">
      <w:pPr>
        <w:pStyle w:val="11"/>
        <w:numPr>
          <w:ilvl w:val="0"/>
          <w:numId w:val="6"/>
        </w:num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374AB0BC">
      <w:pPr>
        <w:pStyle w:val="11"/>
        <w:numPr>
          <w:ilvl w:val="0"/>
          <w:numId w:val="0"/>
        </w:numPr>
        <w:spacing w:line="6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无</w:t>
      </w:r>
    </w:p>
    <w:p w14:paraId="300FF196">
      <w:pPr>
        <w:pStyle w:val="11"/>
        <w:numPr>
          <w:ilvl w:val="0"/>
          <w:numId w:val="6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58C04B08">
      <w:pPr>
        <w:pStyle w:val="11"/>
        <w:numPr>
          <w:ilvl w:val="0"/>
          <w:numId w:val="0"/>
        </w:numPr>
        <w:spacing w:line="600" w:lineRule="exac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无</w:t>
      </w:r>
    </w:p>
    <w:p w14:paraId="5D937B9E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  <w:lang w:eastAsia="zh-CN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 w14:paraId="6F220A6F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highlight w:val="yellow"/>
          <w:lang w:val="en-US" w:eastAsia="zh-CN" w:bidi="ar-SA"/>
        </w:rPr>
        <w:t>(一）部门整体支出绩效情况</w:t>
      </w:r>
    </w:p>
    <w:p w14:paraId="35AA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2024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，芦淞区科工信局全年预算金额192.31万元，全年执行金额1,451.29万元。全年高质量完成了各项预算绩效目标，上下同心、攻坚克难，坚定围绕“三高四新”战略，培育制造名城、建设幸福株洲，以担当实干、争创一流的精神，争当株洲全面落实“三高四新”战略定位和使命任务的先锋队，全力打造先进制造业和科技创新高地。</w:t>
      </w:r>
    </w:p>
    <w:p w14:paraId="5BA0E6E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  <w:t>1.产出指标</w:t>
      </w:r>
    </w:p>
    <w:p w14:paraId="5F2693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（1）数量指标：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2024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年，全区实现规模工业总产值125.9亿元，增速6％；</w:t>
      </w:r>
      <w:r>
        <w:rPr>
          <w:rStyle w:val="16"/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全年经济运行工作成功</w:t>
      </w:r>
      <w:r>
        <w:rPr>
          <w:rStyle w:val="16"/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获评</w:t>
      </w:r>
      <w:r>
        <w:rPr>
          <w:rStyle w:val="16"/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2024</w:t>
      </w:r>
      <w:r>
        <w:rPr>
          <w:rStyle w:val="16"/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年度湖南工业数据云建设应用先进单位</w:t>
      </w:r>
      <w:r>
        <w:rPr>
          <w:rStyle w:val="16"/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华锐精密、中铼新材分获第五届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时代匠人企业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”“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中国造隐形冠军企业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称号；中铼新材、西迪技术等4家企业获评湖南省制造业单项冠军产品。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新增“专精特新”国、省级小巨人企业17家、工业“四上”企业20家。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全社会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研发投入强度6.2%，是全省的2.6倍、全市的1.9倍，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排名全市第二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；财政科技支出占一般公共预算支出的比重为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11.7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%，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全市排名第一；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科技型中小企业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注册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备案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262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家，完成率为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163.75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%，全市排名第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高新技术企业申报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57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家，超任务数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家，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通过评审55家，高企总数达127家，完成率排名全市第四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中国航发南方公司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成功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入省高新技术企业百强榜单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前十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；完成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技术合同成交额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118.83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亿元，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为全年任务208.47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，完成率排名城区第一</w:t>
      </w:r>
    </w:p>
    <w:p w14:paraId="7D6E2EF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（2）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  <w:t>质量指标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建立企业产学研合作需求库，53家企业</w:t>
      </w:r>
      <w:r>
        <w:rPr>
          <w:rStyle w:val="10"/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Hans"/>
        </w:rPr>
        <w:t>与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38家高等院校</w:t>
      </w:r>
      <w:r>
        <w:rPr>
          <w:rStyle w:val="10"/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Hans"/>
        </w:rPr>
        <w:t>开展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产学研合作项目91个</w:t>
      </w:r>
      <w:r>
        <w:rPr>
          <w:rStyle w:val="10"/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highlight w:val="none"/>
          <w:vertAlign w:val="baseline"/>
          <w:lang w:val="en-US" w:eastAsia="zh-CN"/>
        </w:rPr>
        <w:t>在科技创新与产业发展大会上，举行首批产学研科技服务合作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协议签约仪式，40家企业和高等院校</w:t>
      </w:r>
      <w:r>
        <w:rPr>
          <w:rStyle w:val="10"/>
          <w:rFonts w:hint="eastAsia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双向奔赴</w:t>
      </w:r>
      <w:r>
        <w:rPr>
          <w:rStyle w:val="10"/>
          <w:rFonts w:hint="eastAsia" w:ascii="Times New Roman" w:hAnsi="Times New Roman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Style w:val="10"/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深度合作。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积极申报</w:t>
      </w:r>
      <w:r>
        <w:rPr>
          <w:rFonts w:hint="eastAsia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年中国产学研合作创新与促进奖获市科技局推荐。</w:t>
      </w:r>
    </w:p>
    <w:p w14:paraId="007A328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（3）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  <w:t>成本指标：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  <w:t>精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心组织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双创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大赛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highlight w:val="none"/>
          <w:vertAlign w:val="baseline"/>
          <w:lang w:val="en-US" w:eastAsia="zh-CN"/>
        </w:rPr>
        <w:t>举办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highlight w:val="none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芦淞区科技创新成果展示暨创新创业项目路演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活动，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聘请专家评委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参赛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企业开展赛前专业辅导，奠定企业夺牌进位基础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Hans"/>
        </w:rPr>
        <w:t>中国航发南方工业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Hans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Hans"/>
        </w:rPr>
        <w:t>汉能科技等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参赛企业勇夺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国奖1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个、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省奖4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，区科工信局荣获株洲地区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科工信系统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唯一省级优秀组织奖。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全力办好科技活动周系列活动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以</w:t>
      </w:r>
      <w:r>
        <w:rPr>
          <w:rFonts w:hint="eastAsia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年芦淞区科技创新与产业发展大会暨科技活动周启动仪式为开端，连续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举办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点亮火炬精神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科技工作者座谈会等系列活动11场次，评选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芦淞区最美科技工作者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了10名，进一步增强科技工作者的自豪感、获得感和认同感。《全国科技工作者日，芦淞区礼赞企业家》等信息被湖南日报等省市媒体争相报道。</w:t>
      </w:r>
    </w:p>
    <w:p w14:paraId="6E5AE67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  <w:t>效益指标</w:t>
      </w:r>
    </w:p>
    <w:p w14:paraId="58B61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2024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年，我局狠抓惠企政策落实。一是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主动落实国家、省、市相关减税降费政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策，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扎实推进研发投入后补助、研发费用加计抵减等政策，全年落实25家高新技术企业所得税减免8800万元，113家企业研发费用加计扣除1.66亿元，37家研发财政奖补资金1205万元，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Hans"/>
        </w:rPr>
        <w:t>鼓励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企业大胆创新、放心创业。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建立健全专班工作机制。成立芦淞区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企业办事不求人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工作专班，形成政府分管副区长牵头，区科工信局具体负责，区直相关职能部门多方发力、协调推进的工作机制。成功举办芦淞区新认定国家级专精特新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小巨人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政企餐叙会，全力推进解决企业反馈用地、融资、用工等问题。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三是“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全员式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服务助企纾困。制定《芦淞区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常态长效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送政策解难题优服务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助企纾困行动实施方案》，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35名区级领导带队，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170家四上企业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派驻驻企联络员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，实现重点企业全覆盖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累计办结涉企重难点问题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建议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105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，驻企联络帮扶效果明显提升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 w14:paraId="2A11C83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yellow"/>
          <w:lang w:val="en-US" w:eastAsia="zh-CN" w:bidi="ar-SA"/>
        </w:rPr>
        <w:t>满意度指标</w:t>
      </w:r>
    </w:p>
    <w:p w14:paraId="07B876D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2024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年，我局立足于本职工作，不断提升为企业服务水平，受到辖区工业企业和科技型企业的广泛好评，服务对象满意度在95%以上。</w:t>
      </w:r>
    </w:p>
    <w:p w14:paraId="2F8914C4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专项资金支出绩效情况</w:t>
      </w:r>
    </w:p>
    <w:p w14:paraId="233A95C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本部门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年初预算专项资金共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个，具体情况如下：</w:t>
      </w:r>
    </w:p>
    <w:p w14:paraId="3390DFC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一是推进新型工业化工作专项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，上年结转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1.32万元，年初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预算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，实际支出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万元，本年使用上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结转结余指标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1.32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该专项资金支出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改善中小企业经营环境，保障中小企业公平参与市场竞争，维护中小企业合法权益，支持中小企业创业创新，促进中小企业健康发展，扩大城乡就业，发挥中小企业在国民经济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社会发展中的重要作用；健全企业长效帮扶机制。夯实“温暖企业行动”各项成果，健全企业帮扶长效机制，在企业要素保障、市场开拓、品牌推广、企业减负、优化环境等方面提供更有效更有力的服务，让企业帮扶从根源上为企业解决好相关难题。</w:t>
      </w:r>
    </w:p>
    <w:p w14:paraId="09C92DE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二是工业企业名录建设专项预算支出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3.00万元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，实际支出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本年使用上结转结余指标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。该专项资金完成辖区内国有企业三供一业维修改造扫尾、项目资金清算、资产接收协调，为国有企业减轻负担，集中精力发展主营业务承接相关企业办社会职能，解决国企历史遗留问题。</w:t>
      </w:r>
    </w:p>
    <w:p w14:paraId="3B9AE3D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三是促进科技创新高质量发展专项预算支出3.00万元，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本年使用上结转结余指标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。该专项资金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主要用于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科技政策汇编印刷费、宣传物料制作费。</w:t>
      </w:r>
    </w:p>
    <w:p w14:paraId="365A953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另外，实际决算项目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7个，有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个项目未列入年初预算。5个项目具体情况如下：</w:t>
      </w:r>
    </w:p>
    <w:p w14:paraId="6385DBB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.上级专项年中执行调增1,213.59万元，实际支出1,213.59万元，结余结转0.00万元。项目资金主要用于安全生产部署动员会、“两化融合评估诊断记网络安全数据安全分类分级评估”宣传培训费、绿色食品产业链工作经费。</w:t>
      </w:r>
    </w:p>
    <w:p w14:paraId="2581557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区级专项年中执行调增15.30万元，实际支出15.30万元，结余结转0.00万元。项目自己主要用于统计报表咨询费、中小企业梯度培育咨询费。</w:t>
      </w:r>
    </w:p>
    <w:p w14:paraId="75CB2EE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产业发展资金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30.85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30.85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主要用于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街道省国防科技工业级及时开发中心、统计指标培训班、芦淞区产业发展与创新大会、科技成果转化对接交流会。</w:t>
      </w:r>
    </w:p>
    <w:p w14:paraId="31CE3A4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科技专家服务团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年中执行调增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结余结转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主要用于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调研科技创新座谈会、中国产学研合作创新大会、龙头企业献计献策活动、调研芦淞产业活动、高校合作座谈会、科技成果沾化年工作部署会。</w:t>
      </w:r>
    </w:p>
    <w:p w14:paraId="500A5E4E">
      <w:pPr>
        <w:pStyle w:val="11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43C3E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（一）规模工业经济效益提升动能不足</w:t>
      </w:r>
    </w:p>
    <w:p w14:paraId="119AD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一是规模工业增加值增长不及预期。今年以来，我区已连续数月有重点企业被国家统计局标记，累计增加值增速被调低，影响全区累计规模工业增加值增速。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制造业增加值占GDP比重提升难。我区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第三产业多年以来占GDP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比重在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50%以上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制造业增加值占比不超过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25%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短期内各行业总量不会有剧烈波动，制造业占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比难以较大提升。</w:t>
      </w:r>
    </w:p>
    <w:p w14:paraId="4586E46B">
      <w:pPr>
        <w:pStyle w:val="15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（二）科技创新内生动能预期效益减弱</w:t>
      </w:r>
    </w:p>
    <w:p w14:paraId="676F455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创新主体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培育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难度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大。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受企业效益下滑、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税务统计核查力度加大，高企补助资金不能及时拨付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等因素影响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复审企业参评积极性不高，中小企业申报顾虑增加，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高企培育数量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Hans" w:bidi="ar-SA"/>
        </w:rPr>
        <w:t>较全年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任务目标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Hans" w:bidi="ar-SA"/>
        </w:rPr>
        <w:t>有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较大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Hans" w:bidi="ar-SA"/>
        </w:rPr>
        <w:t>差距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二是研发投入认定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大幅下滑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虽然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我区在研发投入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总量申报方面加强了归集指导，基本完成了上级任务目标，但331厂将列入JG统计口径，预计研发投入认定数将有数亿元的降幅。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三是财政科技支出增长率下滑。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因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区级财力不足和去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年财政科技支出占比较高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基数大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等影响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今年财政科技支出较去年同期下降2.4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，实现全年10%增速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目标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任务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难度大。</w:t>
      </w:r>
    </w:p>
    <w:p w14:paraId="654E135B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1AB5E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（一）规模工业经济效益提升动能不足</w:t>
      </w:r>
    </w:p>
    <w:p w14:paraId="44008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一是规模工业增加值增长不及预期。今年以来，我区已连续数月有重点企业被国家统计局标记，累计增加值增速被调低，影响全区累计规模工业增加值增速。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制造业增加值占GDP比重提升难。我区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第三产业多年以来占GDP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Hans"/>
        </w:rPr>
        <w:t>比重在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50%以上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制造业增加值占比不超过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25%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短期内各行业总量不会有剧烈波动，制造业占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比难以较大提升。</w:t>
      </w:r>
    </w:p>
    <w:p w14:paraId="03685C31">
      <w:pPr>
        <w:pStyle w:val="15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（二）科技创新内生动能预期效益减弱</w:t>
      </w:r>
    </w:p>
    <w:p w14:paraId="4A4A534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创新主体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培育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难度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大。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受企业效益下滑、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税务统计核查力度加大，高企补助资金不能及时拨付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等因素影响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复审企业参评积极性不高，中小企业申报顾虑增加，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高企培育数量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Hans" w:bidi="ar-SA"/>
        </w:rPr>
        <w:t>较全年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任务目标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Hans" w:bidi="ar-SA"/>
        </w:rPr>
        <w:t>有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较大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Hans" w:bidi="ar-SA"/>
        </w:rPr>
        <w:t>差距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二是研发投入认定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大幅下滑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虽然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我区在研发投入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总量申报方面加强了归集指导，基本完成了上级任务目标，但331厂将列入JG统计口径，预计研发投入认定数将有数亿元的降幅。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三是财政科技支出增长率下滑。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因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区级财力不足和去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年财政科技支出占比较高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基数大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等影响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今年财政科技支出较去年同期下降2.4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，实现全年10%增速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目标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任务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难度大。</w:t>
      </w:r>
    </w:p>
    <w:p w14:paraId="133C89C6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14:paraId="5C18B20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此次绩效自评结果将广泛运用于来年的预算编制和财政资金管理中。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本单位没有独立网站，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此次绩效自评报告将与202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年部门决算一起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在芦淞区政府信息公开专栏中公开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，接受群众监督。</w:t>
      </w:r>
    </w:p>
    <w:p w14:paraId="6017D866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73F5D527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30340E76">
      <w:pPr>
        <w:spacing w:line="600" w:lineRule="exact"/>
        <w:rPr>
          <w:rFonts w:eastAsia="仿宋_GB2312"/>
          <w:kern w:val="0"/>
          <w:sz w:val="32"/>
          <w:szCs w:val="32"/>
        </w:rPr>
      </w:pPr>
    </w:p>
    <w:p w14:paraId="07B8EE33">
      <w:r>
        <w:rPr>
          <w:rFonts w:eastAsia="黑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8F4CC69"/>
    <w:multiLevelType w:val="singleLevel"/>
    <w:tmpl w:val="68F4CC69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68F4CE96"/>
    <w:multiLevelType w:val="singleLevel"/>
    <w:tmpl w:val="68F4CE9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8F4CFEB"/>
    <w:multiLevelType w:val="singleLevel"/>
    <w:tmpl w:val="68F4CFEB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68F4D003"/>
    <w:multiLevelType w:val="singleLevel"/>
    <w:tmpl w:val="68F4D003"/>
    <w:lvl w:ilvl="0" w:tentative="0">
      <w:start w:val="3"/>
      <w:numFmt w:val="chineseCounting"/>
      <w:suff w:val="nothing"/>
      <w:lvlText w:val="%1、"/>
      <w:lvlJc w:val="left"/>
    </w:lvl>
  </w:abstractNum>
  <w:abstractNum w:abstractNumId="5">
    <w:nsid w:val="68F4D194"/>
    <w:multiLevelType w:val="singleLevel"/>
    <w:tmpl w:val="68F4D1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jg3NjVmZmU4MjJhYzIzZjM0NWY1OWYwNjhhMzg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D3B91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65D2B53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5C236B"/>
    <w:rsid w:val="10C17504"/>
    <w:rsid w:val="10F06DED"/>
    <w:rsid w:val="11107299"/>
    <w:rsid w:val="1134034B"/>
    <w:rsid w:val="115176A2"/>
    <w:rsid w:val="12126641"/>
    <w:rsid w:val="129D6027"/>
    <w:rsid w:val="13242D1C"/>
    <w:rsid w:val="13A52CDF"/>
    <w:rsid w:val="146C1DD9"/>
    <w:rsid w:val="14BF24DE"/>
    <w:rsid w:val="14CC54C7"/>
    <w:rsid w:val="14DD5FD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6233C8"/>
    <w:rsid w:val="1B9D302A"/>
    <w:rsid w:val="1BF446CE"/>
    <w:rsid w:val="1C704031"/>
    <w:rsid w:val="1CBE6F97"/>
    <w:rsid w:val="1D271A66"/>
    <w:rsid w:val="1DCB47DF"/>
    <w:rsid w:val="1E067B59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5FF40AA"/>
    <w:rsid w:val="262B4FF6"/>
    <w:rsid w:val="264810A7"/>
    <w:rsid w:val="265A7CC8"/>
    <w:rsid w:val="27014400"/>
    <w:rsid w:val="271B2298"/>
    <w:rsid w:val="276D0D8C"/>
    <w:rsid w:val="27DE2311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DFA5AED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6D1F0B"/>
    <w:rsid w:val="31AF70F0"/>
    <w:rsid w:val="32D24F00"/>
    <w:rsid w:val="32D963A9"/>
    <w:rsid w:val="32ED21B4"/>
    <w:rsid w:val="331926DE"/>
    <w:rsid w:val="349E4BC3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441DBF"/>
    <w:rsid w:val="399C1F0E"/>
    <w:rsid w:val="39F85E1B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A21BB1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0373D9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A0078C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3D218E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70B7A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7C90C27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index 5"/>
    <w:next w:val="1"/>
    <w:qFormat/>
    <w:uiPriority w:val="0"/>
    <w:pPr>
      <w:widowControl w:val="0"/>
      <w:ind w:left="4197" w:hanging="3082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character" w:styleId="10">
    <w:name w:val="Hyperlink"/>
    <w:basedOn w:val="9"/>
    <w:unhideWhenUsed/>
    <w:qFormat/>
    <w:uiPriority w:val="0"/>
    <w:rPr>
      <w:rFonts w:hint="default"/>
      <w:color w:val="0000FF"/>
      <w:sz w:val="24"/>
      <w:szCs w:val="24"/>
      <w:u w:val="single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2">
    <w:name w:val="_Style 3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正文文字"/>
    <w:basedOn w:val="1"/>
    <w:next w:val="1"/>
    <w:qFormat/>
    <w:uiPriority w:val="99"/>
    <w:pPr>
      <w:widowControl/>
      <w:spacing w:after="120"/>
    </w:pPr>
    <w:rPr>
      <w:rFonts w:ascii="Calibri" w:hAnsi="Calibri" w:cs="Times New Roman"/>
    </w:rPr>
  </w:style>
  <w:style w:type="character" w:customStyle="1" w:styleId="16">
    <w:name w:val="NormalCharacter"/>
    <w:link w:val="17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7">
    <w:name w:val="UserStyle_10"/>
    <w:basedOn w:val="1"/>
    <w:link w:val="16"/>
    <w:qFormat/>
    <w:uiPriority w:val="0"/>
    <w:pPr>
      <w:widowControl/>
      <w:spacing w:after="160" w:line="240" w:lineRule="exact"/>
      <w:jc w:val="left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5330</Words>
  <Characters>5690</Characters>
  <Lines>0</Lines>
  <Paragraphs>0</Paragraphs>
  <TotalTime>50</TotalTime>
  <ScaleCrop>false</ScaleCrop>
  <LinksUpToDate>false</LinksUpToDate>
  <CharactersWithSpaces>5710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Ming</cp:lastModifiedBy>
  <dcterms:modified xsi:type="dcterms:W3CDTF">2026-02-11T01:41:57Z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D01BB87798014195A9E1C043EBC0793C_13</vt:lpwstr>
  </property>
  <property fmtid="{D5CDD505-2E9C-101B-9397-08002B2CF9AE}" pid="4" name="KSOTemplateDocerSaveRecord">
    <vt:lpwstr>eyJoZGlkIjoiM2FiZDIzMjBhYjY3YjcwYmIxYWI1NjM4YzVmYjEyMDMiLCJ1c2VySWQiOiIzNzA2NDI1NTgifQ==</vt:lpwstr>
  </property>
</Properties>
</file>