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E4D6">
      <w:pPr>
        <w:jc w:val="center"/>
        <w:rPr>
          <w:rFonts w:eastAsia="方正小标宋_GBK"/>
          <w:sz w:val="48"/>
          <w:szCs w:val="48"/>
        </w:rPr>
      </w:pPr>
      <w:bookmarkStart w:id="3" w:name="_GoBack"/>
      <w:bookmarkEnd w:id="3"/>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株洲市芦淞区城市管理综合执法大队</w:t>
      </w:r>
      <w:r>
        <w:rPr>
          <w:rFonts w:eastAsia="方正小标宋_GBK"/>
          <w:sz w:val="48"/>
          <w:szCs w:val="48"/>
        </w:rPr>
        <w:t>部门（单位）</w:t>
      </w:r>
      <w:r>
        <w:rPr>
          <w:rFonts w:hint="eastAsia" w:eastAsia="方正小标宋_GBK"/>
          <w:sz w:val="48"/>
          <w:szCs w:val="48"/>
          <w:lang w:eastAsia="zh-CN"/>
        </w:rPr>
        <w:t>整体</w:t>
      </w:r>
      <w:r>
        <w:rPr>
          <w:rFonts w:eastAsia="方正小标宋_GBK"/>
          <w:sz w:val="48"/>
          <w:szCs w:val="48"/>
        </w:rPr>
        <w:t>支出</w:t>
      </w:r>
    </w:p>
    <w:p w14:paraId="03C50E1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微软雅黑" w:cs="Times New Roman"/>
          <w:sz w:val="40"/>
          <w:szCs w:val="32"/>
        </w:rPr>
      </w:pPr>
      <w:r>
        <w:rPr>
          <w:rFonts w:eastAsia="方正小标宋_GBK"/>
          <w:sz w:val="48"/>
          <w:szCs w:val="48"/>
        </w:rPr>
        <w:t>绩效自评报告</w:t>
      </w:r>
    </w:p>
    <w:p w14:paraId="1BBDF012">
      <w:pPr>
        <w:jc w:val="center"/>
        <w:rPr>
          <w:rFonts w:eastAsia="方正小标宋_GBK"/>
          <w:sz w:val="48"/>
          <w:szCs w:val="48"/>
        </w:rPr>
      </w:pP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71A1DDA4">
      <w:pPr>
        <w:spacing w:line="600" w:lineRule="exact"/>
        <w:ind w:firstLine="0" w:firstLineChars="0"/>
        <w:jc w:val="center"/>
        <w:rPr>
          <w:rFonts w:hint="eastAsia" w:ascii="Times New Roman" w:hAnsi="Times New Roman" w:eastAsia="仿宋_GB2312" w:cs="Times New Roman"/>
          <w:sz w:val="32"/>
          <w:szCs w:val="32"/>
          <w:u w:val="single"/>
        </w:rPr>
      </w:pPr>
      <w:r>
        <w:rPr>
          <w:rFonts w:eastAsia="黑体"/>
          <w:sz w:val="36"/>
          <w:szCs w:val="36"/>
        </w:rPr>
        <w:t>单位名称（盖章）：</w:t>
      </w:r>
      <w:r>
        <w:rPr>
          <w:rFonts w:hint="eastAsia" w:ascii="Times New Roman" w:hAnsi="Times New Roman" w:eastAsia="仿宋_GB2312" w:cs="Times New Roman"/>
          <w:sz w:val="32"/>
          <w:szCs w:val="32"/>
          <w:u w:val="single"/>
        </w:rPr>
        <w:t>株洲市芦淞区城市管理</w:t>
      </w:r>
    </w:p>
    <w:p w14:paraId="003297BB">
      <w:pPr>
        <w:ind w:firstLine="640" w:firstLineChars="200"/>
        <w:jc w:val="center"/>
        <w:rPr>
          <w:rFonts w:eastAsia="黑体"/>
          <w:sz w:val="36"/>
          <w:szCs w:val="36"/>
        </w:rPr>
      </w:pPr>
      <w:r>
        <w:rPr>
          <w:rFonts w:hint="eastAsia" w:ascii="Times New Roman" w:hAnsi="Times New Roman" w:eastAsia="仿宋_GB2312" w:cs="Times New Roman"/>
          <w:sz w:val="32"/>
          <w:szCs w:val="32"/>
          <w:u w:val="single"/>
        </w:rPr>
        <w:t>综合行政执法大队</w:t>
      </w:r>
    </w:p>
    <w:p w14:paraId="6F92C1D1">
      <w:pPr>
        <w:jc w:val="center"/>
        <w:rPr>
          <w:rFonts w:eastAsia="黑体"/>
          <w:sz w:val="36"/>
          <w:szCs w:val="36"/>
        </w:rPr>
      </w:pPr>
    </w:p>
    <w:p w14:paraId="40CAF117">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1EDFD64">
      <w:pPr>
        <w:jc w:val="center"/>
        <w:rPr>
          <w:rFonts w:eastAsia="仿宋_GB2312"/>
          <w:sz w:val="32"/>
          <w:szCs w:val="32"/>
        </w:rPr>
      </w:pPr>
      <w:r>
        <w:rPr>
          <w:rFonts w:eastAsia="仿宋_GB2312"/>
          <w:sz w:val="32"/>
          <w:szCs w:val="32"/>
        </w:rPr>
        <w:t>（此页为封面）</w:t>
      </w:r>
    </w:p>
    <w:p w14:paraId="7505B1A1">
      <w:pPr>
        <w:spacing w:line="600" w:lineRule="exact"/>
        <w:ind w:firstLine="640" w:firstLineChars="200"/>
        <w:rPr>
          <w:rFonts w:eastAsia="黑体"/>
          <w:sz w:val="32"/>
          <w:szCs w:val="32"/>
        </w:rPr>
      </w:pP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（一）部门（单位）基本情况</w:t>
      </w:r>
    </w:p>
    <w:p w14:paraId="3080A6D2">
      <w:pPr>
        <w:spacing w:line="600" w:lineRule="exact"/>
        <w:ind w:firstLine="640" w:firstLineChars="200"/>
        <w:rPr>
          <w:rFonts w:hint="eastAsia" w:ascii="仿宋" w:hAnsi="仿宋" w:eastAsia="仿宋" w:cs="仿宋"/>
          <w:sz w:val="32"/>
          <w:szCs w:val="32"/>
          <w:lang w:val="en-US" w:eastAsia="zh-CN"/>
        </w:rPr>
      </w:pPr>
      <w:r>
        <w:rPr>
          <w:rFonts w:hint="eastAsia" w:ascii="Times New Roman" w:hAnsi="Times New Roman" w:eastAsia="仿宋_GB2312" w:cs="仿宋_GB2312"/>
          <w:bCs/>
          <w:kern w:val="0"/>
          <w:sz w:val="32"/>
          <w:szCs w:val="32"/>
          <w:lang w:eastAsia="zh-CN"/>
        </w:rPr>
        <w:t>株洲市芦淞区城市管理综合行政执法大队</w:t>
      </w:r>
      <w:r>
        <w:rPr>
          <w:rFonts w:hint="eastAsia" w:ascii="Times New Roman" w:hAnsi="Times New Roman" w:eastAsia="仿宋_GB2312" w:cs="仿宋_GB2312"/>
          <w:bCs/>
          <w:kern w:val="0"/>
          <w:sz w:val="32"/>
          <w:szCs w:val="32"/>
        </w:rPr>
        <w:t>单位内设机构包括：</w:t>
      </w:r>
      <w:r>
        <w:rPr>
          <w:rFonts w:hint="eastAsia" w:ascii="仿宋" w:hAnsi="仿宋" w:eastAsia="仿宋" w:cs="仿宋"/>
          <w:sz w:val="32"/>
          <w:szCs w:val="32"/>
          <w:lang w:val="en-US" w:eastAsia="zh-CN"/>
        </w:rPr>
        <w:t>综合办公室、勤务指挥中心、督查考评室、案件审理室、处罚中心及11个中队，其中有9个中队为芦淞区城市管理和综合执法局派驻到各镇（街道）和区市场服务中心的队伍。</w:t>
      </w:r>
    </w:p>
    <w:p w14:paraId="2703CE26">
      <w:pPr>
        <w:pStyle w:val="7"/>
        <w:ind w:left="0" w:leftChars="0" w:firstLine="640" w:firstLineChars="200"/>
        <w:rPr>
          <w:b w:val="0"/>
          <w:bCs/>
          <w:highlight w:val="none"/>
        </w:rPr>
      </w:pPr>
      <w:r>
        <w:rPr>
          <w:rFonts w:hint="eastAsia" w:ascii="Times New Roman" w:hAnsi="Times New Roman" w:eastAsia="仿宋_GB2312" w:cs="Times New Roman"/>
          <w:b w:val="0"/>
          <w:bCs/>
          <w:sz w:val="32"/>
          <w:szCs w:val="32"/>
          <w:lang w:val="en-US" w:eastAsia="zh-CN"/>
        </w:rPr>
        <w:t>主要</w:t>
      </w:r>
      <w:r>
        <w:rPr>
          <w:rFonts w:hint="default" w:ascii="Times New Roman" w:hAnsi="Times New Roman" w:eastAsia="仿宋_GB2312" w:cs="Times New Roman"/>
          <w:b w:val="0"/>
          <w:bCs/>
          <w:sz w:val="32"/>
          <w:szCs w:val="32"/>
          <w:lang w:val="en-US" w:eastAsia="zh-CN"/>
        </w:rPr>
        <w:t>负责全区市容秩序行政执法工作；组织开展市容市貌的综合整治工作；小型户外招牌、指示牌设置及沿街门店商业文化活动占道的行政执法工作，区城管大队的队伍建设工作；</w:t>
      </w:r>
      <w:r>
        <w:rPr>
          <w:rFonts w:hint="eastAsia" w:ascii="仿宋" w:hAnsi="仿宋" w:eastAsia="仿宋" w:cs="仿宋"/>
          <w:b w:val="0"/>
          <w:bCs/>
          <w:sz w:val="32"/>
          <w:szCs w:val="32"/>
          <w:lang w:val="en-US" w:eastAsia="zh-CN"/>
        </w:rPr>
        <w:t>按照城市网格化管理要求，对巡查发现的违法建设应立即劝阻，相关线索应当及时报告给自然资源部门及属地乡镇人民政府(街道办事处)并根据属地政府授权负责违法建设强制拆除的执行。负责行使执法权限内的行政处罚权；接受株洲市芦淞区城市管理和综合执法局的应急处置指挥调度；负责区城市管理综合行政执法大队的队伍建设等相关工作。</w:t>
      </w:r>
    </w:p>
    <w:p w14:paraId="0988FCFA">
      <w:pPr>
        <w:numPr>
          <w:ilvl w:val="0"/>
          <w:numId w:val="1"/>
        </w:numPr>
        <w:spacing w:line="600" w:lineRule="exact"/>
        <w:ind w:firstLine="643" w:firstLineChars="200"/>
        <w:rPr>
          <w:rFonts w:hint="eastAsia" w:eastAsia="楷体_GB2312"/>
          <w:b/>
          <w:sz w:val="32"/>
          <w:szCs w:val="32"/>
          <w:highlight w:val="none"/>
          <w:lang w:eastAsia="zh-CN"/>
        </w:rPr>
      </w:pPr>
      <w:r>
        <w:rPr>
          <w:rFonts w:eastAsia="楷体_GB2312"/>
          <w:b/>
          <w:sz w:val="32"/>
          <w:szCs w:val="32"/>
          <w:highlight w:val="none"/>
        </w:rPr>
        <w:t>部门（单位）年度整体支出绩效目标，</w:t>
      </w:r>
      <w:r>
        <w:rPr>
          <w:rFonts w:hint="eastAsia" w:eastAsia="楷体_GB2312"/>
          <w:b/>
          <w:sz w:val="32"/>
          <w:szCs w:val="32"/>
          <w:highlight w:val="none"/>
          <w:lang w:eastAsia="zh-CN"/>
        </w:rPr>
        <w:t>部门</w:t>
      </w:r>
      <w:r>
        <w:rPr>
          <w:rFonts w:eastAsia="楷体_GB2312"/>
          <w:b/>
          <w:sz w:val="32"/>
          <w:szCs w:val="32"/>
          <w:highlight w:val="none"/>
        </w:rPr>
        <w:t>专项资金绩效目标、其他项目支出（除省级专项资金以外）绩效目标</w:t>
      </w:r>
      <w:r>
        <w:rPr>
          <w:rFonts w:hint="eastAsia" w:eastAsia="楷体_GB2312"/>
          <w:b/>
          <w:sz w:val="32"/>
          <w:szCs w:val="32"/>
          <w:highlight w:val="none"/>
          <w:lang w:eastAsia="zh-CN"/>
        </w:rPr>
        <w:t>（只写目标，不写金额）</w:t>
      </w:r>
    </w:p>
    <w:p w14:paraId="3FCDA6D9">
      <w:pPr>
        <w:pStyle w:val="2"/>
        <w:numPr>
          <w:ilvl w:val="0"/>
          <w:numId w:val="0"/>
        </w:numPr>
        <w:rPr>
          <w:rFonts w:hint="eastAsia" w:eastAsia="仿宋_GB2312"/>
          <w:b w:val="0"/>
          <w:bCs/>
          <w:lang w:val="en-US" w:eastAsia="zh-CN"/>
        </w:rPr>
      </w:pPr>
      <w:r>
        <w:rPr>
          <w:rFonts w:hint="eastAsia"/>
          <w:lang w:val="en-US" w:eastAsia="zh-CN"/>
        </w:rPr>
        <w:t xml:space="preserve">    </w:t>
      </w:r>
      <w:r>
        <w:rPr>
          <w:rFonts w:hint="eastAsia"/>
          <w:b w:val="0"/>
          <w:bCs/>
          <w:lang w:val="en-US" w:eastAsia="zh-CN"/>
        </w:rPr>
        <w:t>进一步规范市容秩序，加强机动车停放管理，做好全年大型整治行动及专项整治行动.做好全区执法力量科学调配工作，强化执法力量，强化队伍水平，保障辖区市文明有序。协管员经费专项需保障216名协管队员全年工资、社保等相关福利。</w:t>
      </w:r>
      <w:r>
        <w:rPr>
          <w:rFonts w:hint="eastAsia" w:ascii="仿宋_GB2312" w:hAnsi="仿宋_GB2312" w:eastAsia="仿宋_GB2312" w:cs="仿宋_GB2312"/>
          <w:b w:val="0"/>
          <w:bCs/>
          <w:sz w:val="32"/>
          <w:szCs w:val="32"/>
        </w:rPr>
        <w:t>城市管理综合执法经费</w:t>
      </w:r>
      <w:r>
        <w:rPr>
          <w:rFonts w:hint="eastAsia" w:ascii="仿宋_GB2312" w:hAnsi="仿宋_GB2312" w:eastAsia="仿宋_GB2312" w:cs="仿宋_GB2312"/>
          <w:b w:val="0"/>
          <w:bCs/>
          <w:color w:val="000000"/>
          <w:sz w:val="32"/>
          <w:szCs w:val="32"/>
        </w:rPr>
        <w:t>专项</w:t>
      </w:r>
      <w:r>
        <w:rPr>
          <w:rFonts w:hint="eastAsia" w:hAnsi="仿宋_GB2312" w:cs="仿宋_GB2312"/>
          <w:b w:val="0"/>
          <w:bCs/>
          <w:color w:val="000000"/>
          <w:sz w:val="32"/>
          <w:szCs w:val="32"/>
          <w:lang w:eastAsia="zh-CN"/>
        </w:rPr>
        <w:t>强化队伍水平，提升城市管理水平，全年绩效目标包括但不仅限于：整治次数，年度指标值≥160次，规范机动车停放的车辆数量≥10000辆，环卫市场化第六标段“牛皮癣”清理长度，年度指标值213736.4米。违法建设专项整治次数，年度指标值≥8次。违法违章物品登记保存数量，年度指标值≥5000件。违法违章物品登记保存场地面积，年度指标值700多平方米。违法广告招牌整治次数，年度指标值≥30次。违法整治广告招牌数量，年度指标值≥50个。市场服务中心整治次数，年度指标值≥24次。路面执法监控维护个数，年度指标值≥26个。</w:t>
      </w:r>
    </w:p>
    <w:p w14:paraId="65FF2321">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6"/>
        <w:spacing w:line="600" w:lineRule="exact"/>
        <w:ind w:firstLine="643"/>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年预算资金</w:t>
      </w:r>
      <w:r>
        <w:rPr>
          <w:rFonts w:hint="eastAsia" w:ascii="仿宋_GB2312" w:hAnsi="仿宋_GB2312" w:eastAsia="仿宋_GB2312" w:cs="仿宋_GB2312"/>
          <w:color w:val="000000"/>
          <w:sz w:val="32"/>
          <w:szCs w:val="32"/>
          <w:lang w:val="en-US" w:eastAsia="zh-CN"/>
        </w:rPr>
        <w:t>2643.72万元。</w:t>
      </w:r>
    </w:p>
    <w:p w14:paraId="36097CFC">
      <w:pPr>
        <w:pStyle w:val="6"/>
        <w:spacing w:line="600" w:lineRule="exact"/>
        <w:ind w:firstLine="64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2、2024年度</w:t>
      </w:r>
      <w:r>
        <w:rPr>
          <w:rFonts w:hint="eastAsia" w:ascii="仿宋_GB2312" w:hAnsi="仿宋_GB2312" w:eastAsia="仿宋_GB2312" w:cs="仿宋_GB2312"/>
          <w:color w:val="auto"/>
          <w:sz w:val="32"/>
          <w:szCs w:val="32"/>
        </w:rPr>
        <w:t>单位一般公共预算财政拨款收入</w:t>
      </w:r>
      <w:r>
        <w:rPr>
          <w:rFonts w:hint="eastAsia" w:ascii="仿宋_GB2312" w:hAnsi="仿宋_GB2312" w:eastAsia="仿宋_GB2312" w:cs="仿宋_GB2312"/>
          <w:color w:val="auto"/>
          <w:sz w:val="32"/>
          <w:szCs w:val="32"/>
          <w:lang w:val="en-US" w:eastAsia="zh-CN"/>
        </w:rPr>
        <w:t>2410.36万元。</w:t>
      </w:r>
    </w:p>
    <w:p w14:paraId="65368BC4">
      <w:pPr>
        <w:spacing w:line="580" w:lineRule="exact"/>
        <w:ind w:firstLine="640" w:firstLineChars="200"/>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2024年度</w:t>
      </w:r>
      <w:r>
        <w:rPr>
          <w:rFonts w:hint="eastAsia" w:ascii="仿宋_GB2312" w:hAnsi="仿宋_GB2312" w:eastAsia="仿宋_GB2312" w:cs="仿宋_GB2312"/>
          <w:color w:val="auto"/>
          <w:sz w:val="32"/>
          <w:szCs w:val="32"/>
        </w:rPr>
        <w:t>单位一般公共预算财政拨款</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2410.36万元，</w:t>
      </w:r>
      <w:r>
        <w:rPr>
          <w:rFonts w:hint="eastAsia" w:ascii="仿宋_GB2312" w:hAnsi="仿宋_GB2312" w:eastAsia="仿宋_GB2312" w:cs="仿宋_GB2312"/>
          <w:color w:val="auto"/>
          <w:sz w:val="32"/>
          <w:szCs w:val="32"/>
        </w:rPr>
        <w:t>其中：项目支出</w:t>
      </w:r>
      <w:r>
        <w:rPr>
          <w:rFonts w:hint="eastAsia" w:ascii="仿宋_GB2312" w:hAnsi="仿宋_GB2312" w:eastAsia="仿宋_GB2312" w:cs="仿宋_GB2312"/>
          <w:color w:val="auto"/>
          <w:sz w:val="32"/>
          <w:szCs w:val="32"/>
          <w:lang w:val="en-US" w:eastAsia="zh-CN"/>
        </w:rPr>
        <w:t>1122.03</w:t>
      </w:r>
      <w:r>
        <w:rPr>
          <w:rFonts w:hint="eastAsia" w:ascii="仿宋_GB2312" w:hAnsi="仿宋_GB2312" w:eastAsia="仿宋_GB2312" w:cs="仿宋_GB2312"/>
          <w:color w:val="auto"/>
          <w:sz w:val="32"/>
          <w:szCs w:val="32"/>
        </w:rPr>
        <w:t>万元，基本支出</w:t>
      </w:r>
      <w:r>
        <w:rPr>
          <w:rFonts w:hint="eastAsia" w:ascii="仿宋_GB2312" w:hAnsi="仿宋_GB2312" w:eastAsia="仿宋_GB2312" w:cs="仿宋_GB2312"/>
          <w:color w:val="auto"/>
          <w:sz w:val="32"/>
          <w:szCs w:val="32"/>
          <w:lang w:val="en-US" w:eastAsia="zh-CN"/>
        </w:rPr>
        <w:t>1288.33</w:t>
      </w:r>
      <w:r>
        <w:rPr>
          <w:rFonts w:hint="eastAsia" w:ascii="仿宋_GB2312" w:hAnsi="仿宋_GB2312" w:eastAsia="仿宋_GB2312" w:cs="仿宋_GB2312"/>
          <w:color w:val="auto"/>
          <w:sz w:val="32"/>
          <w:szCs w:val="32"/>
        </w:rPr>
        <w:t>万元，其中：人员经费</w:t>
      </w:r>
      <w:r>
        <w:rPr>
          <w:rFonts w:hint="eastAsia" w:ascii="仿宋_GB2312" w:hAnsi="仿宋_GB2312" w:eastAsia="仿宋_GB2312" w:cs="仿宋_GB2312"/>
          <w:color w:val="auto"/>
          <w:sz w:val="32"/>
          <w:szCs w:val="32"/>
          <w:lang w:val="en-US" w:eastAsia="zh-CN"/>
        </w:rPr>
        <w:t>1131.49</w:t>
      </w:r>
      <w:r>
        <w:rPr>
          <w:rFonts w:hint="eastAsia" w:ascii="仿宋_GB2312" w:hAnsi="仿宋_GB2312" w:eastAsia="仿宋_GB2312" w:cs="仿宋_GB2312"/>
          <w:color w:val="auto"/>
          <w:sz w:val="32"/>
          <w:szCs w:val="32"/>
        </w:rPr>
        <w:t>万元，公用经费</w:t>
      </w:r>
      <w:r>
        <w:rPr>
          <w:rFonts w:hint="eastAsia" w:ascii="仿宋_GB2312" w:hAnsi="仿宋_GB2312" w:eastAsia="仿宋_GB2312" w:cs="仿宋_GB2312"/>
          <w:color w:val="auto"/>
          <w:sz w:val="32"/>
          <w:szCs w:val="32"/>
          <w:lang w:val="en-US" w:eastAsia="zh-CN"/>
        </w:rPr>
        <w:t>156.84万</w:t>
      </w:r>
      <w:r>
        <w:rPr>
          <w:rFonts w:hint="eastAsia" w:ascii="仿宋_GB2312" w:hAnsi="仿宋_GB2312" w:eastAsia="仿宋_GB2312" w:cs="仿宋_GB2312"/>
          <w:color w:val="auto"/>
          <w:sz w:val="32"/>
          <w:szCs w:val="32"/>
        </w:rPr>
        <w:t>元。</w:t>
      </w:r>
    </w:p>
    <w:p w14:paraId="546FC3FA">
      <w:pPr>
        <w:pStyle w:val="6"/>
        <w:numPr>
          <w:ilvl w:val="0"/>
          <w:numId w:val="2"/>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3DAF5DEF">
      <w:pPr>
        <w:keepNext w:val="0"/>
        <w:keepLines w:val="0"/>
        <w:pageBreakBefore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highlight w:val="none"/>
          <w:lang w:eastAsia="zh-CN"/>
        </w:rPr>
        <w:t>协管员经费</w:t>
      </w:r>
      <w:r>
        <w:rPr>
          <w:rFonts w:hint="eastAsia" w:ascii="仿宋_GB2312" w:hAnsi="仿宋_GB2312" w:eastAsia="仿宋_GB2312" w:cs="仿宋_GB2312"/>
          <w:color w:val="000000"/>
          <w:sz w:val="32"/>
          <w:szCs w:val="32"/>
        </w:rPr>
        <w:t>专项</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881.17</w:t>
      </w:r>
      <w:r>
        <w:rPr>
          <w:rFonts w:hint="eastAsia" w:ascii="仿宋_GB2312" w:hAnsi="仿宋_GB2312" w:eastAsia="仿宋_GB2312" w:cs="仿宋_GB2312"/>
          <w:color w:val="000000"/>
          <w:sz w:val="32"/>
          <w:szCs w:val="32"/>
        </w:rPr>
        <w:t>万元。主要用于保障</w:t>
      </w:r>
      <w:r>
        <w:rPr>
          <w:rFonts w:hint="eastAsia" w:ascii="仿宋_GB2312" w:hAnsi="仿宋_GB2312" w:eastAsia="仿宋_GB2312" w:cs="仿宋_GB2312"/>
          <w:color w:val="000000"/>
          <w:sz w:val="32"/>
          <w:szCs w:val="32"/>
          <w:lang w:val="en-US" w:eastAsia="zh-CN"/>
        </w:rPr>
        <w:t>本大队</w:t>
      </w:r>
      <w:r>
        <w:rPr>
          <w:rFonts w:hint="eastAsia" w:ascii="仿宋_GB2312" w:hAnsi="仿宋_GB2312" w:eastAsia="仿宋_GB2312" w:cs="仿宋_GB2312"/>
          <w:color w:val="000000"/>
          <w:sz w:val="32"/>
          <w:szCs w:val="32"/>
        </w:rPr>
        <w:t>协管队员全年工资、社保</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福利</w:t>
      </w:r>
      <w:r>
        <w:rPr>
          <w:rFonts w:hint="eastAsia" w:ascii="仿宋_GB2312" w:hAnsi="仿宋_GB2312" w:eastAsia="仿宋_GB2312" w:cs="仿宋_GB2312"/>
          <w:color w:val="000000"/>
          <w:sz w:val="32"/>
          <w:szCs w:val="32"/>
          <w:lang w:eastAsia="zh-CN"/>
        </w:rPr>
        <w:t>。</w:t>
      </w:r>
    </w:p>
    <w:p w14:paraId="33976F45">
      <w:pPr>
        <w:keepNext w:val="0"/>
        <w:keepLines w:val="0"/>
        <w:pageBreakBefore w:val="0"/>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城市管理综合执法经费</w:t>
      </w:r>
      <w:r>
        <w:rPr>
          <w:rFonts w:hint="eastAsia" w:ascii="仿宋_GB2312" w:hAnsi="仿宋_GB2312" w:eastAsia="仿宋_GB2312" w:cs="仿宋_GB2312"/>
          <w:color w:val="000000"/>
          <w:sz w:val="32"/>
          <w:szCs w:val="32"/>
        </w:rPr>
        <w:t>专项</w:t>
      </w:r>
      <w:r>
        <w:rPr>
          <w:rFonts w:hint="eastAsia" w:ascii="仿宋_GB2312" w:hAnsi="仿宋_GB2312" w:eastAsia="仿宋_GB2312" w:cs="仿宋_GB2312"/>
          <w:color w:val="000000"/>
          <w:sz w:val="32"/>
          <w:szCs w:val="32"/>
          <w:lang w:val="en-US" w:eastAsia="zh-CN"/>
        </w:rPr>
        <w:t>240.86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“牛皮癣”清理经费、违法建设专项整治经费、</w:t>
      </w:r>
      <w:r>
        <w:rPr>
          <w:rFonts w:hint="eastAsia" w:ascii="仿宋_GB2312" w:hAnsi="仿宋_GB2312" w:eastAsia="仿宋_GB2312" w:cs="仿宋_GB2312"/>
          <w:sz w:val="32"/>
          <w:szCs w:val="32"/>
        </w:rPr>
        <w:t>违法违章物品等级保存场地租赁费</w:t>
      </w:r>
      <w:r>
        <w:rPr>
          <w:rFonts w:hint="eastAsia" w:ascii="仿宋_GB2312" w:hAnsi="仿宋_GB2312" w:eastAsia="仿宋_GB2312" w:cs="仿宋_GB2312"/>
          <w:sz w:val="32"/>
          <w:szCs w:val="32"/>
          <w:lang w:eastAsia="zh-CN"/>
        </w:rPr>
        <w:t>、路面执法终端监控维护、</w:t>
      </w:r>
      <w:r>
        <w:rPr>
          <w:rFonts w:hint="eastAsia" w:ascii="仿宋_GB2312" w:hAnsi="仿宋_GB2312" w:eastAsia="仿宋_GB2312" w:cs="仿宋_GB2312"/>
          <w:sz w:val="32"/>
          <w:szCs w:val="32"/>
          <w:lang w:val="en-US" w:eastAsia="zh-CN"/>
        </w:rPr>
        <w:t>食堂餐费、违法广告牌拆除费、油烟污染治理和扬尘治理经费、义务教务“双减”工作经费、诚信门店创建工作经费、执勤执法车采购经费、其他商品和服务开支等费用。</w:t>
      </w:r>
    </w:p>
    <w:p w14:paraId="7FAE22B4">
      <w:pPr>
        <w:pStyle w:val="6"/>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14:paraId="07C874E0">
      <w:pPr>
        <w:pStyle w:val="6"/>
        <w:spacing w:line="600" w:lineRule="exact"/>
        <w:ind w:firstLine="640"/>
        <w:rPr>
          <w:rFonts w:hint="eastAsia" w:ascii="Times New Roman" w:hAnsi="Times New Roman" w:eastAsia="黑体"/>
          <w:sz w:val="32"/>
          <w:szCs w:val="32"/>
          <w:lang w:eastAsia="zh-CN"/>
        </w:rPr>
      </w:pPr>
      <w:r>
        <w:rPr>
          <w:rFonts w:hint="eastAsia" w:ascii="仿宋_GB2312" w:hAnsi="仿宋_GB2312" w:eastAsia="仿宋_GB2312" w:cs="仿宋_GB2312"/>
          <w:sz w:val="32"/>
          <w:szCs w:val="32"/>
          <w:lang w:eastAsia="zh-CN"/>
        </w:rPr>
        <w:t>无</w:t>
      </w:r>
    </w:p>
    <w:p w14:paraId="222B2C09">
      <w:pPr>
        <w:pStyle w:val="6"/>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19854080">
      <w:pPr>
        <w:pStyle w:val="6"/>
        <w:spacing w:line="600" w:lineRule="exact"/>
        <w:ind w:firstLine="640"/>
        <w:rPr>
          <w:rFonts w:ascii="Times New Roman" w:hAnsi="Times New Roman" w:eastAsia="黑体"/>
          <w:sz w:val="32"/>
          <w:szCs w:val="32"/>
        </w:rPr>
      </w:pPr>
      <w:r>
        <w:rPr>
          <w:rFonts w:hint="eastAsia" w:ascii="仿宋_GB2312" w:hAnsi="仿宋_GB2312" w:eastAsia="仿宋_GB2312" w:cs="仿宋_GB2312"/>
          <w:sz w:val="32"/>
          <w:szCs w:val="32"/>
          <w:lang w:eastAsia="zh-CN"/>
        </w:rPr>
        <w:t>无</w:t>
      </w:r>
    </w:p>
    <w:p w14:paraId="69913414">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38D7A2F3">
      <w:pPr>
        <w:spacing w:line="600" w:lineRule="exact"/>
        <w:ind w:firstLine="640" w:firstLineChars="200"/>
        <w:rPr>
          <w:rFonts w:eastAsia="黑体"/>
          <w:sz w:val="32"/>
          <w:szCs w:val="32"/>
        </w:rPr>
      </w:pPr>
      <w:r>
        <w:rPr>
          <w:rFonts w:hint="eastAsia" w:ascii="仿宋_GB2312" w:hAnsi="仿宋_GB2312" w:eastAsia="仿宋_GB2312" w:cs="仿宋_GB2312"/>
          <w:sz w:val="32"/>
          <w:szCs w:val="32"/>
          <w:lang w:eastAsia="zh-CN"/>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highlight w:val="yellow"/>
          <w:lang w:val="en-US" w:eastAsia="zh-CN" w:bidi="ar-SA"/>
        </w:rPr>
      </w:pPr>
      <w:r>
        <w:rPr>
          <w:rFonts w:hint="eastAsia" w:ascii="Times New Roman" w:hAnsi="Times New Roman" w:eastAsia="楷体_GB2312" w:cs="Times New Roman"/>
          <w:b/>
          <w:kern w:val="2"/>
          <w:sz w:val="32"/>
          <w:szCs w:val="32"/>
          <w:highlight w:val="none"/>
          <w:lang w:val="en-US" w:eastAsia="zh-CN" w:bidi="ar-SA"/>
        </w:rPr>
        <w:t>(一）部门整体支出绩效情况</w:t>
      </w:r>
    </w:p>
    <w:p w14:paraId="6F6C15D2">
      <w:pPr>
        <w:pStyle w:val="2"/>
        <w:spacing w:line="560" w:lineRule="exact"/>
        <w:ind w:firstLine="640"/>
        <w:rPr>
          <w:rFonts w:hint="eastAsia" w:ascii="仿宋_GB2312" w:hAnsi="仿宋_GB2312" w:eastAsia="仿宋_GB2312" w:cs="仿宋_GB2312"/>
          <w:b w:val="0"/>
          <w:color w:val="FF0000"/>
          <w:sz w:val="32"/>
          <w:szCs w:val="32"/>
        </w:rPr>
      </w:pPr>
      <w:r>
        <w:rPr>
          <w:rFonts w:hint="eastAsia" w:ascii="仿宋_GB2312" w:hAnsi="仿宋_GB2312" w:eastAsia="仿宋_GB2312" w:cs="仿宋_GB2312"/>
          <w:bCs/>
          <w:sz w:val="32"/>
          <w:szCs w:val="32"/>
        </w:rPr>
        <w:t>（</w:t>
      </w:r>
      <w:r>
        <w:rPr>
          <w:rFonts w:hint="eastAsia" w:hAnsi="仿宋_GB2312" w:cs="仿宋_GB2312"/>
          <w:bCs/>
          <w:sz w:val="32"/>
          <w:szCs w:val="32"/>
          <w:lang w:val="en-US" w:eastAsia="zh-CN"/>
        </w:rPr>
        <w:t>1</w:t>
      </w:r>
      <w:r>
        <w:rPr>
          <w:rFonts w:hint="eastAsia" w:ascii="仿宋_GB2312" w:hAnsi="仿宋_GB2312" w:eastAsia="仿宋_GB2312" w:cs="仿宋_GB2312"/>
          <w:bCs/>
          <w:sz w:val="32"/>
          <w:szCs w:val="32"/>
        </w:rPr>
        <w:t>）党建领航，持续强化“强转树”工作成效。</w:t>
      </w:r>
      <w:r>
        <w:rPr>
          <w:rFonts w:hint="eastAsia" w:ascii="仿宋_GB2312" w:hAnsi="仿宋_GB2312" w:eastAsia="仿宋_GB2312" w:cs="仿宋_GB2312"/>
          <w:b w:val="0"/>
          <w:sz w:val="32"/>
          <w:szCs w:val="32"/>
        </w:rPr>
        <w:t>按照国家、省关于提升行政执法质量三年行动部署要求，进一步巩固“强基础、转作风、树形象”专项行动和城市管理领域行政执法规范建设的成果。</w:t>
      </w:r>
      <w:r>
        <w:rPr>
          <w:rFonts w:hint="eastAsia" w:ascii="仿宋_GB2312" w:hAnsi="仿宋_GB2312" w:eastAsia="仿宋_GB2312" w:cs="仿宋_GB2312"/>
          <w:bCs/>
          <w:sz w:val="32"/>
          <w:szCs w:val="32"/>
        </w:rPr>
        <w:t>一是以学铸魂夯实思想教育。</w:t>
      </w:r>
      <w:r>
        <w:rPr>
          <w:rFonts w:hint="eastAsia" w:ascii="仿宋_GB2312" w:hAnsi="仿宋_GB2312" w:eastAsia="仿宋_GB2312" w:cs="仿宋_GB2312"/>
          <w:b w:val="0"/>
          <w:bCs/>
          <w:color w:val="000000"/>
          <w:sz w:val="32"/>
          <w:szCs w:val="32"/>
        </w:rPr>
        <w:t>深入研习并全面贯彻习近平总书记关于学习教育的重要论述和指示精神，</w:t>
      </w:r>
      <w:r>
        <w:rPr>
          <w:rFonts w:hint="eastAsia" w:ascii="仿宋_GB2312" w:hAnsi="仿宋_GB2312" w:eastAsia="仿宋_GB2312" w:cs="仿宋_GB2312"/>
          <w:b w:val="0"/>
          <w:sz w:val="32"/>
          <w:szCs w:val="32"/>
        </w:rPr>
        <w:t>严格落实“三会一课”、主题党日、组织生活会等党内规定动作，</w:t>
      </w:r>
      <w:r>
        <w:rPr>
          <w:rFonts w:hint="eastAsia" w:ascii="仿宋_GB2312" w:hAnsi="仿宋_GB2312" w:eastAsia="仿宋_GB2312" w:cs="仿宋_GB2312"/>
          <w:b w:val="0"/>
          <w:bCs/>
          <w:color w:val="000000"/>
          <w:sz w:val="32"/>
          <w:szCs w:val="32"/>
        </w:rPr>
        <w:t>自觉将学习教育作为坚定拥护“两个确立”、坚决践行“两个维护”的具体行动，累计组织开展理论集体学习</w:t>
      </w:r>
      <w:r>
        <w:rPr>
          <w:rFonts w:hint="eastAsia" w:ascii="仿宋_GB2312" w:hAnsi="仿宋_GB2312" w:eastAsia="仿宋_GB2312" w:cs="仿宋_GB2312"/>
          <w:b w:val="0"/>
          <w:bCs/>
          <w:color w:val="000000" w:themeColor="text1"/>
          <w:sz w:val="32"/>
          <w:szCs w:val="32"/>
          <w14:textFill>
            <w14:solidFill>
              <w14:schemeClr w14:val="tx1"/>
            </w14:solidFill>
          </w14:textFill>
        </w:rPr>
        <w:t>5</w:t>
      </w:r>
      <w:r>
        <w:rPr>
          <w:rFonts w:hint="eastAsia" w:ascii="仿宋_GB2312" w:hAnsi="仿宋_GB2312" w:eastAsia="仿宋_GB2312" w:cs="仿宋_GB2312"/>
          <w:b w:val="0"/>
          <w:bCs/>
          <w:color w:val="000000"/>
          <w:sz w:val="32"/>
          <w:szCs w:val="32"/>
        </w:rPr>
        <w:t>次，专题研讨</w:t>
      </w:r>
      <w:r>
        <w:rPr>
          <w:rFonts w:hint="eastAsia" w:ascii="仿宋_GB2312" w:hAnsi="仿宋_GB2312" w:eastAsia="仿宋_GB2312" w:cs="仿宋_GB2312"/>
          <w:b w:val="0"/>
          <w:bCs/>
          <w:color w:val="000000" w:themeColor="text1"/>
          <w:sz w:val="32"/>
          <w:szCs w:val="32"/>
          <w14:textFill>
            <w14:solidFill>
              <w14:schemeClr w14:val="tx1"/>
            </w14:solidFill>
          </w14:textFill>
        </w:rPr>
        <w:t>2</w:t>
      </w:r>
      <w:r>
        <w:rPr>
          <w:rFonts w:hint="eastAsia" w:ascii="仿宋_GB2312" w:hAnsi="仿宋_GB2312" w:eastAsia="仿宋_GB2312" w:cs="仿宋_GB2312"/>
          <w:b w:val="0"/>
          <w:bCs/>
          <w:color w:val="000000"/>
          <w:sz w:val="32"/>
          <w:szCs w:val="32"/>
        </w:rPr>
        <w:t>期，推动学习教育</w:t>
      </w:r>
      <w:r>
        <w:rPr>
          <w:rFonts w:hint="eastAsia" w:ascii="仿宋_GB2312" w:hAnsi="仿宋_GB2312" w:eastAsia="仿宋_GB2312" w:cs="仿宋_GB2312"/>
          <w:b w:val="0"/>
          <w:sz w:val="32"/>
          <w:szCs w:val="32"/>
        </w:rPr>
        <w:t>持续深入、取得实效。</w:t>
      </w:r>
      <w:r>
        <w:rPr>
          <w:rFonts w:hint="eastAsia" w:ascii="仿宋_GB2312" w:hAnsi="仿宋_GB2312" w:eastAsia="仿宋_GB2312" w:cs="仿宋_GB2312"/>
          <w:bCs/>
          <w:sz w:val="32"/>
          <w:szCs w:val="32"/>
        </w:rPr>
        <w:t>二是从严从实狠抓队伍建设。</w:t>
      </w:r>
      <w:r>
        <w:rPr>
          <w:rFonts w:hint="eastAsia" w:ascii="仿宋_GB2312" w:hAnsi="仿宋_GB2312" w:eastAsia="仿宋_GB2312" w:cs="仿宋_GB2312"/>
          <w:b w:val="0"/>
          <w:bCs/>
          <w:color w:val="000000"/>
          <w:sz w:val="32"/>
          <w:szCs w:val="32"/>
        </w:rPr>
        <w:t>将开展党纪学习教育作为当前至关重要的政治任务，紧紧围绕“学党纪”的核心主线，</w:t>
      </w:r>
      <w:r>
        <w:rPr>
          <w:rFonts w:hint="eastAsia" w:ascii="仿宋_GB2312" w:hAnsi="仿宋_GB2312" w:eastAsia="仿宋_GB2312" w:cs="仿宋_GB2312"/>
          <w:b w:val="0"/>
          <w:sz w:val="32"/>
          <w:szCs w:val="32"/>
        </w:rPr>
        <w:t>以标准化规范化建设为抓手，召开党风廉政暨重点工作会，通报学习纪委关于违反中央八项规定的典型案例，推进城管执法队伍正风肃纪、自我革新，不断提升城管队伍防腐拒腐能力，通过不懈工作我大队荣获“2024年芦淞区先进基层党组织”的光荣称号。</w:t>
      </w:r>
      <w:r>
        <w:rPr>
          <w:rFonts w:hint="eastAsia" w:ascii="仿宋_GB2312" w:hAnsi="仿宋_GB2312" w:eastAsia="仿宋_GB2312" w:cs="仿宋_GB2312"/>
          <w:bCs/>
          <w:sz w:val="32"/>
          <w:szCs w:val="32"/>
        </w:rPr>
        <w:t>三是规范执法提升执法效能。</w:t>
      </w:r>
      <w:bookmarkStart w:id="0" w:name="_Hlk190085133"/>
      <w:r>
        <w:rPr>
          <w:rFonts w:hint="eastAsia" w:ascii="仿宋_GB2312" w:hAnsi="仿宋_GB2312" w:eastAsia="仿宋_GB2312" w:cs="仿宋_GB2312"/>
          <w:b w:val="0"/>
          <w:sz w:val="32"/>
          <w:szCs w:val="32"/>
        </w:rPr>
        <w:t>严格落实执法工作例会、典型案例分析会、案件评审会及执法业务培训课“三会一课”工作，着力强化执法规范流程，查摆执法办案、执法程序、案卷文书等具体执法工作中存在的实际问题，提高执法效能。2024年1-12月共审核立案行政处罚案件476件，办结476件，其中普通程序案件302件，简易程序案件174件，市容类行政处罚案件421 起，环卫类行政处罚案件51起，住建类行政处罚案件4起，累计处罚金额180540元。</w:t>
      </w:r>
      <w:bookmarkEnd w:id="0"/>
    </w:p>
    <w:p w14:paraId="7FA860BC">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w:t>
      </w:r>
      <w:r>
        <w:rPr>
          <w:rFonts w:hint="eastAsia" w:hAnsi="仿宋_GB2312" w:cs="仿宋_GB2312"/>
          <w:bCs/>
          <w:sz w:val="32"/>
          <w:szCs w:val="32"/>
          <w:lang w:val="en-US" w:eastAsia="zh-CN"/>
        </w:rPr>
        <w:t>2</w:t>
      </w:r>
      <w:r>
        <w:rPr>
          <w:rFonts w:hint="eastAsia" w:ascii="仿宋_GB2312" w:hAnsi="仿宋_GB2312" w:eastAsia="仿宋_GB2312" w:cs="仿宋_GB2312"/>
          <w:bCs/>
          <w:sz w:val="32"/>
          <w:szCs w:val="32"/>
        </w:rPr>
        <w:t>）服务为先，精雕细琢打造工作新亮点。</w:t>
      </w:r>
      <w:r>
        <w:rPr>
          <w:rFonts w:hint="eastAsia" w:ascii="仿宋_GB2312" w:hAnsi="仿宋_GB2312" w:eastAsia="仿宋_GB2312" w:cs="仿宋_GB2312"/>
          <w:sz w:val="32"/>
          <w:szCs w:val="32"/>
        </w:rPr>
        <w:t>一是筑牢社区基层共建共享。</w:t>
      </w:r>
      <w:r>
        <w:rPr>
          <w:rFonts w:hint="eastAsia" w:ascii="仿宋_GB2312" w:hAnsi="仿宋_GB2312" w:eastAsia="仿宋_GB2312" w:cs="仿宋_GB2312"/>
          <w:b w:val="0"/>
          <w:sz w:val="32"/>
          <w:szCs w:val="32"/>
        </w:rPr>
        <w:t>深入开展“城管进社区、服务面对面”活动，从城市管理宣传、职责、服务、执法进社区为切入点，选派多名党员担任小区党支部“第一书记”，组织派驻街道（镇）的80余名城管队员对辖区52个社区（村）驻点服务，推动共商共建共治共享社区治理格局，开展进社区专题活动13次，发放城市管理宣传资料168余份，配合社区、物业劝导乱堆乱放、占道经营等问题420余处，充分发挥了党员引领示范作用。</w:t>
      </w:r>
      <w:r>
        <w:rPr>
          <w:rFonts w:hint="eastAsia" w:ascii="仿宋_GB2312" w:hAnsi="仿宋_GB2312" w:eastAsia="仿宋_GB2312" w:cs="仿宋_GB2312"/>
          <w:sz w:val="32"/>
          <w:szCs w:val="32"/>
        </w:rPr>
        <w:t>二是推进重点区域精细化提质。</w:t>
      </w:r>
      <w:r>
        <w:rPr>
          <w:rFonts w:hint="eastAsia" w:ascii="仿宋_GB2312" w:hAnsi="仿宋_GB2312" w:eastAsia="仿宋_GB2312" w:cs="仿宋_GB2312"/>
          <w:b w:val="0"/>
          <w:sz w:val="32"/>
          <w:szCs w:val="32"/>
        </w:rPr>
        <w:t>开展南环线道路两侧精细化提质整治工作，对沿线影响观瞻的破损围档、违建、围墙进行拆除更新美化，南环线专项整治行动共计拆除1处违章搭建构筑物、5块破损招店牌及18处影响观瞻的破损围档，整改后的围档、围墙进行了美化提质，通过“社会主义核心价值观”标语或其他修饰，提升了城市形象和品位。</w:t>
      </w:r>
      <w:r>
        <w:rPr>
          <w:rFonts w:hint="eastAsia" w:ascii="仿宋_GB2312" w:hAnsi="仿宋_GB2312" w:eastAsia="仿宋_GB2312" w:cs="仿宋_GB2312"/>
          <w:sz w:val="32"/>
          <w:szCs w:val="32"/>
        </w:rPr>
        <w:t>三是推进中队规范化建设。</w:t>
      </w:r>
      <w:bookmarkStart w:id="1" w:name="OLE_LINK1"/>
      <w:r>
        <w:rPr>
          <w:rFonts w:hint="eastAsia" w:ascii="仿宋_GB2312" w:hAnsi="仿宋_GB2312" w:eastAsia="仿宋_GB2312" w:cs="仿宋_GB2312"/>
          <w:b w:val="0"/>
          <w:sz w:val="32"/>
          <w:szCs w:val="32"/>
        </w:rPr>
        <w:t>对董家塅派驻城管中队办公楼进行提质改造及规范化建设工作，重新粉刷办公楼内、外观，添置办公桌椅和物资，按照规范化建设标准配备多功能会议室和接待室，设置党建文化宣传栏和城市管理公示栏，亮明执法身份，新增设后勤装备室和值班备勤室，为城市管理执法工作发展提供强有力的后盾支撑</w:t>
      </w:r>
      <w:bookmarkEnd w:id="1"/>
      <w:r>
        <w:rPr>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四是持续推进执法制度建设。</w:t>
      </w:r>
      <w:bookmarkStart w:id="2" w:name="_Hlk190085214"/>
      <w:r>
        <w:rPr>
          <w:rFonts w:hint="eastAsia" w:ascii="仿宋_GB2312" w:hAnsi="仿宋_GB2312" w:eastAsia="仿宋_GB2312" w:cs="仿宋_GB2312"/>
          <w:b w:val="0"/>
          <w:sz w:val="32"/>
          <w:szCs w:val="32"/>
        </w:rPr>
        <w:t>落实执法过程全纪录制度。</w:t>
      </w:r>
      <w:r>
        <w:rPr>
          <w:rFonts w:hint="eastAsia" w:ascii="仿宋_GB2312" w:hAnsi="仿宋_GB2312" w:eastAsia="仿宋_GB2312" w:cs="仿宋_GB2312"/>
          <w:b w:val="0"/>
          <w:bCs/>
          <w:sz w:val="32"/>
          <w:szCs w:val="32"/>
        </w:rPr>
        <w:t>2024年对普通程序及简易程序案件,实行一案一盘随案保存，收录执法过程全记录光盘438份，音频材料19.9GB。坚持重大案件集体讨论制度。全年经重大行政处罚讨论决定并执行到位案件共1起。</w:t>
      </w:r>
      <w:r>
        <w:rPr>
          <w:rFonts w:hint="eastAsia" w:ascii="仿宋_GB2312" w:hAnsi="仿宋_GB2312" w:eastAsia="仿宋_GB2312" w:cs="仿宋_GB2312"/>
          <w:b w:val="0"/>
          <w:bCs/>
          <w:kern w:val="0"/>
          <w:sz w:val="32"/>
          <w:szCs w:val="32"/>
          <w:lang w:bidi="ar"/>
        </w:rPr>
        <w:t>坚持进行行政执法公示制度。至2024年12月，在“中国·株洲政府网站内容管理云平台”录入案件303件及在芦淞区公共信用信息平台中录入信息263件。</w:t>
      </w:r>
      <w:r>
        <w:rPr>
          <w:rFonts w:hint="eastAsia" w:ascii="仿宋_GB2312" w:hAnsi="仿宋_GB2312" w:eastAsia="仿宋_GB2312" w:cs="仿宋_GB2312"/>
          <w:b w:val="0"/>
          <w:sz w:val="32"/>
          <w:szCs w:val="32"/>
        </w:rPr>
        <w:t>完善城市管理领域事中事后行政处罚衔接机制。共计接收案件线索移送16件，其中湖南省醴陵市人民检察院《检察建议书》1件，湖南省株洲市芦淞区人民检察院《检察建议书》2件，株洲市芦淞区龙泉街道办事处《案件线索移送函》1件，株洲市住房和城乡建设局《案件线索移送函》12件，共涉及18起案件，目前办结6件，在办12件。移送公安机关案件1起。</w:t>
      </w:r>
      <w:bookmarkEnd w:id="2"/>
      <w:r>
        <w:rPr>
          <w:rFonts w:hint="eastAsia" w:ascii="仿宋_GB2312" w:hAnsi="仿宋_GB2312" w:eastAsia="仿宋_GB2312" w:cs="仿宋_GB2312"/>
          <w:sz w:val="32"/>
          <w:szCs w:val="32"/>
        </w:rPr>
        <w:t>五是助力特色活动开展</w:t>
      </w:r>
      <w:r>
        <w:rPr>
          <w:rFonts w:hint="eastAsia" w:ascii="仿宋_GB2312" w:hAnsi="仿宋_GB2312" w:eastAsia="仿宋_GB2312" w:cs="仿宋_GB2312"/>
          <w:b w:val="0"/>
          <w:bCs/>
          <w:sz w:val="32"/>
          <w:szCs w:val="32"/>
        </w:rPr>
        <w:t>。开展“五一”期间株洲马拉松、烟花秀、航空嘉年华、无人机表演等一系列大型活动市容保障工作，以机动巡逻+步行相结合的方式，对活动现场沿线路段进行维护，为系列活动的圆满举办保驾护航。</w:t>
      </w:r>
    </w:p>
    <w:p w14:paraId="617887F2">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default" w:ascii="楷体" w:hAnsi="楷体" w:eastAsia="楷体" w:cs="楷体"/>
          <w:b/>
          <w:bCs/>
          <w:sz w:val="32"/>
          <w:szCs w:val="32"/>
          <w:highlight w:val="yellow"/>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）聚焦市容，全面专项整治擦亮城市底色。</w:t>
      </w:r>
      <w:r>
        <w:rPr>
          <w:rFonts w:hint="eastAsia" w:ascii="仿宋_GB2312" w:hAnsi="仿宋_GB2312" w:eastAsia="仿宋_GB2312" w:cs="仿宋_GB2312"/>
          <w:b/>
          <w:sz w:val="32"/>
          <w:szCs w:val="32"/>
        </w:rPr>
        <w:t>一是持续推进户外广告整治</w:t>
      </w:r>
      <w:r>
        <w:rPr>
          <w:rFonts w:hint="eastAsia" w:ascii="仿宋_GB2312" w:hAnsi="仿宋_GB2312" w:eastAsia="仿宋_GB2312" w:cs="仿宋_GB2312"/>
          <w:bCs/>
          <w:sz w:val="32"/>
          <w:szCs w:val="32"/>
        </w:rPr>
        <w:t>。对辖区主次干道、沿街商户、商圈等区域进行全面摸排，</w:t>
      </w:r>
      <w:r>
        <w:rPr>
          <w:rFonts w:hint="eastAsia" w:ascii="仿宋_GB2312" w:hAnsi="仿宋_GB2312" w:eastAsia="仿宋_GB2312" w:cs="仿宋_GB2312"/>
          <w:sz w:val="32"/>
          <w:szCs w:val="32"/>
        </w:rPr>
        <w:t>重点整治未经报备违规设置、影响消防安全及市容市貌的户外广告招牌。全年共计摸排户外招牌底数</w:t>
      </w:r>
      <w:r>
        <w:rPr>
          <w:rFonts w:hint="eastAsia" w:ascii="仿宋_GB2312" w:hAnsi="仿宋_GB2312" w:eastAsia="仿宋_GB2312" w:cs="仿宋_GB2312"/>
          <w:color w:val="000000" w:themeColor="text1"/>
          <w:sz w:val="32"/>
          <w:szCs w:val="32"/>
          <w14:textFill>
            <w14:solidFill>
              <w14:schemeClr w14:val="tx1"/>
            </w14:solidFill>
          </w14:textFill>
        </w:rPr>
        <w:t>3393</w:t>
      </w:r>
      <w:r>
        <w:rPr>
          <w:rFonts w:hint="eastAsia" w:ascii="仿宋_GB2312" w:hAnsi="仿宋_GB2312" w:eastAsia="仿宋_GB2312" w:cs="仿宋_GB2312"/>
          <w:sz w:val="32"/>
          <w:szCs w:val="32"/>
        </w:rPr>
        <w:t>处，拆除违规设置的户外广告招牌</w:t>
      </w:r>
      <w:r>
        <w:rPr>
          <w:rFonts w:hint="eastAsia" w:ascii="仿宋_GB2312" w:hAnsi="仿宋_GB2312" w:eastAsia="仿宋_GB2312" w:cs="仿宋_GB2312"/>
          <w:color w:val="000000" w:themeColor="text1"/>
          <w:sz w:val="32"/>
          <w:szCs w:val="32"/>
          <w14:textFill>
            <w14:solidFill>
              <w14:schemeClr w14:val="tx1"/>
            </w14:solidFill>
          </w14:textFill>
        </w:rPr>
        <w:t>73</w:t>
      </w:r>
      <w:r>
        <w:rPr>
          <w:rFonts w:hint="eastAsia" w:ascii="仿宋_GB2312" w:hAnsi="仿宋_GB2312" w:eastAsia="仿宋_GB2312" w:cs="仿宋_GB2312"/>
          <w:sz w:val="32"/>
          <w:szCs w:val="32"/>
        </w:rPr>
        <w:t>处，拆除面积</w:t>
      </w:r>
      <w:r>
        <w:rPr>
          <w:rFonts w:hint="eastAsia" w:ascii="仿宋_GB2312" w:hAnsi="仿宋_GB2312" w:eastAsia="仿宋_GB2312" w:cs="仿宋_GB2312"/>
          <w:color w:val="000000" w:themeColor="text1"/>
          <w:sz w:val="32"/>
          <w:szCs w:val="32"/>
          <w14:textFill>
            <w14:solidFill>
              <w14:schemeClr w14:val="tx1"/>
            </w14:solidFill>
          </w14:textFill>
        </w:rPr>
        <w:t>1000</w:t>
      </w:r>
      <w:r>
        <w:rPr>
          <w:rFonts w:hint="eastAsia" w:ascii="仿宋_GB2312" w:hAnsi="仿宋_GB2312" w:eastAsia="仿宋_GB2312" w:cs="仿宋_GB2312"/>
          <w:sz w:val="32"/>
          <w:szCs w:val="32"/>
        </w:rPr>
        <w:t>余平米。</w:t>
      </w:r>
      <w:r>
        <w:rPr>
          <w:rFonts w:hint="eastAsia" w:ascii="仿宋_GB2312" w:hAnsi="仿宋_GB2312" w:eastAsia="仿宋_GB2312" w:cs="仿宋_GB2312"/>
          <w:b/>
          <w:sz w:val="32"/>
          <w:szCs w:val="32"/>
        </w:rPr>
        <w:t>二是持续开展“十乱”整治</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严格落实“门前五包”责任制，采用专人定点巡查和执法车辆流动巡查相结合的模式全天候不间断巡查、无缝隙管理，对市容“十乱”问题开展专项整治，共计开展专项整治行动270余次，规范门店经营7650余起，整治占道经营2820余起，劝导飞线充电720余起。</w:t>
      </w:r>
      <w:r>
        <w:rPr>
          <w:rFonts w:hint="eastAsia" w:ascii="仿宋_GB2312" w:hAnsi="仿宋_GB2312" w:eastAsia="仿宋_GB2312" w:cs="仿宋_GB2312"/>
          <w:b/>
          <w:bCs/>
          <w:color w:val="222222"/>
          <w:sz w:val="32"/>
          <w:szCs w:val="32"/>
          <w:shd w:val="clear" w:color="auto" w:fill="FFFFFF"/>
        </w:rPr>
        <w:t>三是持续推进车辆违停整治</w:t>
      </w:r>
      <w:r>
        <w:rPr>
          <w:rFonts w:hint="eastAsia" w:ascii="仿宋_GB2312" w:hAnsi="仿宋_GB2312" w:eastAsia="仿宋_GB2312" w:cs="仿宋_GB2312"/>
          <w:bCs/>
          <w:sz w:val="32"/>
          <w:szCs w:val="32"/>
        </w:rPr>
        <w:t>。安排人员重点巡查、值守，采取“常态化规范＋宣传教育”相结合的方式，对店外停放、占用消防通道等不规范停放的机动车进行集中整治。科学设置非机动车停放区域，提高车主规范停车意识。累计发放“温馨提示卡”2840余张，处罚非机动车</w:t>
      </w:r>
      <w:r>
        <w:rPr>
          <w:rFonts w:hint="eastAsia" w:ascii="仿宋_GB2312" w:hAnsi="仿宋_GB2312" w:eastAsia="仿宋_GB2312" w:cs="仿宋_GB2312"/>
          <w:bCs/>
          <w:color w:val="000000" w:themeColor="text1"/>
          <w:sz w:val="32"/>
          <w:szCs w:val="32"/>
          <w14:textFill>
            <w14:solidFill>
              <w14:schemeClr w14:val="tx1"/>
            </w14:solidFill>
          </w14:textFill>
        </w:rPr>
        <w:t>1900余台，</w:t>
      </w:r>
      <w:r>
        <w:rPr>
          <w:rFonts w:hint="eastAsia" w:ascii="仿宋_GB2312" w:hAnsi="仿宋_GB2312" w:eastAsia="仿宋_GB2312" w:cs="仿宋_GB2312"/>
          <w:bCs/>
          <w:sz w:val="32"/>
          <w:szCs w:val="32"/>
        </w:rPr>
        <w:t>科学合理规范增设两轮车停车位</w:t>
      </w:r>
      <w:r>
        <w:rPr>
          <w:rFonts w:hint="eastAsia" w:ascii="仿宋_GB2312" w:hAnsi="仿宋_GB2312" w:eastAsia="仿宋_GB2312" w:cs="仿宋_GB2312"/>
          <w:bCs/>
          <w:color w:val="000000" w:themeColor="text1"/>
          <w:sz w:val="32"/>
          <w:szCs w:val="32"/>
          <w14:textFill>
            <w14:solidFill>
              <w14:schemeClr w14:val="tx1"/>
            </w14:solidFill>
          </w14:textFill>
        </w:rPr>
        <w:t>16处</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四是持续开展油烟餐饮污染整治</w:t>
      </w:r>
      <w:r>
        <w:rPr>
          <w:rFonts w:hint="eastAsia" w:ascii="仿宋_GB2312" w:hAnsi="仿宋_GB2312" w:eastAsia="仿宋_GB2312" w:cs="仿宋_GB2312"/>
          <w:bCs/>
          <w:sz w:val="32"/>
          <w:szCs w:val="32"/>
        </w:rPr>
        <w:t>。集中整治露天餐饮、烧烤摊点占道摆摊、出店经营等市容违章行为，对钟鼓岭、邵兴城、贺家土宵夜一条街、中航怡园周边等重要路段和国控点八中、一中及周边重点区域进行严格监管，累计开展整治劝导行动240余次，劝导不规范行为1700余次，下达整改通知书</w:t>
      </w:r>
      <w:r>
        <w:rPr>
          <w:rFonts w:hint="eastAsia" w:ascii="仿宋_GB2312" w:hAnsi="仿宋_GB2312" w:eastAsia="仿宋_GB2312" w:cs="仿宋_GB2312"/>
          <w:bCs/>
          <w:color w:val="000000" w:themeColor="text1"/>
          <w:sz w:val="32"/>
          <w:szCs w:val="32"/>
          <w14:textFill>
            <w14:solidFill>
              <w14:schemeClr w14:val="tx1"/>
            </w14:solidFill>
          </w14:textFill>
        </w:rPr>
        <w:t>120余份，</w:t>
      </w:r>
      <w:r>
        <w:rPr>
          <w:rFonts w:hint="eastAsia" w:ascii="仿宋_GB2312" w:hAnsi="仿宋_GB2312" w:eastAsia="仿宋_GB2312" w:cs="仿宋_GB2312"/>
          <w:bCs/>
          <w:sz w:val="32"/>
          <w:szCs w:val="32"/>
        </w:rPr>
        <w:t>完成餐饮油烟污染行政处罚案件</w:t>
      </w:r>
      <w:r>
        <w:rPr>
          <w:rFonts w:hint="eastAsia" w:ascii="仿宋_GB2312" w:hAnsi="仿宋_GB2312" w:eastAsia="仿宋_GB2312" w:cs="仿宋_GB2312"/>
          <w:bCs/>
          <w:color w:val="000000" w:themeColor="text1"/>
          <w:sz w:val="32"/>
          <w:szCs w:val="32"/>
          <w14:textFill>
            <w14:solidFill>
              <w14:schemeClr w14:val="tx1"/>
            </w14:solidFill>
          </w14:textFill>
        </w:rPr>
        <w:t>96</w:t>
      </w:r>
      <w:r>
        <w:rPr>
          <w:rFonts w:hint="eastAsia" w:ascii="仿宋_GB2312" w:hAnsi="仿宋_GB2312" w:eastAsia="仿宋_GB2312" w:cs="仿宋_GB2312"/>
          <w:bCs/>
          <w:sz w:val="32"/>
          <w:szCs w:val="32"/>
        </w:rPr>
        <w:t>起，处罚金额共计</w:t>
      </w:r>
      <w:r>
        <w:rPr>
          <w:rFonts w:hint="eastAsia" w:ascii="仿宋_GB2312" w:hAnsi="仿宋_GB2312" w:eastAsia="仿宋_GB2312" w:cs="仿宋_GB2312"/>
          <w:bCs/>
          <w:color w:val="000000" w:themeColor="text1"/>
          <w:sz w:val="32"/>
          <w:szCs w:val="32"/>
          <w14:textFill>
            <w14:solidFill>
              <w14:schemeClr w14:val="tx1"/>
            </w14:solidFill>
          </w14:textFill>
        </w:rPr>
        <w:t>2.59</w:t>
      </w:r>
      <w:r>
        <w:rPr>
          <w:rFonts w:hint="eastAsia" w:ascii="仿宋_GB2312" w:hAnsi="仿宋_GB2312" w:eastAsia="仿宋_GB2312" w:cs="仿宋_GB2312"/>
          <w:bCs/>
          <w:sz w:val="32"/>
          <w:szCs w:val="32"/>
        </w:rPr>
        <w:t>万元。</w:t>
      </w:r>
      <w:r>
        <w:rPr>
          <w:rFonts w:hint="eastAsia" w:ascii="仿宋_GB2312" w:hAnsi="仿宋_GB2312" w:eastAsia="仿宋_GB2312" w:cs="仿宋_GB2312"/>
          <w:b/>
          <w:sz w:val="32"/>
          <w:szCs w:val="32"/>
        </w:rPr>
        <w:t>五是持续开展工地扬尘整治</w:t>
      </w:r>
      <w:r>
        <w:rPr>
          <w:rFonts w:hint="eastAsia" w:ascii="仿宋_GB2312" w:hAnsi="仿宋_GB2312" w:eastAsia="仿宋_GB2312" w:cs="仿宋_GB2312"/>
          <w:bCs/>
          <w:sz w:val="32"/>
          <w:szCs w:val="32"/>
        </w:rPr>
        <w:t>。采用机动巡查、定点设卡等方式开展建筑垃圾专项治理工作，加大与交警、环保等职能部门联动，要求项目工地达到扬尘管控文件所规定的配套硬件设备设施要求，规范渣土运输。累计巡查工地1800余次、覆盖防尘网46700平方米、种草植绿化降尘9000平方米、设置洗车平台3处、设置雾化机27台、设置围挡4300米，处罚金额共计45500元</w:t>
      </w:r>
      <w:r>
        <w:rPr>
          <w:rFonts w:hint="eastAsia" w:ascii="仿宋_GB2312" w:hAnsi="仿宋_GB2312" w:eastAsia="仿宋_GB2312" w:cs="仿宋_GB2312"/>
          <w:sz w:val="32"/>
          <w:szCs w:val="32"/>
        </w:rPr>
        <w:t>。</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39F6A4D">
      <w:pPr>
        <w:keepNext w:val="0"/>
        <w:keepLines w:val="0"/>
        <w:pageBreakBefore w:val="0"/>
        <w:tabs>
          <w:tab w:val="left" w:pos="7560"/>
        </w:tabs>
        <w:kinsoku/>
        <w:wordWrap/>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1.年初预算项目</w:t>
      </w:r>
      <w:r>
        <w:rPr>
          <w:rFonts w:hint="eastAsia" w:ascii="Times New Roman" w:hAnsi="Times New Roman" w:eastAsia="仿宋_GB2312" w:cs="Times New Roman"/>
          <w:sz w:val="32"/>
          <w:szCs w:val="32"/>
          <w:lang w:eastAsia="zh-CN"/>
        </w:rPr>
        <w:t>协管员</w:t>
      </w:r>
      <w:r>
        <w:rPr>
          <w:rFonts w:hint="eastAsia" w:ascii="Times New Roman" w:hAnsi="Times New Roman" w:eastAsia="仿宋_GB2312" w:cs="Times New Roman"/>
          <w:sz w:val="32"/>
          <w:szCs w:val="32"/>
        </w:rPr>
        <w:t>专项资金，年中执行调增</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881.87</w:t>
      </w:r>
      <w:r>
        <w:rPr>
          <w:rFonts w:hint="eastAsia"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万元。项目实施及绩效情况如下：</w:t>
      </w:r>
    </w:p>
    <w:p w14:paraId="2E33E410">
      <w:pPr>
        <w:keepNext w:val="0"/>
        <w:keepLines w:val="0"/>
        <w:pageBreakBefore w:val="0"/>
        <w:tabs>
          <w:tab w:val="left" w:pos="7560"/>
        </w:tabs>
        <w:kinsoku/>
        <w:wordWrap/>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协管员</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881.87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主要用于保障全体协管员工的全年工资及社保等福利，</w:t>
      </w:r>
      <w:r>
        <w:rPr>
          <w:rFonts w:hint="eastAsia" w:ascii="Times New Roman" w:hAnsi="Times New Roman" w:eastAsia="仿宋_GB2312" w:cs="Times New Roman"/>
          <w:sz w:val="32"/>
          <w:szCs w:val="32"/>
        </w:rPr>
        <w:t>因此项目为涉密项目，不作公开评价。</w:t>
      </w:r>
    </w:p>
    <w:p w14:paraId="5B4CE31B">
      <w:pPr>
        <w:keepNext w:val="0"/>
        <w:keepLines w:val="0"/>
        <w:pageBreakBefore w:val="0"/>
        <w:tabs>
          <w:tab w:val="left" w:pos="7560"/>
        </w:tabs>
        <w:kinsoku/>
        <w:wordWrap/>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.年初预算项目</w:t>
      </w:r>
      <w:r>
        <w:rPr>
          <w:rFonts w:hint="eastAsia" w:ascii="Times New Roman" w:hAnsi="Times New Roman" w:eastAsia="仿宋_GB2312" w:cs="Times New Roman"/>
          <w:sz w:val="32"/>
          <w:szCs w:val="32"/>
          <w:lang w:eastAsia="zh-CN"/>
        </w:rPr>
        <w:t>城市管理综合执法经费</w:t>
      </w:r>
      <w:r>
        <w:rPr>
          <w:rFonts w:hint="eastAsia" w:ascii="Times New Roman" w:hAnsi="Times New Roman" w:eastAsia="仿宋_GB2312" w:cs="Times New Roman"/>
          <w:sz w:val="32"/>
          <w:szCs w:val="32"/>
        </w:rPr>
        <w:t>专项资金，年中执行调增</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240.86</w:t>
      </w:r>
      <w:r>
        <w:rPr>
          <w:rFonts w:hint="eastAsia"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万元。项目实施及绩效情况如下：</w:t>
      </w:r>
    </w:p>
    <w:p w14:paraId="0012952B">
      <w:pPr>
        <w:keepNext w:val="0"/>
        <w:keepLines w:val="0"/>
        <w:pageBreakBefore w:val="0"/>
        <w:tabs>
          <w:tab w:val="left" w:pos="7560"/>
        </w:tabs>
        <w:kinsoku/>
        <w:wordWrap/>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城市管理综合执法经费</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240.86</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主要用于城市管理综合执法过程中的相关经费的保障。</w:t>
      </w:r>
      <w:r>
        <w:rPr>
          <w:rFonts w:hint="eastAsia" w:ascii="Times New Roman" w:hAnsi="Times New Roman" w:eastAsia="仿宋_GB2312" w:cs="Times New Roman"/>
          <w:sz w:val="32"/>
          <w:szCs w:val="32"/>
        </w:rPr>
        <w:t>因此项目为涉密项目，不作公开评价。</w:t>
      </w:r>
    </w:p>
    <w:p w14:paraId="34C84C78">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6A4181C7">
      <w:pPr>
        <w:widowControl/>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（一）绩效指标体系有待进一步完善</w:t>
      </w:r>
    </w:p>
    <w:p w14:paraId="3599238F">
      <w:pPr>
        <w:widowControl/>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部分绩效指标的设定不够科学合理，存在过于笼统、难以量化等问题，影响了绩效评估的准确性和公正性。同时，绩效指标的动态调整机制不够灵活，不能及时适应单位工作重点和外部环境的变化。</w:t>
      </w:r>
    </w:p>
    <w:p w14:paraId="30878D95">
      <w:pPr>
        <w:widowControl/>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（二）绩效评估方法有待进一步优化</w:t>
      </w:r>
    </w:p>
    <w:p w14:paraId="1ECA5089">
      <w:pPr>
        <w:overflowPunct w:val="0"/>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sz w:val="32"/>
          <w:szCs w:val="32"/>
          <w:highlight w:val="none"/>
          <w:lang w:eastAsia="zh-CN"/>
        </w:rPr>
        <w:t>在绩效评估过程中，虽然采用了多元化的评估主体和方法，但仍存在一些主观因素的影响，评估结果的客观性和可信度有待进一步提高。此外，绩效评估的信息化水平较低，评估工作效率有待提升。</w:t>
      </w:r>
    </w:p>
    <w:p w14:paraId="5ABFBA2F">
      <w:pPr>
        <w:numPr>
          <w:ilvl w:val="0"/>
          <w:numId w:val="3"/>
        </w:numPr>
        <w:spacing w:line="600" w:lineRule="exact"/>
        <w:ind w:firstLine="640" w:firstLineChars="200"/>
        <w:rPr>
          <w:rFonts w:eastAsia="黑体"/>
          <w:sz w:val="32"/>
          <w:szCs w:val="32"/>
        </w:rPr>
      </w:pPr>
      <w:r>
        <w:rPr>
          <w:rFonts w:eastAsia="黑体"/>
          <w:sz w:val="32"/>
          <w:szCs w:val="32"/>
        </w:rPr>
        <w:t>下一步改进措施</w:t>
      </w:r>
    </w:p>
    <w:p w14:paraId="0A28F55E">
      <w:pPr>
        <w:overflowPunct w:val="0"/>
        <w:spacing w:line="600" w:lineRule="exact"/>
        <w:ind w:firstLine="420" w:firstLineChars="200"/>
        <w:rPr>
          <w:rFonts w:ascii="Times New Roman" w:hAnsi="Times New Roman" w:eastAsia="仿宋_GB2312"/>
          <w:sz w:val="32"/>
          <w:szCs w:val="32"/>
        </w:rPr>
      </w:pPr>
      <w:r>
        <w:rPr>
          <w:rFonts w:hint="eastAsia"/>
          <w:lang w:val="en-US" w:eastAsia="zh-CN"/>
        </w:rPr>
        <w:t xml:space="preserve">    </w:t>
      </w:r>
      <w:r>
        <w:rPr>
          <w:rFonts w:hint="eastAsia" w:ascii="Times New Roman" w:hAnsi="Times New Roman" w:eastAsia="仿宋_GB2312"/>
          <w:b/>
          <w:bCs/>
          <w:sz w:val="32"/>
          <w:szCs w:val="32"/>
        </w:rPr>
        <w:t>一是进一步强化</w:t>
      </w:r>
      <w:r>
        <w:rPr>
          <w:rFonts w:ascii="Times New Roman" w:hAnsi="Times New Roman" w:eastAsia="仿宋_GB2312"/>
          <w:b/>
          <w:bCs/>
          <w:sz w:val="32"/>
          <w:szCs w:val="32"/>
        </w:rPr>
        <w:t>党建引领</w:t>
      </w:r>
      <w:r>
        <w:rPr>
          <w:rFonts w:ascii="Times New Roman" w:hAnsi="Times New Roman" w:eastAsia="仿宋_GB2312"/>
          <w:sz w:val="32"/>
          <w:szCs w:val="32"/>
        </w:rPr>
        <w:t>。</w:t>
      </w:r>
      <w:r>
        <w:rPr>
          <w:rFonts w:hint="eastAsia" w:ascii="Times New Roman" w:hAnsi="Times New Roman" w:eastAsia="仿宋_GB2312"/>
          <w:sz w:val="32"/>
          <w:szCs w:val="32"/>
        </w:rPr>
        <w:t>持续开展党纪学习教育，确保将党建工作与业务工作同部署、同推进、同考核，推动党建与业务相互促进、共同提升</w:t>
      </w:r>
      <w:r>
        <w:rPr>
          <w:rFonts w:ascii="Times New Roman" w:hAnsi="Times New Roman" w:eastAsia="仿宋_GB2312"/>
          <w:sz w:val="32"/>
          <w:szCs w:val="32"/>
        </w:rPr>
        <w:t>。</w:t>
      </w:r>
    </w:p>
    <w:p w14:paraId="0B4D08C5">
      <w:pPr>
        <w:overflowPunct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二是进一步完善管理体系</w:t>
      </w:r>
      <w:r>
        <w:rPr>
          <w:rFonts w:hint="eastAsia" w:ascii="Times New Roman" w:hAnsi="Times New Roman" w:eastAsia="仿宋_GB2312"/>
          <w:sz w:val="32"/>
          <w:szCs w:val="32"/>
        </w:rPr>
        <w:t>。通过依法行政、科学管理、公众参与、持续改进的方式，构建高效、科学、规范的城市管理体系，提升城市管理效能和服务水平。加大市容乱象集中整治力度，深入推进“门前五包”工作，建立与商户互动管理机制，形成共建共治共享良好氛围</w:t>
      </w:r>
      <w:r>
        <w:rPr>
          <w:rFonts w:ascii="Times New Roman" w:hAnsi="Times New Roman" w:eastAsia="仿宋_GB2312"/>
          <w:sz w:val="32"/>
          <w:szCs w:val="32"/>
        </w:rPr>
        <w:t>。</w:t>
      </w:r>
    </w:p>
    <w:p w14:paraId="4356CEC7">
      <w:pPr>
        <w:overflowPunct w:val="0"/>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三是进一步提升服务意识。</w:t>
      </w:r>
      <w:r>
        <w:rPr>
          <w:rFonts w:hint="eastAsia" w:ascii="Times New Roman" w:hAnsi="Times New Roman" w:eastAsia="仿宋_GB2312"/>
          <w:sz w:val="32"/>
          <w:szCs w:val="32"/>
        </w:rPr>
        <w:t>坚持推行“721”工作法，提升信息化平台利用程度、及时响应民众诉求、开展城管进社区活动增进市民互动与合作，通过城市管理的成效提升人民群众的获得感、幸福感、安全感。</w:t>
      </w:r>
    </w:p>
    <w:p w14:paraId="5BF4D008">
      <w:pPr>
        <w:widowControl/>
        <w:spacing w:before="45" w:line="368" w:lineRule="atLeast"/>
        <w:ind w:firstLine="643" w:firstLineChars="200"/>
        <w:jc w:val="left"/>
        <w:rPr>
          <w:szCs w:val="21"/>
        </w:rPr>
      </w:pPr>
      <w:r>
        <w:rPr>
          <w:rFonts w:hint="eastAsia" w:ascii="Times New Roman" w:hAnsi="Times New Roman" w:eastAsia="仿宋_GB2312"/>
          <w:b/>
          <w:bCs/>
          <w:sz w:val="32"/>
          <w:szCs w:val="32"/>
        </w:rPr>
        <w:t>四是进一步加强队伍建设</w:t>
      </w:r>
      <w:r>
        <w:rPr>
          <w:rFonts w:ascii="Times New Roman" w:hAnsi="Times New Roman" w:eastAsia="仿宋_GB2312"/>
          <w:sz w:val="32"/>
          <w:szCs w:val="32"/>
        </w:rPr>
        <w:t>。</w:t>
      </w:r>
      <w:r>
        <w:rPr>
          <w:rFonts w:hint="eastAsia" w:ascii="Times New Roman" w:hAnsi="Times New Roman" w:eastAsia="仿宋_GB2312"/>
          <w:sz w:val="32"/>
          <w:szCs w:val="32"/>
        </w:rPr>
        <w:t>进一步</w:t>
      </w:r>
      <w:r>
        <w:rPr>
          <w:rFonts w:hint="eastAsia" w:eastAsia="仿宋_GB2312"/>
          <w:sz w:val="32"/>
          <w:szCs w:val="32"/>
          <w:lang w:eastAsia="zh-CN"/>
        </w:rPr>
        <w:t>强化党风廉政建设责任落实</w:t>
      </w:r>
      <w:r>
        <w:rPr>
          <w:rFonts w:hint="eastAsia" w:ascii="Times New Roman" w:hAnsi="Times New Roman" w:eastAsia="仿宋_GB2312"/>
          <w:sz w:val="32"/>
          <w:szCs w:val="32"/>
        </w:rPr>
        <w:t>，加强执法队伍日常监督检查，定期开展专业培训，提升执法队员的综合素质和专业技能；规范各中队建设，着力打造政治坚定、作风优良、纪律严明的城市管理执法队伍</w:t>
      </w:r>
      <w:r>
        <w:rPr>
          <w:rFonts w:ascii="Times New Roman" w:hAnsi="Times New Roman" w:eastAsia="仿宋_GB2312"/>
          <w:sz w:val="32"/>
          <w:szCs w:val="32"/>
        </w:rPr>
        <w:t>。</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6E65D947">
      <w:pPr>
        <w:spacing w:line="600" w:lineRule="exact"/>
        <w:ind w:firstLine="640" w:firstLineChars="200"/>
        <w:rPr>
          <w:rFonts w:hint="eastAsia" w:eastAsia="黑体"/>
          <w:sz w:val="32"/>
          <w:szCs w:val="32"/>
          <w:lang w:eastAsia="zh-CN"/>
        </w:rPr>
      </w:pPr>
      <w:r>
        <w:rPr>
          <w:rFonts w:hint="eastAsia" w:ascii="Times New Roman" w:hAnsi="Times New Roman" w:eastAsia="仿宋_GB2312" w:cs="Times New Roman"/>
          <w:sz w:val="32"/>
          <w:szCs w:val="32"/>
        </w:rPr>
        <w:t>本单位无独立网站，绩效自评报告将在政府门户网站与决算报告一起公开。</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045EC994">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CF116"/>
    <w:multiLevelType w:val="singleLevel"/>
    <w:tmpl w:val="85ACF116"/>
    <w:lvl w:ilvl="0" w:tentative="0">
      <w:start w:val="8"/>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6457852E"/>
    <w:multiLevelType w:val="singleLevel"/>
    <w:tmpl w:val="6457852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D17056"/>
    <w:rsid w:val="01EF5276"/>
    <w:rsid w:val="02665DCF"/>
    <w:rsid w:val="02A86D87"/>
    <w:rsid w:val="02AE4CCA"/>
    <w:rsid w:val="02D92DDA"/>
    <w:rsid w:val="03287320"/>
    <w:rsid w:val="033E071B"/>
    <w:rsid w:val="03AE3AC0"/>
    <w:rsid w:val="03FA6217"/>
    <w:rsid w:val="046063A3"/>
    <w:rsid w:val="048E4A8E"/>
    <w:rsid w:val="04A8621F"/>
    <w:rsid w:val="052D1124"/>
    <w:rsid w:val="05841760"/>
    <w:rsid w:val="058C239E"/>
    <w:rsid w:val="06293905"/>
    <w:rsid w:val="06334EF1"/>
    <w:rsid w:val="06377F01"/>
    <w:rsid w:val="071E5F82"/>
    <w:rsid w:val="072B45AB"/>
    <w:rsid w:val="07A50D69"/>
    <w:rsid w:val="07BB6AF4"/>
    <w:rsid w:val="07CB50EC"/>
    <w:rsid w:val="07EF4D29"/>
    <w:rsid w:val="084367D4"/>
    <w:rsid w:val="08470747"/>
    <w:rsid w:val="0893725C"/>
    <w:rsid w:val="089572CF"/>
    <w:rsid w:val="08A00773"/>
    <w:rsid w:val="08A4283C"/>
    <w:rsid w:val="08E81855"/>
    <w:rsid w:val="08EF0DD0"/>
    <w:rsid w:val="08F027B4"/>
    <w:rsid w:val="09783F74"/>
    <w:rsid w:val="09BC4A90"/>
    <w:rsid w:val="09E162A4"/>
    <w:rsid w:val="0A3D57A2"/>
    <w:rsid w:val="0A4370BC"/>
    <w:rsid w:val="0A4D6F7D"/>
    <w:rsid w:val="0A5C592B"/>
    <w:rsid w:val="0A84735B"/>
    <w:rsid w:val="0A94795B"/>
    <w:rsid w:val="0AB4192F"/>
    <w:rsid w:val="0B1F6B23"/>
    <w:rsid w:val="0B4524E9"/>
    <w:rsid w:val="0BA804E2"/>
    <w:rsid w:val="0BB94E2C"/>
    <w:rsid w:val="0BE27487"/>
    <w:rsid w:val="0BF70001"/>
    <w:rsid w:val="0C4F7C96"/>
    <w:rsid w:val="0C8E7A46"/>
    <w:rsid w:val="0C966F7F"/>
    <w:rsid w:val="0CCA6CB7"/>
    <w:rsid w:val="0CFF5FF0"/>
    <w:rsid w:val="0D0E115E"/>
    <w:rsid w:val="0D1C42A9"/>
    <w:rsid w:val="0D366EDE"/>
    <w:rsid w:val="0D4B57FA"/>
    <w:rsid w:val="0D505C1B"/>
    <w:rsid w:val="0D60161F"/>
    <w:rsid w:val="0D98311E"/>
    <w:rsid w:val="0E15651D"/>
    <w:rsid w:val="0E897C2B"/>
    <w:rsid w:val="0E941B37"/>
    <w:rsid w:val="0ED94D9B"/>
    <w:rsid w:val="0F957EE7"/>
    <w:rsid w:val="0F9A0948"/>
    <w:rsid w:val="0FA108F2"/>
    <w:rsid w:val="0FB873C3"/>
    <w:rsid w:val="0FFC3E38"/>
    <w:rsid w:val="10593E88"/>
    <w:rsid w:val="10727C56"/>
    <w:rsid w:val="10C17504"/>
    <w:rsid w:val="10F06DED"/>
    <w:rsid w:val="11107299"/>
    <w:rsid w:val="1134034B"/>
    <w:rsid w:val="115176A2"/>
    <w:rsid w:val="11B147AE"/>
    <w:rsid w:val="122D2087"/>
    <w:rsid w:val="125A6BF4"/>
    <w:rsid w:val="129D6027"/>
    <w:rsid w:val="13242D1C"/>
    <w:rsid w:val="1334693B"/>
    <w:rsid w:val="13A52CDF"/>
    <w:rsid w:val="146C1DD9"/>
    <w:rsid w:val="14BF24DE"/>
    <w:rsid w:val="14C667C2"/>
    <w:rsid w:val="14CC54C7"/>
    <w:rsid w:val="14DD5FD7"/>
    <w:rsid w:val="14E33844"/>
    <w:rsid w:val="14EA23A8"/>
    <w:rsid w:val="158F3058"/>
    <w:rsid w:val="15A27FE2"/>
    <w:rsid w:val="1627453B"/>
    <w:rsid w:val="17197045"/>
    <w:rsid w:val="175C6F5E"/>
    <w:rsid w:val="179A7791"/>
    <w:rsid w:val="17DC3DC3"/>
    <w:rsid w:val="181F357B"/>
    <w:rsid w:val="188345AC"/>
    <w:rsid w:val="195E168F"/>
    <w:rsid w:val="196A7CDF"/>
    <w:rsid w:val="19866520"/>
    <w:rsid w:val="19C72BF8"/>
    <w:rsid w:val="19CA553D"/>
    <w:rsid w:val="1A4E2E8E"/>
    <w:rsid w:val="1AF51455"/>
    <w:rsid w:val="1AFF658A"/>
    <w:rsid w:val="1B9D302A"/>
    <w:rsid w:val="1BF446CE"/>
    <w:rsid w:val="1BFF47CE"/>
    <w:rsid w:val="1C704031"/>
    <w:rsid w:val="1D271A66"/>
    <w:rsid w:val="1DCB47DF"/>
    <w:rsid w:val="1E601115"/>
    <w:rsid w:val="1EB03217"/>
    <w:rsid w:val="1F000FB0"/>
    <w:rsid w:val="1F111AD7"/>
    <w:rsid w:val="1F5A1E7F"/>
    <w:rsid w:val="1FA707DF"/>
    <w:rsid w:val="1FFE7B8C"/>
    <w:rsid w:val="203C025A"/>
    <w:rsid w:val="20775CA3"/>
    <w:rsid w:val="21442F49"/>
    <w:rsid w:val="217A1AB1"/>
    <w:rsid w:val="21A34113"/>
    <w:rsid w:val="22266AF2"/>
    <w:rsid w:val="22695B47"/>
    <w:rsid w:val="243235AA"/>
    <w:rsid w:val="24B10BAC"/>
    <w:rsid w:val="24D2061D"/>
    <w:rsid w:val="24EE7D9B"/>
    <w:rsid w:val="251132F3"/>
    <w:rsid w:val="253C38DE"/>
    <w:rsid w:val="257D4C7B"/>
    <w:rsid w:val="25B24E22"/>
    <w:rsid w:val="26154EB4"/>
    <w:rsid w:val="262B4FF6"/>
    <w:rsid w:val="264810A7"/>
    <w:rsid w:val="265A7CC8"/>
    <w:rsid w:val="27014400"/>
    <w:rsid w:val="271B2298"/>
    <w:rsid w:val="276D0D8C"/>
    <w:rsid w:val="27DE2311"/>
    <w:rsid w:val="286C33CA"/>
    <w:rsid w:val="28AD1D1C"/>
    <w:rsid w:val="28E4125D"/>
    <w:rsid w:val="29367F99"/>
    <w:rsid w:val="29BB6A7E"/>
    <w:rsid w:val="29CE019B"/>
    <w:rsid w:val="29EC49AF"/>
    <w:rsid w:val="2A4178F3"/>
    <w:rsid w:val="2AC43DDE"/>
    <w:rsid w:val="2AEF4956"/>
    <w:rsid w:val="2B1C41DD"/>
    <w:rsid w:val="2BBE35CD"/>
    <w:rsid w:val="2BD6382B"/>
    <w:rsid w:val="2C7A0558"/>
    <w:rsid w:val="2C933EBB"/>
    <w:rsid w:val="2CA927FA"/>
    <w:rsid w:val="2CDF6E04"/>
    <w:rsid w:val="2D284D02"/>
    <w:rsid w:val="2D3A266F"/>
    <w:rsid w:val="2D8470B0"/>
    <w:rsid w:val="2D85399E"/>
    <w:rsid w:val="2DC65E1F"/>
    <w:rsid w:val="2DF720F5"/>
    <w:rsid w:val="2E1C0F3D"/>
    <w:rsid w:val="2E69253C"/>
    <w:rsid w:val="2EEF2198"/>
    <w:rsid w:val="2F0246FC"/>
    <w:rsid w:val="2F080155"/>
    <w:rsid w:val="2F3E7229"/>
    <w:rsid w:val="30343502"/>
    <w:rsid w:val="30470CFF"/>
    <w:rsid w:val="306918BE"/>
    <w:rsid w:val="30A37680"/>
    <w:rsid w:val="31AF70F0"/>
    <w:rsid w:val="31C83722"/>
    <w:rsid w:val="32335040"/>
    <w:rsid w:val="32D24F00"/>
    <w:rsid w:val="32D963A9"/>
    <w:rsid w:val="32ED21B4"/>
    <w:rsid w:val="331926DE"/>
    <w:rsid w:val="3321133C"/>
    <w:rsid w:val="35124AFB"/>
    <w:rsid w:val="35164EC9"/>
    <w:rsid w:val="35472BB0"/>
    <w:rsid w:val="35EE1AE6"/>
    <w:rsid w:val="36216ACD"/>
    <w:rsid w:val="367F4CF7"/>
    <w:rsid w:val="36AD5505"/>
    <w:rsid w:val="36DB24F1"/>
    <w:rsid w:val="37904E67"/>
    <w:rsid w:val="3797204C"/>
    <w:rsid w:val="37A771FF"/>
    <w:rsid w:val="37B22EAA"/>
    <w:rsid w:val="37B37AED"/>
    <w:rsid w:val="37EF7DFA"/>
    <w:rsid w:val="380A1D4B"/>
    <w:rsid w:val="38A54053"/>
    <w:rsid w:val="38CA7D80"/>
    <w:rsid w:val="38D37D37"/>
    <w:rsid w:val="39312765"/>
    <w:rsid w:val="393A2055"/>
    <w:rsid w:val="399C1F0E"/>
    <w:rsid w:val="3A003CFF"/>
    <w:rsid w:val="3A1339C4"/>
    <w:rsid w:val="3AC54CA3"/>
    <w:rsid w:val="3AF63590"/>
    <w:rsid w:val="3B06110B"/>
    <w:rsid w:val="3B561D9F"/>
    <w:rsid w:val="3B9B7004"/>
    <w:rsid w:val="3BCF551C"/>
    <w:rsid w:val="3BDA477E"/>
    <w:rsid w:val="3C0D06AF"/>
    <w:rsid w:val="3C504A40"/>
    <w:rsid w:val="3C761DD8"/>
    <w:rsid w:val="3C87456A"/>
    <w:rsid w:val="3CA231F4"/>
    <w:rsid w:val="3CDC3CFC"/>
    <w:rsid w:val="3CFB0C50"/>
    <w:rsid w:val="3CFC20B7"/>
    <w:rsid w:val="3E694CE7"/>
    <w:rsid w:val="3E734A16"/>
    <w:rsid w:val="3E835DD7"/>
    <w:rsid w:val="3E8B7FB1"/>
    <w:rsid w:val="3EC819BA"/>
    <w:rsid w:val="3ED47794"/>
    <w:rsid w:val="3EEC4EF4"/>
    <w:rsid w:val="3EEE35A4"/>
    <w:rsid w:val="3F7004CB"/>
    <w:rsid w:val="3FFC7781"/>
    <w:rsid w:val="405317F7"/>
    <w:rsid w:val="40754FF3"/>
    <w:rsid w:val="40CE715B"/>
    <w:rsid w:val="40D508AB"/>
    <w:rsid w:val="40E640CC"/>
    <w:rsid w:val="41D57B43"/>
    <w:rsid w:val="427F607F"/>
    <w:rsid w:val="43141345"/>
    <w:rsid w:val="43420DA9"/>
    <w:rsid w:val="435C781C"/>
    <w:rsid w:val="437C0F5D"/>
    <w:rsid w:val="44B87D18"/>
    <w:rsid w:val="453A160B"/>
    <w:rsid w:val="45E00BE3"/>
    <w:rsid w:val="45E2026E"/>
    <w:rsid w:val="45F85A17"/>
    <w:rsid w:val="463747B7"/>
    <w:rsid w:val="46E2098A"/>
    <w:rsid w:val="47212ECA"/>
    <w:rsid w:val="47323108"/>
    <w:rsid w:val="4734568A"/>
    <w:rsid w:val="47A83982"/>
    <w:rsid w:val="47D51345"/>
    <w:rsid w:val="47E10C42"/>
    <w:rsid w:val="47E11557"/>
    <w:rsid w:val="48196B29"/>
    <w:rsid w:val="48653621"/>
    <w:rsid w:val="4885603F"/>
    <w:rsid w:val="48B14AB8"/>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6562E6"/>
    <w:rsid w:val="4C714499"/>
    <w:rsid w:val="4C845F8F"/>
    <w:rsid w:val="4D072EF9"/>
    <w:rsid w:val="4D36566E"/>
    <w:rsid w:val="4DBB24B5"/>
    <w:rsid w:val="4DFA2A5E"/>
    <w:rsid w:val="4E03467F"/>
    <w:rsid w:val="4E1F4272"/>
    <w:rsid w:val="4EE91176"/>
    <w:rsid w:val="4EF96755"/>
    <w:rsid w:val="4EFF6E71"/>
    <w:rsid w:val="4F4F0B87"/>
    <w:rsid w:val="4F7317CB"/>
    <w:rsid w:val="4F7C135A"/>
    <w:rsid w:val="4FC01EDA"/>
    <w:rsid w:val="50281CF3"/>
    <w:rsid w:val="503E1327"/>
    <w:rsid w:val="509154B6"/>
    <w:rsid w:val="50B769E4"/>
    <w:rsid w:val="50BB4683"/>
    <w:rsid w:val="50EC10F9"/>
    <w:rsid w:val="5177797E"/>
    <w:rsid w:val="52F6075F"/>
    <w:rsid w:val="53086FF5"/>
    <w:rsid w:val="530D6D8F"/>
    <w:rsid w:val="53193986"/>
    <w:rsid w:val="534D0228"/>
    <w:rsid w:val="53AB142E"/>
    <w:rsid w:val="54207C51"/>
    <w:rsid w:val="54DA727F"/>
    <w:rsid w:val="54E65F5A"/>
    <w:rsid w:val="557D2E1D"/>
    <w:rsid w:val="557E3F74"/>
    <w:rsid w:val="55804F6C"/>
    <w:rsid w:val="56150435"/>
    <w:rsid w:val="564516B7"/>
    <w:rsid w:val="56685DC5"/>
    <w:rsid w:val="567C109E"/>
    <w:rsid w:val="567E6210"/>
    <w:rsid w:val="56933523"/>
    <w:rsid w:val="56BA55C6"/>
    <w:rsid w:val="57124CDD"/>
    <w:rsid w:val="573C5E95"/>
    <w:rsid w:val="5765719A"/>
    <w:rsid w:val="576D1203"/>
    <w:rsid w:val="57837BDE"/>
    <w:rsid w:val="57935E95"/>
    <w:rsid w:val="57B27F05"/>
    <w:rsid w:val="58152013"/>
    <w:rsid w:val="58CE683B"/>
    <w:rsid w:val="58F46A27"/>
    <w:rsid w:val="59815DE1"/>
    <w:rsid w:val="59A40B9B"/>
    <w:rsid w:val="5A3C1A0D"/>
    <w:rsid w:val="5A6A2A29"/>
    <w:rsid w:val="5A9244F7"/>
    <w:rsid w:val="5AF97A89"/>
    <w:rsid w:val="5AFD10E3"/>
    <w:rsid w:val="5B352171"/>
    <w:rsid w:val="5B514882"/>
    <w:rsid w:val="5B5C757D"/>
    <w:rsid w:val="5B6B124E"/>
    <w:rsid w:val="5CA73DB1"/>
    <w:rsid w:val="5CDC30E6"/>
    <w:rsid w:val="5D155819"/>
    <w:rsid w:val="5D5B76D9"/>
    <w:rsid w:val="5D656D7E"/>
    <w:rsid w:val="5DCE0C96"/>
    <w:rsid w:val="5DE454AE"/>
    <w:rsid w:val="5DEC70B2"/>
    <w:rsid w:val="5E1F095F"/>
    <w:rsid w:val="5E482C04"/>
    <w:rsid w:val="5E5D637B"/>
    <w:rsid w:val="5EC735B0"/>
    <w:rsid w:val="5F0F193D"/>
    <w:rsid w:val="5F2B6724"/>
    <w:rsid w:val="5FFE462F"/>
    <w:rsid w:val="60C055B7"/>
    <w:rsid w:val="612D4EDB"/>
    <w:rsid w:val="61A62889"/>
    <w:rsid w:val="61F20913"/>
    <w:rsid w:val="624B0B8B"/>
    <w:rsid w:val="62923B3C"/>
    <w:rsid w:val="62C32DEC"/>
    <w:rsid w:val="62D96C8E"/>
    <w:rsid w:val="630D66DA"/>
    <w:rsid w:val="63337B03"/>
    <w:rsid w:val="63514A76"/>
    <w:rsid w:val="639F4202"/>
    <w:rsid w:val="63B0031B"/>
    <w:rsid w:val="640D5FD9"/>
    <w:rsid w:val="641E0B92"/>
    <w:rsid w:val="642C6292"/>
    <w:rsid w:val="643B0B1A"/>
    <w:rsid w:val="645E3C0F"/>
    <w:rsid w:val="647D1024"/>
    <w:rsid w:val="649324AE"/>
    <w:rsid w:val="64B66725"/>
    <w:rsid w:val="64C074E1"/>
    <w:rsid w:val="650224CC"/>
    <w:rsid w:val="65025750"/>
    <w:rsid w:val="65191B9C"/>
    <w:rsid w:val="653021A9"/>
    <w:rsid w:val="6549634D"/>
    <w:rsid w:val="65EB60C2"/>
    <w:rsid w:val="66022946"/>
    <w:rsid w:val="6615622F"/>
    <w:rsid w:val="6695111E"/>
    <w:rsid w:val="66A877C4"/>
    <w:rsid w:val="66F71181"/>
    <w:rsid w:val="67065B78"/>
    <w:rsid w:val="67303E4C"/>
    <w:rsid w:val="67347CE6"/>
    <w:rsid w:val="6749577F"/>
    <w:rsid w:val="675A5E15"/>
    <w:rsid w:val="677549A9"/>
    <w:rsid w:val="67F2708D"/>
    <w:rsid w:val="68030691"/>
    <w:rsid w:val="68330BEE"/>
    <w:rsid w:val="689E76A5"/>
    <w:rsid w:val="68DB1AF2"/>
    <w:rsid w:val="68E0427F"/>
    <w:rsid w:val="68F75735"/>
    <w:rsid w:val="694757F4"/>
    <w:rsid w:val="6A010FA4"/>
    <w:rsid w:val="6B3B48D5"/>
    <w:rsid w:val="6BBF4B8D"/>
    <w:rsid w:val="6BC71D79"/>
    <w:rsid w:val="6C630660"/>
    <w:rsid w:val="6C6E6460"/>
    <w:rsid w:val="6C9165DC"/>
    <w:rsid w:val="6C9331C1"/>
    <w:rsid w:val="6D2E13D1"/>
    <w:rsid w:val="6D3264BE"/>
    <w:rsid w:val="6D3C0545"/>
    <w:rsid w:val="6D6D6826"/>
    <w:rsid w:val="6D9E11D0"/>
    <w:rsid w:val="6DCC19D2"/>
    <w:rsid w:val="6E224140"/>
    <w:rsid w:val="6E2E58DF"/>
    <w:rsid w:val="6E987E4E"/>
    <w:rsid w:val="6EE044A0"/>
    <w:rsid w:val="6F0F7BD0"/>
    <w:rsid w:val="6F1D59CD"/>
    <w:rsid w:val="6F6E1CA9"/>
    <w:rsid w:val="6FE61A56"/>
    <w:rsid w:val="704C412C"/>
    <w:rsid w:val="70AD1C74"/>
    <w:rsid w:val="711C4732"/>
    <w:rsid w:val="71C56D5B"/>
    <w:rsid w:val="71F17B50"/>
    <w:rsid w:val="71F65166"/>
    <w:rsid w:val="72696BF8"/>
    <w:rsid w:val="72C2329A"/>
    <w:rsid w:val="734F28D5"/>
    <w:rsid w:val="734F3820"/>
    <w:rsid w:val="736B1B84"/>
    <w:rsid w:val="7375655F"/>
    <w:rsid w:val="73F11B0B"/>
    <w:rsid w:val="7455119F"/>
    <w:rsid w:val="749B7B08"/>
    <w:rsid w:val="74B015AB"/>
    <w:rsid w:val="74BF00CF"/>
    <w:rsid w:val="74CF5344"/>
    <w:rsid w:val="75786376"/>
    <w:rsid w:val="75D21A46"/>
    <w:rsid w:val="75F34010"/>
    <w:rsid w:val="76564426"/>
    <w:rsid w:val="765D45B4"/>
    <w:rsid w:val="76735213"/>
    <w:rsid w:val="772B072A"/>
    <w:rsid w:val="774A47BE"/>
    <w:rsid w:val="778F1D5A"/>
    <w:rsid w:val="7836349E"/>
    <w:rsid w:val="78A55F95"/>
    <w:rsid w:val="78CD4747"/>
    <w:rsid w:val="79181E66"/>
    <w:rsid w:val="794A5D98"/>
    <w:rsid w:val="794F5B82"/>
    <w:rsid w:val="79E234DF"/>
    <w:rsid w:val="7A0966D2"/>
    <w:rsid w:val="7A0F2FD7"/>
    <w:rsid w:val="7A1B3CD1"/>
    <w:rsid w:val="7A5B19C4"/>
    <w:rsid w:val="7A702BF0"/>
    <w:rsid w:val="7ACC0279"/>
    <w:rsid w:val="7B091C7D"/>
    <w:rsid w:val="7B877F0B"/>
    <w:rsid w:val="7C511C26"/>
    <w:rsid w:val="7C5A2796"/>
    <w:rsid w:val="7CA00AC6"/>
    <w:rsid w:val="7CD9190C"/>
    <w:rsid w:val="7CEF5D73"/>
    <w:rsid w:val="7CFC55FB"/>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60"/>
    </w:pPr>
    <w:rPr>
      <w:rFonts w:ascii="仿宋_GB2312" w:hAnsi="Times New Roman" w:eastAsia="仿宋_GB2312" w:cs="Times New Roman"/>
      <w:b/>
      <w:sz w:val="32"/>
      <w:szCs w:val="20"/>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正文首行缩进 21"/>
    <w:basedOn w:val="3"/>
    <w:qFormat/>
    <w:uiPriority w:val="99"/>
    <w:pPr>
      <w:ind w:firstLine="420"/>
    </w:pPr>
    <w:rPr>
      <w:rFonts w:cs="仿宋_GB2312"/>
      <w:szCs w:val="32"/>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4360</Words>
  <Characters>4580</Characters>
  <Lines>0</Lines>
  <Paragraphs>0</Paragraphs>
  <TotalTime>8</TotalTime>
  <ScaleCrop>false</ScaleCrop>
  <LinksUpToDate>false</LinksUpToDate>
  <CharactersWithSpaces>4589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2026-02-11T01:41:59Z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CDBE485975C04047BAF8A3A5EA463463_13</vt:lpwstr>
  </property>
  <property fmtid="{D5CDD505-2E9C-101B-9397-08002B2CF9AE}" pid="4" name="KSOTemplateDocerSaveRecord">
    <vt:lpwstr>eyJoZGlkIjoiOTI3OGExZWExOTQzMDQwYzQ5ZTYzMWNlNmZmZjE0OGEiLCJ1c2VySWQiOiI3NDYxMjU5OTIifQ==</vt:lpwstr>
  </property>
</Properties>
</file>