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A2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炎陵县</w:t>
      </w:r>
      <w:r>
        <w:rPr>
          <w:rFonts w:hint="default" w:ascii="Times New Roman" w:hAnsi="Times New Roman" w:eastAsia="方正小标宋_GBK" w:cs="Times New Roman"/>
          <w:sz w:val="44"/>
          <w:szCs w:val="44"/>
          <w:lang w:val="en-US" w:eastAsia="zh-CN"/>
        </w:rPr>
        <w:t>基本医疗保险</w:t>
      </w:r>
      <w:r>
        <w:rPr>
          <w:rFonts w:hint="default" w:ascii="Times New Roman" w:hAnsi="Times New Roman" w:eastAsia="方正小标宋_GBK" w:cs="Times New Roman"/>
          <w:sz w:val="44"/>
          <w:szCs w:val="44"/>
        </w:rPr>
        <w:t>门诊统筹综合改革试点</w:t>
      </w:r>
      <w:r>
        <w:rPr>
          <w:rFonts w:hint="default" w:ascii="Times New Roman" w:hAnsi="Times New Roman" w:eastAsia="方正小标宋_GBK" w:cs="Times New Roman"/>
          <w:sz w:val="44"/>
          <w:szCs w:val="44"/>
          <w:lang w:val="en-US" w:eastAsia="zh-CN"/>
        </w:rPr>
        <w:t>工作实施方案（征求意见稿）</w:t>
      </w:r>
    </w:p>
    <w:bookmarkEnd w:id="0"/>
    <w:p w14:paraId="0B9702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sz w:val="44"/>
          <w:szCs w:val="44"/>
        </w:rPr>
      </w:pPr>
    </w:p>
    <w:p w14:paraId="26C075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根据省委、省政府“三医联动、六医协同”集成改革部署及《湖南省医疗保障局 湖南省财政厅 湖南省卫生健康委员会关于深化基层门诊统筹综合改革试点的通知》（湘医保发〔2025〕25号）和《株洲市医疗保障局关于在炎陵县开展深化基层门诊统筹综合改革试点的通知》要求，进一步提高我县门诊医疗保障水平，深化医保支付方式改革，创新健康增值服务赋能基本医保参保机制和家庭医生签约服务提升行动。我县将在2026年开展基层门诊统筹综合改革试点工作。为更好地推进落实基层门诊统筹综合改革试点各项工作，结合我县实际，制定本方案。</w:t>
      </w:r>
    </w:p>
    <w:p w14:paraId="6BAF3F3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工作目标</w:t>
      </w:r>
    </w:p>
    <w:p w14:paraId="37A60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zh-CN" w:eastAsia="zh-CN"/>
        </w:rPr>
        <w:t>以习近平新时代中国特色社会主义思想为指导，</w:t>
      </w:r>
      <w:r>
        <w:rPr>
          <w:rFonts w:hint="default" w:ascii="Times New Roman" w:hAnsi="Times New Roman" w:eastAsia="仿宋" w:cs="Times New Roman"/>
          <w:sz w:val="32"/>
          <w:szCs w:val="32"/>
          <w:lang w:val="en-US" w:eastAsia="zh-CN"/>
        </w:rPr>
        <w:t>坚持</w:t>
      </w:r>
      <w:r>
        <w:rPr>
          <w:rFonts w:hint="default" w:ascii="Times New Roman" w:hAnsi="Times New Roman" w:eastAsia="仿宋" w:cs="Times New Roman"/>
          <w:sz w:val="32"/>
          <w:szCs w:val="32"/>
          <w:lang w:val="zh-CN" w:eastAsia="zh-CN"/>
        </w:rPr>
        <w:t>以人民</w:t>
      </w:r>
      <w:r>
        <w:rPr>
          <w:rFonts w:hint="default" w:ascii="Times New Roman" w:hAnsi="Times New Roman" w:eastAsia="仿宋" w:cs="Times New Roman"/>
          <w:sz w:val="32"/>
          <w:szCs w:val="32"/>
          <w:lang w:val="en-US" w:eastAsia="zh-CN"/>
        </w:rPr>
        <w:t>健康</w:t>
      </w:r>
      <w:r>
        <w:rPr>
          <w:rFonts w:hint="default" w:ascii="Times New Roman" w:hAnsi="Times New Roman" w:eastAsia="仿宋" w:cs="Times New Roman"/>
          <w:sz w:val="32"/>
          <w:szCs w:val="32"/>
          <w:lang w:val="zh-CN" w:eastAsia="zh-CN"/>
        </w:rPr>
        <w:t>为中心，</w:t>
      </w:r>
      <w:r>
        <w:rPr>
          <w:rFonts w:hint="default" w:ascii="Times New Roman" w:hAnsi="Times New Roman" w:eastAsia="仿宋" w:cs="Times New Roman"/>
          <w:sz w:val="32"/>
          <w:szCs w:val="32"/>
          <w:lang w:val="en-US" w:eastAsia="zh-CN"/>
        </w:rPr>
        <w:t>发挥医保基金战略性购买作用，以统筹制定“资金包”“政策包”和“服务包”为抓手，探索建立基本医疗保险普通门诊统筹费用实行总额预算下按人头包干付费制度。重点强化乡镇卫生院对辖区村（社区）卫生室的管理应用，督促家庭医生做好签约人员健康管理和基本医疗等服务，完善“防、筛、诊、治、管、康”全链条管理服务体系。落实首诊在基层、强化分级诊疗，家庭医生提供预约服务，督促医疗卫生机构主动控制成本，减少“非必要”住院，引导患者合理选择医疗机构，提高基金使用效率。实现群众得实惠，机构得发展，基金保稳定的目标。</w:t>
      </w:r>
    </w:p>
    <w:p w14:paraId="222BD9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基本原则</w:t>
      </w:r>
    </w:p>
    <w:p w14:paraId="5610C5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楷体" w:cs="Times New Roman"/>
          <w:sz w:val="32"/>
          <w:szCs w:val="32"/>
          <w:lang w:val="en-US" w:eastAsia="zh-CN"/>
        </w:rPr>
        <w:t>政府主导，协同推进。</w:t>
      </w:r>
      <w:r>
        <w:rPr>
          <w:rFonts w:hint="default" w:ascii="Times New Roman" w:hAnsi="Times New Roman" w:eastAsia="仿宋" w:cs="Times New Roman"/>
          <w:sz w:val="32"/>
          <w:szCs w:val="32"/>
          <w:lang w:val="en-US" w:eastAsia="zh-CN"/>
        </w:rPr>
        <w:t>在政府主导下，医保、卫健、财政等部门密切协作，</w:t>
      </w:r>
      <w:r>
        <w:rPr>
          <w:rFonts w:hint="default" w:ascii="Times New Roman" w:hAnsi="Times New Roman" w:eastAsia="仿宋_GB2312" w:cs="Times New Roman"/>
          <w:b w:val="0"/>
          <w:bCs w:val="0"/>
          <w:sz w:val="32"/>
          <w:szCs w:val="32"/>
          <w:lang w:val="en-US" w:eastAsia="zh-CN"/>
        </w:rPr>
        <w:t>整合</w:t>
      </w:r>
      <w:r>
        <w:rPr>
          <w:rFonts w:hint="default" w:ascii="Times New Roman" w:hAnsi="Times New Roman" w:eastAsia="仿宋_GB2312" w:cs="Times New Roman"/>
          <w:b w:val="0"/>
          <w:bCs w:val="0"/>
          <w:sz w:val="32"/>
          <w:szCs w:val="32"/>
        </w:rPr>
        <w:t>基</w:t>
      </w:r>
      <w:r>
        <w:rPr>
          <w:rFonts w:hint="default" w:ascii="Times New Roman" w:hAnsi="Times New Roman" w:eastAsia="仿宋_GB2312" w:cs="Times New Roman"/>
          <w:sz w:val="32"/>
          <w:szCs w:val="32"/>
        </w:rPr>
        <w:t>层医疗卫生机构医保基金和基本公共卫生服务资金形成“资金包”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统筹医保普通门诊统筹政策和基本公共卫生服务政策等形成“政策包”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集成基本公共卫生服务与门诊基本医疗保障服务形成“服务包”（包括基础服务包、增值服务包、个性化服务包），</w:t>
      </w:r>
      <w:r>
        <w:rPr>
          <w:rFonts w:hint="default" w:ascii="Times New Roman" w:hAnsi="Times New Roman" w:eastAsia="仿宋_GB2312" w:cs="Times New Roman"/>
          <w:sz w:val="32"/>
          <w:szCs w:val="32"/>
          <w:lang w:val="en-US" w:eastAsia="zh-CN"/>
        </w:rPr>
        <w:t>共同推进改革工作开展</w:t>
      </w:r>
      <w:r>
        <w:rPr>
          <w:rFonts w:hint="default" w:ascii="Times New Roman" w:hAnsi="Times New Roman" w:eastAsia="仿宋_GB2312" w:cs="Times New Roman"/>
          <w:spacing w:val="-2"/>
          <w:sz w:val="32"/>
          <w:szCs w:val="32"/>
        </w:rPr>
        <w:t>。</w:t>
      </w:r>
    </w:p>
    <w:p w14:paraId="6FC5425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2"/>
          <w:sz w:val="32"/>
          <w:szCs w:val="32"/>
          <w:lang w:val="en-US" w:eastAsia="zh-CN"/>
        </w:rPr>
      </w:pPr>
      <w:r>
        <w:rPr>
          <w:rFonts w:hint="default" w:ascii="Times New Roman" w:hAnsi="Times New Roman" w:eastAsia="楷体" w:cs="Times New Roman"/>
          <w:sz w:val="32"/>
          <w:szCs w:val="32"/>
          <w:lang w:val="en-US" w:eastAsia="zh-CN"/>
        </w:rPr>
        <w:t>激励约束，有效引导。</w:t>
      </w:r>
      <w:r>
        <w:rPr>
          <w:rFonts w:hint="default" w:ascii="Times New Roman" w:hAnsi="Times New Roman" w:eastAsia="仿宋_GB2312" w:cs="Times New Roman"/>
          <w:b w:val="0"/>
          <w:bCs w:val="0"/>
          <w:sz w:val="32"/>
          <w:szCs w:val="32"/>
          <w:lang w:val="en-US" w:eastAsia="zh-CN"/>
        </w:rPr>
        <w:t>按照“总额</w:t>
      </w:r>
      <w:r>
        <w:rPr>
          <w:rFonts w:hint="default" w:ascii="Times New Roman" w:hAnsi="Times New Roman" w:eastAsia="仿宋_GB2312" w:cs="Times New Roman"/>
          <w:sz w:val="32"/>
          <w:szCs w:val="32"/>
          <w:lang w:val="en-US" w:eastAsia="zh-CN"/>
        </w:rPr>
        <w:t>预算、包干支付、结余留用、超支不补”的原则，坚持改革目标导向，系统解决基层常见病、多发病用药保障问题，督促医疗机构规范医疗行为，提升诊疗水平和服务质量，提高人民群众获得感，增强参保意识，全方位提高医保基金使用效率。</w:t>
      </w:r>
    </w:p>
    <w:p w14:paraId="1A65B5D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2"/>
          <w:sz w:val="32"/>
          <w:szCs w:val="32"/>
          <w:lang w:val="en-US" w:eastAsia="zh-CN"/>
        </w:rPr>
      </w:pPr>
      <w:r>
        <w:rPr>
          <w:rFonts w:hint="default" w:ascii="Times New Roman" w:hAnsi="Times New Roman" w:eastAsia="楷体" w:cs="Times New Roman"/>
          <w:sz w:val="32"/>
          <w:szCs w:val="32"/>
          <w:lang w:val="en-US" w:eastAsia="zh-CN"/>
        </w:rPr>
        <w:t>规范管理，服务大局。</w:t>
      </w:r>
      <w:r>
        <w:rPr>
          <w:rFonts w:hint="default" w:ascii="Times New Roman" w:hAnsi="Times New Roman" w:eastAsia="仿宋_GB2312" w:cs="Times New Roman"/>
          <w:sz w:val="32"/>
          <w:szCs w:val="32"/>
          <w:lang w:val="en-US" w:eastAsia="zh-CN"/>
        </w:rPr>
        <w:t>以满足人民群众基本医疗服务需求为出发点，确保政策覆盖所有参保人员，待遇公平可及。以服务于深化医药卫生体制改革大局，强化协同治理，促使优质医疗卫生资源下沉。</w:t>
      </w:r>
    </w:p>
    <w:p w14:paraId="4E12C5C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组织保障</w:t>
      </w:r>
    </w:p>
    <w:p w14:paraId="205D68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成立炎陵县基层门诊统筹综合改革试点工作小组。由县医保局牵头组织实施基层门诊统筹综合改革试点工作。县卫健局、县财政局按部门职责落实具体工作任务。</w:t>
      </w:r>
    </w:p>
    <w:p w14:paraId="4140E6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县医保局：</w:t>
      </w:r>
      <w:r>
        <w:rPr>
          <w:rFonts w:hint="default" w:ascii="Times New Roman" w:hAnsi="Times New Roman" w:eastAsia="仿宋" w:cs="Times New Roman"/>
          <w:sz w:val="32"/>
          <w:szCs w:val="32"/>
          <w:lang w:val="en-US" w:eastAsia="zh-CN"/>
        </w:rPr>
        <w:t>负责按时预拨、核算、结算门诊医保基金给签约基层医疗卫生机构，建立健全定期分析通报制度，加强业务指导和基金监管，规范目录药品使用及确定医药服务价格。</w:t>
      </w:r>
    </w:p>
    <w:p w14:paraId="091E3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县卫健局：</w:t>
      </w:r>
      <w:r>
        <w:rPr>
          <w:rFonts w:hint="default" w:ascii="Times New Roman" w:hAnsi="Times New Roman" w:eastAsia="仿宋" w:cs="Times New Roman"/>
          <w:sz w:val="32"/>
          <w:szCs w:val="32"/>
          <w:lang w:val="en-US" w:eastAsia="zh-CN"/>
        </w:rPr>
        <w:t>负责做好特定政策清单项目常见病种和常用基本药物品种的统计制定、督促定点</w:t>
      </w:r>
      <w:r>
        <w:rPr>
          <w:rFonts w:hint="default" w:ascii="Times New Roman" w:hAnsi="Times New Roman" w:eastAsia="仿宋" w:cs="Times New Roman"/>
          <w:sz w:val="32"/>
          <w:szCs w:val="32"/>
          <w:lang w:val="en-US" w:eastAsia="zh"/>
        </w:rPr>
        <w:t>基层</w:t>
      </w:r>
      <w:r>
        <w:rPr>
          <w:rFonts w:hint="default" w:ascii="Times New Roman" w:hAnsi="Times New Roman" w:eastAsia="仿宋" w:cs="Times New Roman"/>
          <w:sz w:val="32"/>
          <w:szCs w:val="32"/>
          <w:lang w:val="en-US" w:eastAsia="zh-CN"/>
        </w:rPr>
        <w:t>医疗卫生机构按时完成医疗、医保信息化和标准化改造，确保数据上传全面、准确、真实、及时。</w:t>
      </w:r>
    </w:p>
    <w:p w14:paraId="72E77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县财政局：</w:t>
      </w:r>
      <w:r>
        <w:rPr>
          <w:rFonts w:hint="default" w:ascii="Times New Roman" w:hAnsi="Times New Roman" w:eastAsia="仿宋" w:cs="Times New Roman"/>
          <w:sz w:val="32"/>
          <w:szCs w:val="32"/>
          <w:lang w:val="en-US" w:eastAsia="zh-CN"/>
        </w:rPr>
        <w:t>负责按规定拨付资金及督促部门规范使用，指导做好基金使用评估工作。</w:t>
      </w:r>
    </w:p>
    <w:p w14:paraId="3C4B35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工作任务</w:t>
      </w:r>
    </w:p>
    <w:p w14:paraId="33E8F6A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门诊统筹综合改革措施。</w:t>
      </w:r>
    </w:p>
    <w:p w14:paraId="664CDF8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明确改革对象范围：</w:t>
      </w:r>
    </w:p>
    <w:p w14:paraId="5EB119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参加我县城乡居民医保或城镇职工医保，且有按要求签约家庭医生的参保人员。</w:t>
      </w:r>
    </w:p>
    <w:p w14:paraId="514F394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明确服务形式和准入条件：</w:t>
      </w:r>
    </w:p>
    <w:p w14:paraId="3E8E37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依托</w:t>
      </w:r>
      <w:r>
        <w:rPr>
          <w:rFonts w:hint="default" w:ascii="Times New Roman" w:hAnsi="Times New Roman" w:eastAsia="仿宋_GB2312" w:cs="Times New Roman"/>
          <w:sz w:val="32"/>
          <w:szCs w:val="32"/>
          <w:lang w:val="en-US" w:eastAsia="zh-CN"/>
        </w:rPr>
        <w:t>符合准入条件的基层医保定点乡镇卫生院和村（社区）卫生室</w:t>
      </w:r>
      <w:r>
        <w:rPr>
          <w:rFonts w:hint="default" w:ascii="Times New Roman" w:hAnsi="Times New Roman" w:eastAsia="仿宋_GB2312" w:cs="Times New Roman"/>
          <w:sz w:val="32"/>
          <w:szCs w:val="32"/>
        </w:rPr>
        <w:t>，通过家庭医生签约服务形式</w:t>
      </w:r>
      <w:r>
        <w:rPr>
          <w:rFonts w:hint="default" w:ascii="Times New Roman" w:hAnsi="Times New Roman" w:eastAsia="仿宋_GB2312" w:cs="Times New Roman"/>
          <w:sz w:val="32"/>
          <w:szCs w:val="32"/>
          <w:lang w:val="en-US" w:eastAsia="zh-CN"/>
        </w:rPr>
        <w:t>开展改革。试点阶段先选择1-3家乡镇卫生院开展（考虑到目前系统设置还未实现签约参保人跨乡镇、村办理结算）。</w:t>
      </w:r>
    </w:p>
    <w:p w14:paraId="332DCD9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明确筹资标准和待遇水平：</w:t>
      </w:r>
    </w:p>
    <w:p w14:paraId="1C7C721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筹资标准。</w:t>
      </w:r>
      <w:r>
        <w:rPr>
          <w:rFonts w:hint="default" w:ascii="Times New Roman" w:hAnsi="Times New Roman" w:eastAsia="仿宋_GB2312" w:cs="Times New Roman"/>
          <w:b w:val="0"/>
          <w:bCs w:val="0"/>
          <w:sz w:val="32"/>
          <w:szCs w:val="32"/>
          <w:lang w:val="en-US" w:eastAsia="zh-CN"/>
        </w:rPr>
        <w:t>参保人员同时签订基础服务包和增值服务包，个性化服务包自愿签订。基础服务包和增值服务包中的公共卫生服务项目由基本公共卫生服务经费保障（具体由县卫健局制定）；增值服务包中的普通门诊诊疗服务项目由居民医保基金保障，通过普通门诊统筹基金支付。</w:t>
      </w:r>
      <w:r>
        <w:rPr>
          <w:rFonts w:hint="default" w:ascii="Times New Roman" w:hAnsi="Times New Roman" w:eastAsia="仿宋_GB2312" w:cs="Times New Roman"/>
          <w:sz w:val="32"/>
          <w:szCs w:val="32"/>
        </w:rPr>
        <w:t>普通门诊筹资总额=</w:t>
      </w:r>
      <w:r>
        <w:rPr>
          <w:rFonts w:hint="default" w:ascii="Times New Roman" w:hAnsi="Times New Roman" w:eastAsia="仿宋_GB2312" w:cs="Times New Roman"/>
          <w:sz w:val="32"/>
          <w:szCs w:val="32"/>
          <w:lang w:val="en-US" w:eastAsia="zh-CN"/>
        </w:rPr>
        <w:t>基本医疗</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val="en-US" w:eastAsia="zh-CN"/>
        </w:rPr>
        <w:t>险</w:t>
      </w:r>
      <w:r>
        <w:rPr>
          <w:rFonts w:hint="default" w:ascii="Times New Roman" w:hAnsi="Times New Roman" w:eastAsia="仿宋_GB2312" w:cs="Times New Roman"/>
          <w:sz w:val="32"/>
          <w:szCs w:val="32"/>
        </w:rPr>
        <w:t>参保人数×基础人头费，</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控制在当年居民医保基金总额的10%以内</w:t>
      </w:r>
      <w:r>
        <w:rPr>
          <w:rFonts w:hint="default" w:ascii="Times New Roman" w:hAnsi="Times New Roman" w:eastAsia="仿宋_GB2312" w:cs="Times New Roman"/>
          <w:sz w:val="32"/>
          <w:szCs w:val="32"/>
          <w:lang w:eastAsia="zh-CN"/>
        </w:rPr>
        <w:t>。</w:t>
      </w:r>
    </w:p>
    <w:p w14:paraId="29AD85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基础人头费</w:t>
      </w:r>
      <w:r>
        <w:rPr>
          <w:rFonts w:hint="default" w:ascii="Times New Roman" w:hAnsi="Times New Roman" w:eastAsia="仿宋_GB2312" w:cs="Times New Roman"/>
          <w:sz w:val="32"/>
          <w:szCs w:val="32"/>
          <w:lang w:val="en-US" w:eastAsia="zh-CN"/>
        </w:rPr>
        <w:t>为7元</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月（考虑改革之初，秉持先行先试的原则，借鉴已试点县的标准）</w:t>
      </w:r>
      <w:r>
        <w:rPr>
          <w:rFonts w:hint="default" w:ascii="Times New Roman" w:hAnsi="Times New Roman" w:eastAsia="仿宋_GB2312" w:cs="Times New Roman"/>
          <w:sz w:val="32"/>
          <w:szCs w:val="32"/>
          <w:lang w:eastAsia="zh-CN"/>
        </w:rPr>
        <w:t>。</w:t>
      </w:r>
    </w:p>
    <w:p w14:paraId="7623B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（2）待遇水平。</w:t>
      </w:r>
      <w:r>
        <w:rPr>
          <w:rFonts w:hint="default" w:ascii="Times New Roman" w:hAnsi="Times New Roman" w:eastAsia="仿宋_GB2312" w:cs="Times New Roman"/>
          <w:sz w:val="32"/>
          <w:szCs w:val="32"/>
          <w:lang w:val="en-US" w:eastAsia="zh-CN"/>
        </w:rPr>
        <w:t>一个自然年度内，在炎陵县参保的签约家庭医生的居民，在签约基层医疗卫生机构普通门诊就诊时，基础服务包和增值服务包中的诊疗服务不设起付线，医保政策范围内普通门诊诊疗服务按70%比例报销，特定政策清单项目内容按90%比例报销，医保支付限额按现行普通门诊统筹政策支付限额确定；在签约家庭医生门诊就诊时，不再收取诊查费。个性化服务包费用由签约对象个人支付。</w:t>
      </w:r>
    </w:p>
    <w:p w14:paraId="445D8E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签约但未参保的对象不享受医保普通门诊待遇，参保但未签约或参保地与签约地不一致的对象在参保地基层医疗卫生机构按原普通门诊统筹政策实施保障，在炎陵县参保的签约居民在县外医疗卫生机构的普通门诊医疗费用由个人自行负担或从家庭成员职工医保个人账户中共济支付。</w:t>
      </w:r>
    </w:p>
    <w:p w14:paraId="22656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在签约基层医疗机构门诊就诊的职工叠加享受改革政策和职工门诊共济保障政策，其在签约基层医疗卫生机构普通门诊就诊时，优先执行此项改革政策</w:t>
      </w:r>
      <w:r>
        <w:rPr>
          <w:rFonts w:hint="eastAsia" w:ascii="Times New Roman" w:hAnsi="Times New Roman" w:eastAsia="仿宋_GB2312" w:cs="Times New Roman"/>
          <w:b w:val="0"/>
          <w:bCs w:val="0"/>
          <w:sz w:val="32"/>
          <w:szCs w:val="32"/>
          <w:lang w:val="en-US" w:eastAsia="zh-CN"/>
        </w:rPr>
        <w:t>，在</w:t>
      </w:r>
      <w:r>
        <w:rPr>
          <w:rFonts w:hint="default" w:ascii="Times New Roman" w:hAnsi="Times New Roman" w:eastAsia="仿宋_GB2312" w:cs="Times New Roman"/>
          <w:b w:val="0"/>
          <w:bCs w:val="0"/>
          <w:sz w:val="32"/>
          <w:szCs w:val="32"/>
          <w:lang w:val="en-US" w:eastAsia="zh-CN"/>
        </w:rPr>
        <w:t>改革政策限制使用完毕后，再执行职工门诊共济政策；在其他医药机构按职工门诊共济保障政策进行保障。参保但未签约或参保地与签约地不一致的职工不享受此项改革政策，按职工门诊共济保障政策进行保障。职工医保基层门诊统筹综合改革的基础人头费、待遇水</w:t>
      </w:r>
      <w:r>
        <w:rPr>
          <w:rFonts w:hint="default" w:ascii="Times New Roman" w:hAnsi="Times New Roman" w:eastAsia="仿宋_GB2312" w:cs="Times New Roman"/>
          <w:b w:val="0"/>
          <w:bCs w:val="0"/>
          <w:color w:val="auto"/>
          <w:sz w:val="32"/>
          <w:szCs w:val="32"/>
          <w:lang w:val="en-US" w:eastAsia="zh-CN"/>
        </w:rPr>
        <w:t xml:space="preserve">平按照居民医保基层门诊统筹综合改革的标准实施。 </w:t>
      </w:r>
    </w:p>
    <w:p w14:paraId="6DC27F1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明确资金支付和清算分配：</w:t>
      </w:r>
    </w:p>
    <w:p w14:paraId="0C30B9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（1）资金支付。</w:t>
      </w:r>
      <w:r>
        <w:rPr>
          <w:rFonts w:hint="default" w:ascii="Times New Roman" w:hAnsi="Times New Roman" w:eastAsia="仿宋_GB2312" w:cs="Times New Roman"/>
          <w:sz w:val="32"/>
          <w:szCs w:val="32"/>
          <w:lang w:val="en-US" w:eastAsia="zh-CN"/>
        </w:rPr>
        <w:t>资金拨付及管理按原方式和渠道不变，拨付至基层医疗卫生机构。不符合改革范围及条件的，普通门诊仍实行按项目付费；符合改革范围及条件的，普通门诊由按项目付费改为按人头付费（按人头付费预算总额=签约参保居民人数×基础人头费），按月预付，按季度核算，按年结（清）算。每月10日以前由医保部门按预算月度总额的90%支付给签约基层医疗卫生机构（村卫生室费用由辖区卫生院支付），剩余费用年底评估后1个月内支付。</w:t>
      </w:r>
    </w:p>
    <w:p w14:paraId="7439B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（2）评估清算。</w:t>
      </w:r>
      <w:r>
        <w:rPr>
          <w:rFonts w:hint="default" w:ascii="Times New Roman" w:hAnsi="Times New Roman" w:eastAsia="仿宋_GB2312" w:cs="Times New Roman"/>
          <w:sz w:val="32"/>
          <w:szCs w:val="32"/>
          <w:lang w:val="en-US" w:eastAsia="zh-CN"/>
        </w:rPr>
        <w:t>参照《基层门诊统筹综合改革评估指标体系》（见附件2），并结合我县实际制定评估办法。建立与评估结果挂钩的年终清算机制。以乡镇为单位，将参保群众普通门诊个人负担比例、基层医疗卫生机构门诊就诊率、辖区居民住院发生率、有效签约率、特定清单药品配备率、参保率、居民健康档案管理、医疗服务质量、服务对象投诉及满意度等指标纳入评估范围。年底前，县医保局会同卫健、财政部门共同组织对签约基层医疗卫生机构改革成效实施评估，按排名设优秀、良好、合格、不合格四个等次。</w:t>
      </w:r>
    </w:p>
    <w:p w14:paraId="286A98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职工医保年终清算时，需按照该签约基层医疗卫生机构签约参保居民人均基金支出，核算签约参保职工人均基金支出，具体公式为[（居民医保预算总额+居民医保二次分配金额）/签约参保居民人数]×签约参保职工人数－职工医保预算总额。</w:t>
      </w:r>
    </w:p>
    <w:p w14:paraId="66004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（3）二次分配。</w:t>
      </w:r>
      <w:r>
        <w:rPr>
          <w:rFonts w:hint="default" w:ascii="Times New Roman" w:hAnsi="Times New Roman" w:eastAsia="仿宋_GB2312" w:cs="Times New Roman"/>
          <w:sz w:val="32"/>
          <w:szCs w:val="32"/>
          <w:lang w:val="en-US" w:eastAsia="zh-CN"/>
        </w:rPr>
        <w:t>年底评估后一个月内，由县医保局会同卫健、财政部门根据评估结果，结合基金总体运行情况，对签约基层医疗卫生机构按梯度进行二次分配。二次分配资金池=筹资总额－签约参保对象门诊按人头付费支出－未签约参保对象门诊按项目付费支出。资金池资金全部留用签约基层医疗卫生机构，超支部分由签约基层医疗卫生机构承担，因不可抗力或政策调整导致的超支部分，由签约基层医疗卫生机构与医保部门协商解决。</w:t>
      </w:r>
    </w:p>
    <w:p w14:paraId="46B499B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sz w:val="32"/>
          <w:szCs w:val="32"/>
          <w:lang w:val="en-US" w:eastAsia="zh-CN"/>
        </w:rPr>
        <w:t>升级家庭医生签约服务。</w:t>
      </w:r>
    </w:p>
    <w:p w14:paraId="0CCD6BE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13" w:leftChars="0" w:firstLine="643"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签约形式。</w:t>
      </w:r>
      <w:r>
        <w:rPr>
          <w:rFonts w:hint="default" w:ascii="Times New Roman" w:hAnsi="Times New Roman" w:eastAsia="仿宋_GB2312" w:cs="Times New Roman"/>
          <w:color w:val="auto"/>
          <w:sz w:val="32"/>
          <w:szCs w:val="32"/>
          <w:lang w:val="en-US" w:eastAsia="zh-CN"/>
        </w:rPr>
        <w:t>参保人按照方便就近就医及自愿原则签约，在县内选择一家乡镇卫生院或村（社区）卫生室作为门诊统筹定点医疗卫生机构，登录“家医湘约－湖南省家庭医生签约服务信息系统”线上签约或到定点医疗卫生机构现场签约。</w:t>
      </w:r>
    </w:p>
    <w:p w14:paraId="0455983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13" w:leftChars="0" w:firstLine="643"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签约周期。</w:t>
      </w:r>
      <w:r>
        <w:rPr>
          <w:rFonts w:hint="default" w:ascii="Times New Roman" w:hAnsi="Times New Roman" w:eastAsia="仿宋_GB2312" w:cs="Times New Roman"/>
          <w:color w:val="auto"/>
          <w:sz w:val="32"/>
          <w:szCs w:val="32"/>
          <w:lang w:val="en-US" w:eastAsia="zh-CN"/>
        </w:rPr>
        <w:t>参保人在一个自然年度内的签约周期内不得变更签约医疗卫生机构。</w:t>
      </w:r>
    </w:p>
    <w:p w14:paraId="7B38B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（3）服务内容。</w:t>
      </w:r>
      <w:r>
        <w:rPr>
          <w:rFonts w:hint="default" w:ascii="Times New Roman" w:hAnsi="Times New Roman" w:eastAsia="仿宋_GB2312" w:cs="Times New Roman"/>
          <w:color w:val="auto"/>
          <w:sz w:val="32"/>
          <w:szCs w:val="32"/>
          <w:lang w:val="en-US" w:eastAsia="zh-CN"/>
        </w:rPr>
        <w:t>乡镇卫生院负责管理辖区内的村（社区）卫生室作为其服务窗口纳入门诊签约服务管理。签约前，各签约医生有义务跟参保人员告知签约待遇和服务内容。在完成基础服务包中的事项外，还要做好个性化服务包规定外的一些基本的“帮代办”服务。如对办理门诊慢特病的患者提供代收资料以及指导门诊慢特病资格续接等服务，及时为医保新增（死亡）人员做好机关报增（终止）参保；积极参与医保政策宣传和基本医保参保动员，在集中参保缴费期间同步开展家庭医生签约行动，做好“一人一档”全民参保信息库建设以及负责信息库后续人员信息动态更新维护等工作。</w:t>
      </w:r>
    </w:p>
    <w:p w14:paraId="1A97A7B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sz w:val="32"/>
          <w:szCs w:val="32"/>
          <w:lang w:val="en-US" w:eastAsia="zh-CN"/>
        </w:rPr>
        <w:t>保障基层用药需求。</w:t>
      </w:r>
    </w:p>
    <w:p w14:paraId="1E63B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门诊统筹综合改革定点医疗卫生机构原则上应通过省医药集采平台（医保招采管理子系统）线上采购药品。严禁线下采购，严格落实药品销售零加成政策。并通过改革举措，切实解决基层用药保障难题。</w:t>
      </w:r>
    </w:p>
    <w:p w14:paraId="1DAD7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五、工作步骤</w:t>
      </w:r>
    </w:p>
    <w:p w14:paraId="02D061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（一）试点建设阶段（2026年1—6月）</w:t>
      </w:r>
    </w:p>
    <w:p w14:paraId="47DB8EE5">
      <w:pPr>
        <w:pStyle w:val="6"/>
        <w:keepNext w:val="0"/>
        <w:keepLines w:val="0"/>
        <w:pageBreakBefore w:val="0"/>
        <w:widowControl w:val="0"/>
        <w:kinsoku/>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1.2026年3月份以前制定试点工作方案，测算</w:t>
      </w:r>
      <w:r>
        <w:rPr>
          <w:rFonts w:hint="default" w:ascii="Times New Roman" w:hAnsi="Times New Roman" w:eastAsia="仿宋_GB2312" w:cs="Times New Roman"/>
          <w:color w:val="auto"/>
          <w:sz w:val="32"/>
          <w:szCs w:val="32"/>
          <w:lang w:val="en-US" w:eastAsia="zh-CN"/>
        </w:rPr>
        <w:t>门诊统筹</w:t>
      </w:r>
      <w:r>
        <w:rPr>
          <w:rFonts w:hint="default" w:ascii="Times New Roman" w:hAnsi="Times New Roman" w:eastAsia="仿宋_GB2312" w:cs="Times New Roman"/>
          <w:color w:val="auto"/>
          <w:kern w:val="2"/>
          <w:sz w:val="32"/>
          <w:szCs w:val="32"/>
          <w:lang w:val="en-US" w:eastAsia="zh-CN" w:bidi="ar-SA"/>
        </w:rPr>
        <w:t>医保筹资基金。（责任部门：医保局、卫健局、财政局）</w:t>
      </w:r>
    </w:p>
    <w:p w14:paraId="1C77FF9C">
      <w:pPr>
        <w:pStyle w:val="6"/>
        <w:keepNext w:val="0"/>
        <w:keepLines w:val="0"/>
        <w:pageBreakBefore w:val="0"/>
        <w:widowControl w:val="0"/>
        <w:kinsoku/>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2.5月份以前完成系统适配和政策培训。（责任部门：医保局）</w:t>
      </w:r>
    </w:p>
    <w:p w14:paraId="7F05A2A7">
      <w:pPr>
        <w:pStyle w:val="6"/>
        <w:keepNext w:val="0"/>
        <w:keepLines w:val="0"/>
        <w:pageBreakBefore w:val="0"/>
        <w:widowControl w:val="0"/>
        <w:numPr>
          <w:ilvl w:val="0"/>
          <w:numId w:val="0"/>
        </w:numPr>
        <w:kinsoku/>
        <w:wordWrap/>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3.完成2026年家庭医生签约。（责任部门：卫健局）</w:t>
      </w:r>
    </w:p>
    <w:p w14:paraId="07BE6E8B">
      <w:pPr>
        <w:pStyle w:val="6"/>
        <w:keepNext w:val="0"/>
        <w:keepLines w:val="0"/>
        <w:pageBreakBefore w:val="0"/>
        <w:widowControl w:val="0"/>
        <w:kinsoku/>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 w:cs="Times New Roman"/>
          <w:sz w:val="32"/>
          <w:szCs w:val="32"/>
          <w:lang w:val="en-US" w:eastAsia="zh-CN"/>
        </w:rPr>
        <w:t>完成特定政策清单项目常用基本药物品种的统计制定，督促基层医疗机构做好家庭医师签约信息导入系统等相关工作。</w:t>
      </w:r>
      <w:r>
        <w:rPr>
          <w:rFonts w:hint="default" w:ascii="Times New Roman" w:hAnsi="Times New Roman" w:eastAsia="仿宋_GB2312" w:cs="Times New Roman"/>
          <w:kern w:val="2"/>
          <w:sz w:val="32"/>
          <w:szCs w:val="32"/>
          <w:lang w:val="en-US" w:eastAsia="zh-CN" w:bidi="ar-SA"/>
        </w:rPr>
        <w:t>（责任部门：医保局、</w:t>
      </w:r>
      <w:r>
        <w:rPr>
          <w:rFonts w:hint="default" w:ascii="Times New Roman" w:hAnsi="Times New Roman" w:eastAsia="仿宋_GB2312" w:cs="Times New Roman"/>
          <w:color w:val="auto"/>
          <w:kern w:val="2"/>
          <w:sz w:val="32"/>
          <w:szCs w:val="32"/>
          <w:lang w:val="en-US" w:eastAsia="zh-CN" w:bidi="ar-SA"/>
        </w:rPr>
        <w:t>卫健局</w:t>
      </w:r>
      <w:r>
        <w:rPr>
          <w:rFonts w:hint="default" w:ascii="Times New Roman" w:hAnsi="Times New Roman" w:eastAsia="仿宋_GB2312" w:cs="Times New Roman"/>
          <w:kern w:val="2"/>
          <w:sz w:val="32"/>
          <w:szCs w:val="32"/>
          <w:lang w:val="en-US" w:eastAsia="zh-CN" w:bidi="ar-SA"/>
        </w:rPr>
        <w:t>）</w:t>
      </w:r>
    </w:p>
    <w:p w14:paraId="15675D6D">
      <w:pPr>
        <w:pStyle w:val="6"/>
        <w:keepNext w:val="0"/>
        <w:keepLines w:val="0"/>
        <w:pageBreakBefore w:val="0"/>
        <w:widowControl w:val="0"/>
        <w:numPr>
          <w:ilvl w:val="0"/>
          <w:numId w:val="0"/>
        </w:numPr>
        <w:kinsoku/>
        <w:wordWrap/>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lang w:val="en-US" w:eastAsia="zh-CN"/>
        </w:rPr>
        <w:t>（二）正式实施阶段（2026年7月起）</w:t>
      </w:r>
    </w:p>
    <w:p w14:paraId="5F2F74F2">
      <w:pPr>
        <w:pStyle w:val="6"/>
        <w:keepNext w:val="0"/>
        <w:keepLines w:val="0"/>
        <w:pageBreakBefore w:val="0"/>
        <w:widowControl w:val="0"/>
        <w:kinsoku/>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1.抓实基金监管，建立监测体系，加强医保基金使用绩效评价，确保基层门诊统筹综合改革平稳运行。（责任部门：医保局）</w:t>
      </w:r>
    </w:p>
    <w:p w14:paraId="28CD04BD">
      <w:pPr>
        <w:pStyle w:val="6"/>
        <w:keepNext w:val="0"/>
        <w:keepLines w:val="0"/>
        <w:pageBreakBefore w:val="0"/>
        <w:widowControl w:val="0"/>
        <w:kinsoku/>
        <w:wordWrap/>
        <w:topLinePunct w:val="0"/>
        <w:autoSpaceDE/>
        <w:autoSpaceDN/>
        <w:bidi w:val="0"/>
        <w:adjustRightInd/>
        <w:spacing w:line="560" w:lineRule="exact"/>
        <w:ind w:left="0"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lang w:val="en-US" w:eastAsia="zh-CN"/>
        </w:rPr>
        <w:t>制定门诊统筹综合改革评估办法，组织改革成效评估，推进扩面推广工作。</w:t>
      </w:r>
      <w:r>
        <w:rPr>
          <w:rFonts w:hint="default" w:ascii="Times New Roman" w:hAnsi="Times New Roman" w:eastAsia="仿宋_GB2312" w:cs="Times New Roman"/>
          <w:kern w:val="2"/>
          <w:sz w:val="32"/>
          <w:szCs w:val="32"/>
          <w:lang w:val="en-US" w:eastAsia="zh-CN" w:bidi="ar-SA"/>
        </w:rPr>
        <w:t>（责任部门：医保局、卫健局、财政局）</w:t>
      </w:r>
    </w:p>
    <w:p w14:paraId="2EC09C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056" w:firstLineChars="33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六、工作要求</w:t>
      </w:r>
    </w:p>
    <w:p w14:paraId="7B725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（一）强化组织领导。</w:t>
      </w:r>
      <w:r>
        <w:rPr>
          <w:rFonts w:hint="default" w:ascii="Times New Roman" w:hAnsi="Times New Roman" w:eastAsia="仿宋_GB2312" w:cs="Times New Roman"/>
          <w:b w:val="0"/>
          <w:bCs w:val="0"/>
          <w:sz w:val="32"/>
          <w:szCs w:val="32"/>
          <w:lang w:val="en-US" w:eastAsia="zh-CN"/>
        </w:rPr>
        <w:t>推进基层门诊统筹综合改革是健全参保长效机制，提升群众参保获得感的重要举措。</w:t>
      </w:r>
      <w:r>
        <w:rPr>
          <w:rFonts w:hint="default" w:ascii="Times New Roman" w:hAnsi="Times New Roman" w:eastAsia="仿宋_GB2312" w:cs="Times New Roman"/>
          <w:sz w:val="32"/>
          <w:szCs w:val="32"/>
          <w:lang w:val="en-US" w:eastAsia="zh-CN"/>
        </w:rPr>
        <w:t>相关部门要统一思想认识，严格对标工作要求，贯彻落实好相关政策。积极稳妥推进门诊统筹综合改革走深走实。加强舆论引导，为改革顺利推进营造良好环境。</w:t>
      </w:r>
    </w:p>
    <w:p w14:paraId="41814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（二）强化监督管理。</w:t>
      </w:r>
      <w:r>
        <w:rPr>
          <w:rFonts w:hint="default" w:ascii="Times New Roman" w:hAnsi="Times New Roman" w:eastAsia="仿宋_GB2312" w:cs="Times New Roman"/>
          <w:b w:val="0"/>
          <w:bCs w:val="0"/>
          <w:sz w:val="32"/>
          <w:szCs w:val="32"/>
          <w:lang w:val="en-US" w:eastAsia="zh-CN"/>
        </w:rPr>
        <w:t>坚持</w:t>
      </w:r>
      <w:r>
        <w:rPr>
          <w:rFonts w:hint="default" w:ascii="Times New Roman" w:hAnsi="Times New Roman" w:eastAsia="仿宋_GB2312" w:cs="Times New Roman"/>
          <w:sz w:val="32"/>
          <w:szCs w:val="32"/>
          <w:lang w:val="en-US" w:eastAsia="zh-CN"/>
        </w:rPr>
        <w:t>医保、卫健、财政部门对门诊统筹综合改革同部署、同实施、同评估、同监管。加强协议管理，确保基层医疗卫生服务能力稳定发展。医保定点医疗机构要严格执行医保目录和医疗服务规定，遵循因病施治、合理检查、合理治疗的基本医疗服务原则，规范诊疗行为，主动控制成本和医疗费用不合理增长，不得将无住院指征的病人纳入住院，不得虚假签约、冒名就医、虚列费用。发挥社会监督作用，动员社会各界参与监督，有效防控风险。进一步加大监管稽核力度，坚持对欺诈骗保零容忍，对涉及套取医保基金的行为严肃处理。</w:t>
      </w:r>
    </w:p>
    <w:p w14:paraId="1B4B29BA">
      <w:pPr>
        <w:pStyle w:val="8"/>
        <w:keepNext w:val="0"/>
        <w:keepLines w:val="0"/>
        <w:pageBreakBefore w:val="0"/>
        <w:widowControl w:val="0"/>
        <w:kinsoku/>
        <w:wordWrap/>
        <w:topLinePunct w:val="0"/>
        <w:autoSpaceDE/>
        <w:autoSpaceDN/>
        <w:bidi w:val="0"/>
        <w:adjustRightInd/>
        <w:spacing w:line="56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（三）强化政策宣讲。</w:t>
      </w:r>
      <w:r>
        <w:rPr>
          <w:rFonts w:hint="default" w:ascii="Times New Roman" w:hAnsi="Times New Roman" w:eastAsia="仿宋_GB2312" w:cs="Times New Roman"/>
          <w:b w:val="0"/>
          <w:bCs w:val="0"/>
          <w:kern w:val="2"/>
          <w:sz w:val="32"/>
          <w:szCs w:val="32"/>
          <w:lang w:val="en-US" w:eastAsia="zh-CN" w:bidi="ar-SA"/>
        </w:rPr>
        <w:t>通过集中培训，政策宣讲等多种形式，让医疗机构、相关部门、人民群众充分理解和支持基层门诊统筹综合改革在提高医保资金使用效率，提升基层医疗服务水平，规范医疗服务行为等方面的重要作用</w:t>
      </w:r>
      <w:r>
        <w:rPr>
          <w:rFonts w:hint="default" w:ascii="Times New Roman" w:hAnsi="Times New Roman" w:eastAsia="仿宋" w:cs="Times New Roman"/>
          <w:sz w:val="32"/>
          <w:szCs w:val="32"/>
          <w:lang w:val="en-US" w:eastAsia="zh-CN"/>
        </w:rPr>
        <w:t>。</w:t>
      </w:r>
    </w:p>
    <w:p w14:paraId="130155C2">
      <w:pPr>
        <w:rPr>
          <w:rFonts w:hint="default"/>
          <w:lang w:val="en-US" w:eastAsia="zh-CN"/>
        </w:rPr>
      </w:pPr>
    </w:p>
    <w:p w14:paraId="70E05A69">
      <w:pPr>
        <w:keepNext w:val="0"/>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094CD27C">
      <w:pPr>
        <w:keepNext w:val="0"/>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1.基层门诊统筹综合改革服务包（2025版）</w:t>
      </w:r>
    </w:p>
    <w:p w14:paraId="5A101FEE">
      <w:pPr>
        <w:pStyle w:val="12"/>
        <w:keepNext w:val="0"/>
        <w:keepLines w:val="0"/>
        <w:pageBreakBefore w:val="0"/>
        <w:widowControl w:val="0"/>
        <w:numPr>
          <w:ilvl w:val="0"/>
          <w:numId w:val="0"/>
        </w:numPr>
        <w:kinsoku/>
        <w:wordWrap/>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基层门诊统筹综合改革</w:t>
      </w:r>
      <w:r>
        <w:rPr>
          <w:rFonts w:hint="default" w:ascii="Times New Roman" w:hAnsi="Times New Roman" w:cs="Times New Roman"/>
          <w:sz w:val="32"/>
          <w:szCs w:val="32"/>
          <w:lang w:val="en-US" w:eastAsia="zh-CN"/>
        </w:rPr>
        <w:t>基本</w:t>
      </w:r>
      <w:r>
        <w:rPr>
          <w:rFonts w:hint="default" w:ascii="Times New Roman" w:hAnsi="Times New Roman" w:cs="Times New Roman"/>
          <w:sz w:val="32"/>
          <w:szCs w:val="32"/>
        </w:rPr>
        <w:t>评估指标体系</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省级指导版）</w:t>
      </w:r>
    </w:p>
    <w:p w14:paraId="7EBF3E10">
      <w:pPr>
        <w:pStyle w:val="12"/>
        <w:keepNext w:val="0"/>
        <w:keepLines w:val="0"/>
        <w:pageBreakBefore w:val="0"/>
        <w:widowControl w:val="0"/>
        <w:numPr>
          <w:ilvl w:val="0"/>
          <w:numId w:val="0"/>
        </w:numPr>
        <w:kinsoku/>
        <w:wordWrap/>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3.2026年炎陵县基层医疗机构普通门诊按人头付费特定清单项目药品目录（含村卫生室）</w:t>
      </w:r>
    </w:p>
    <w:p w14:paraId="388A7187">
      <w:pPr>
        <w:pStyle w:val="6"/>
        <w:keepNext w:val="0"/>
        <w:keepLines w:val="0"/>
        <w:pageBreakBefore w:val="0"/>
        <w:widowControl w:val="0"/>
        <w:kinsoku/>
        <w:topLinePunct w:val="0"/>
        <w:autoSpaceDE/>
        <w:autoSpaceDN/>
        <w:bidi w:val="0"/>
        <w:adjustRightInd/>
        <w:spacing w:line="560" w:lineRule="exact"/>
        <w:ind w:left="0" w:leftChars="0" w:firstLine="0" w:firstLineChars="0"/>
        <w:textAlignment w:val="auto"/>
        <w:rPr>
          <w:rFonts w:hint="default" w:ascii="Times New Roman" w:hAnsi="Times New Roman" w:cs="Times New Roman"/>
          <w:sz w:val="32"/>
          <w:szCs w:val="32"/>
          <w:lang w:val="en-US" w:eastAsia="zh-CN"/>
        </w:rPr>
      </w:pPr>
    </w:p>
    <w:p w14:paraId="455D47EB">
      <w:pPr>
        <w:rPr>
          <w:rFonts w:hint="default" w:ascii="Times New Roman" w:hAnsi="Times New Roman" w:cs="Times New Roman"/>
          <w:lang w:val="en-US" w:eastAsia="zh-CN"/>
        </w:rPr>
      </w:pPr>
    </w:p>
    <w:p w14:paraId="616AF9E5">
      <w:pPr>
        <w:keepNext w:val="0"/>
        <w:keepLines w:val="0"/>
        <w:pageBreakBefore w:val="0"/>
        <w:widowControl w:val="0"/>
        <w:kinsoku/>
        <w:wordWrap w:val="0"/>
        <w:topLinePunct w:val="0"/>
        <w:autoSpaceDE/>
        <w:autoSpaceDN/>
        <w:bidi w:val="0"/>
        <w:adjustRightInd/>
        <w:spacing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炎陵县医疗保障局   炎陵县财政局   炎陵县卫生健康局</w:t>
      </w:r>
    </w:p>
    <w:p w14:paraId="274560A5">
      <w:pPr>
        <w:pStyle w:val="8"/>
        <w:keepNext w:val="0"/>
        <w:keepLines w:val="0"/>
        <w:pageBreakBefore w:val="0"/>
        <w:widowControl w:val="0"/>
        <w:kinsoku/>
        <w:topLinePunct w:val="0"/>
        <w:autoSpaceDE/>
        <w:autoSpaceDN/>
        <w:bidi w:val="0"/>
        <w:adjustRightInd/>
        <w:spacing w:line="56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2026年  月  日</w:t>
      </w:r>
    </w:p>
    <w:p w14:paraId="2536B548">
      <w:pPr>
        <w:pStyle w:val="6"/>
        <w:ind w:left="0" w:leftChars="0" w:firstLine="0" w:firstLineChars="0"/>
        <w:jc w:val="left"/>
        <w:rPr>
          <w:rFonts w:hint="default" w:ascii="Times New Roman" w:hAnsi="Times New Roman" w:eastAsia="黑体" w:cs="Times New Roman"/>
          <w:sz w:val="32"/>
          <w:szCs w:val="32"/>
        </w:rPr>
      </w:pPr>
    </w:p>
    <w:p w14:paraId="350351E8">
      <w:pPr>
        <w:pStyle w:val="6"/>
        <w:ind w:left="0" w:leftChars="0" w:firstLine="0" w:firstLineChars="0"/>
        <w:jc w:val="left"/>
        <w:rPr>
          <w:rFonts w:hint="default" w:ascii="Times New Roman" w:hAnsi="Times New Roman" w:eastAsia="黑体" w:cs="Times New Roman"/>
          <w:sz w:val="32"/>
          <w:szCs w:val="32"/>
        </w:rPr>
      </w:pPr>
    </w:p>
    <w:p w14:paraId="0F514B29">
      <w:pPr>
        <w:pStyle w:val="6"/>
        <w:ind w:left="0" w:leftChars="0" w:firstLine="0" w:firstLineChars="0"/>
        <w:jc w:val="left"/>
        <w:rPr>
          <w:rFonts w:hint="default" w:ascii="Times New Roman" w:hAnsi="Times New Roman" w:eastAsia="黑体" w:cs="Times New Roman"/>
          <w:sz w:val="32"/>
          <w:szCs w:val="32"/>
        </w:rPr>
      </w:pPr>
    </w:p>
    <w:p w14:paraId="20795617">
      <w:pPr>
        <w:rPr>
          <w:rFonts w:hint="default" w:ascii="Times New Roman" w:hAnsi="Times New Roman" w:eastAsia="黑体" w:cs="Times New Roman"/>
          <w:sz w:val="32"/>
          <w:szCs w:val="32"/>
        </w:rPr>
      </w:pPr>
    </w:p>
    <w:p w14:paraId="196FDB47">
      <w:pPr>
        <w:rPr>
          <w:rFonts w:hint="default" w:ascii="Times New Roman" w:hAnsi="Times New Roman" w:eastAsia="黑体" w:cs="Times New Roman"/>
          <w:sz w:val="32"/>
          <w:szCs w:val="32"/>
        </w:rPr>
      </w:pPr>
    </w:p>
    <w:p w14:paraId="301FD3B6">
      <w:pPr>
        <w:rPr>
          <w:rFonts w:hint="default" w:ascii="Times New Roman" w:hAnsi="Times New Roman" w:eastAsia="黑体" w:cs="Times New Roman"/>
          <w:sz w:val="32"/>
          <w:szCs w:val="32"/>
        </w:rPr>
      </w:pPr>
    </w:p>
    <w:p w14:paraId="77628AAA">
      <w:pPr>
        <w:rPr>
          <w:rFonts w:hint="default" w:ascii="Times New Roman" w:hAnsi="Times New Roman" w:eastAsia="黑体" w:cs="Times New Roman"/>
          <w:sz w:val="32"/>
          <w:szCs w:val="32"/>
        </w:rPr>
      </w:pPr>
    </w:p>
    <w:p w14:paraId="3462E456">
      <w:pPr>
        <w:pStyle w:val="6"/>
        <w:ind w:left="0" w:leftChars="0" w:firstLine="0" w:firstLineChars="0"/>
        <w:jc w:val="left"/>
        <w:rPr>
          <w:rFonts w:hint="default" w:ascii="Times New Roman" w:hAnsi="Times New Roman" w:eastAsia="黑体" w:cs="Times New Roman"/>
          <w:sz w:val="32"/>
          <w:szCs w:val="32"/>
        </w:rPr>
      </w:pPr>
    </w:p>
    <w:p w14:paraId="5824C320">
      <w:pPr>
        <w:rPr>
          <w:rFonts w:hint="default" w:ascii="Times New Roman" w:hAnsi="Times New Roman" w:eastAsia="黑体" w:cs="Times New Roman"/>
          <w:sz w:val="32"/>
          <w:szCs w:val="32"/>
        </w:rPr>
      </w:pPr>
    </w:p>
    <w:p w14:paraId="1DA49DEB">
      <w:pPr>
        <w:rPr>
          <w:rFonts w:hint="default" w:ascii="Times New Roman" w:hAnsi="Times New Roman" w:eastAsia="黑体" w:cs="Times New Roman"/>
          <w:sz w:val="32"/>
          <w:szCs w:val="32"/>
        </w:rPr>
      </w:pPr>
    </w:p>
    <w:p w14:paraId="425C3DC8">
      <w:pPr>
        <w:rPr>
          <w:rFonts w:hint="default" w:ascii="Times New Roman" w:hAnsi="Times New Roman" w:cs="Times New Roman"/>
        </w:rPr>
        <w:sectPr>
          <w:footerReference r:id="rId3" w:type="default"/>
          <w:pgSz w:w="11906" w:h="16838"/>
          <w:pgMar w:top="1474" w:right="1800" w:bottom="1587" w:left="1800" w:header="851" w:footer="992" w:gutter="0"/>
          <w:cols w:space="720" w:num="1"/>
          <w:rtlGutter w:val="0"/>
          <w:docGrid w:type="lines" w:linePitch="316" w:charSpace="0"/>
        </w:sectPr>
      </w:pPr>
    </w:p>
    <w:p w14:paraId="67D31785">
      <w:pPr>
        <w:pStyle w:val="6"/>
        <w:ind w:left="0" w:leftChars="0" w:firstLine="0" w:firstLineChars="0"/>
        <w:jc w:val="left"/>
        <w:rPr>
          <w:rFonts w:hint="default" w:ascii="Times New Roman" w:hAnsi="Times New Roman" w:cs="Times New Roma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03C0A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基层门诊统筹综合改革服务包（2025版）</w:t>
      </w:r>
    </w:p>
    <w:p w14:paraId="61DE5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14:paraId="20A45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一、基础服务包</w:t>
      </w:r>
    </w:p>
    <w:p w14:paraId="1CFBDD5F">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1.建立电子健康档案，实时动态更新签约居民健康管理和诊疗相关信息。</w:t>
      </w:r>
    </w:p>
    <w:p w14:paraId="12E49AC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2.明确家庭医生和联系人，由家庭医生通过电话、微信、信息平台等方式建立互动联系关系，指导和协助签约居民开展自我健康管理。</w:t>
      </w:r>
    </w:p>
    <w:p w14:paraId="4313793A">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提供健康指导服务，普及健康素养基本知识与技能（含减盐减油科普宣教内容），分类分步推动提供基础性、针对性、个性化的全民健康体检服务，指导居民定期体检，及时发现和预防疾病。针对辖区居民主要健康问题，基层医疗卫生机构每月至少举办1次健康知识讲座，并提前发布有关信息。</w:t>
      </w:r>
    </w:p>
    <w:p w14:paraId="14A18CEA">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4.提供预约诊疗服务。基层医疗卫生机构对有就医需求的签约居民提供门急诊预约服务，对急诊患者开辟绿色就医通道，对病情复杂且超出诊疗能力的，帮助预约上级医院转诊服务。</w:t>
      </w:r>
    </w:p>
    <w:p w14:paraId="66228928">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二、增值服务包</w:t>
      </w:r>
    </w:p>
    <w:p w14:paraId="3122B21B">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（一）公共卫生服务</w:t>
      </w:r>
    </w:p>
    <w:p w14:paraId="4D44EEC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慢病患者健康管理服务。为辖区高血压、2型糖尿病、慢阻肺病、肺结核、严重精神障碍等慢病患者提供4次面对面随访服务，包括血压、血糖、身高、体重、心率、皮肤、浅表淋巴结、心脏、肺部、腹部等常规检查，口腔、视力、听力、运动功能判断，指导规范服药，并综合评估是否存在危急情况，对危急情况者提供转诊服务。</w:t>
      </w:r>
    </w:p>
    <w:p w14:paraId="7BAFD87C">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2.老年人健康管理服务。为辖区65岁以上老年人提供1次健康管理服务，包括生活方式和健康状况评估、体格检查、血常规、尿常规、肝功能、肾功能、空腹血糖、血脂四项、心电图、腹部B超等常规检查，并告知评价结果，进行相应健康指导。提供1次中医药健康管理服务，包括中医体质辨识和中医药保健指导等。</w:t>
      </w:r>
      <w:r>
        <w:rPr>
          <w:rFonts w:hint="default" w:ascii="Times New Roman" w:hAnsi="Times New Roman" w:eastAsia="仿宋_GB2312" w:cs="Times New Roman"/>
          <w:lang w:val="en-US" w:eastAsia="zh-CN"/>
        </w:rPr>
        <w:t>对80岁以上老年人开展上门健康随访至少1次，提供药学、护理等服务。</w:t>
      </w:r>
    </w:p>
    <w:p w14:paraId="19E9146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3.0—6岁儿童健康管理服务。为辖区新生儿提供家庭访视和满月健康管理，重点询问和观察喂养、睡眠、大小便、黄疸、口腔发育等情况；为婴幼儿提供健康管理服务，分别在3、6、8、12、18、24、30、36月龄提供8次随访服务，在6—8、18、30月龄时分别进行1次血常规检测服务，在6、12、24、36月龄时分别进行1次听力筛查；为学龄前儿童提供1次健康管理服务，包括体格检查、心理行为发育评估、血常规检测和视力筛查，进行合理膳食、生长发育、疾病预防、口腔保健等健康指导。在6、12、18、24、30月龄时，对儿童家长进行儿童中医药健康指导。</w:t>
      </w:r>
    </w:p>
    <w:p w14:paraId="6FA5CE5B">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4.0—6岁儿童预防接种服务。为辖区0—6岁儿童建立预防接种档案，根据国家免疫规划疫苗免疫程序，采取预约、通知单、电话、手机短信、网络、广播通知等适宜方式，通知相关人群按时接种疫苗。发现疑似预防接种异常反应，接种人员应按照《全国疑似预防接种异常反应监测方案》要求进行处理和报告。</w:t>
      </w:r>
    </w:p>
    <w:p w14:paraId="24D78831">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孕产妇健康管理服务。为辖区孕产妇提供孕早、中、晚期健康管理服务，建立母子健康手册，进行产前检查和健康状况评估，提供一般体检、妇科检查和血常规、尿常规、血型、肝功能、肾功能、乙型肝炎等常规检测服务；提供产后访视和产后42天健康检查服务，评估产妇恢复情况，指导母乳喂养、新生儿护理、产褥期保健、心理保健、预防生殖道感染、产妇和婴幼儿营养等。</w:t>
      </w:r>
    </w:p>
    <w:p w14:paraId="2FF05073">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（二）普通门诊诊疗服务</w:t>
      </w:r>
    </w:p>
    <w:p w14:paraId="49B5AF72">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1.挂号（含线上预约）；</w:t>
      </w:r>
    </w:p>
    <w:p w14:paraId="673EAE1F">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2.建立电子病历，核实就诊者信息，询问病情，听取主诉，病史采集；</w:t>
      </w:r>
    </w:p>
    <w:p w14:paraId="7F014871">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3.一般体格检查，包括体温、脉搏、呼吸、血压、皮肤、头颈、胸部、腹部、四肢、关节等常规检查；</w:t>
      </w:r>
    </w:p>
    <w:p w14:paraId="64DB7C48">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4.开具检查单，根据病情提供治疗方案；</w:t>
      </w:r>
    </w:p>
    <w:p w14:paraId="7F34E89F">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5.根据治疗方案提供注射服务；</w:t>
      </w:r>
    </w:p>
    <w:p w14:paraId="27198764">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6.除特定政策清单项目外的基本</w:t>
      </w:r>
      <w:r>
        <w:rPr>
          <w:rFonts w:hint="default" w:ascii="Times New Roman" w:hAnsi="Times New Roman" w:eastAsia="仿宋_GB2312" w:cs="Times New Roman"/>
          <w:lang w:val="en-US"/>
        </w:rPr>
        <w:t>医保</w:t>
      </w:r>
      <w:r>
        <w:rPr>
          <w:rFonts w:hint="default" w:ascii="Times New Roman" w:hAnsi="Times New Roman" w:eastAsia="仿宋_GB2312" w:cs="Times New Roman"/>
        </w:rPr>
        <w:t>目录</w:t>
      </w:r>
      <w:r>
        <w:rPr>
          <w:rFonts w:hint="default" w:ascii="Times New Roman" w:hAnsi="Times New Roman" w:eastAsia="仿宋_GB2312" w:cs="Times New Roman"/>
          <w:lang w:val="en-US"/>
        </w:rPr>
        <w:t>内项目</w:t>
      </w:r>
      <w:r>
        <w:rPr>
          <w:rFonts w:hint="default" w:ascii="Times New Roman" w:hAnsi="Times New Roman" w:eastAsia="仿宋_GB2312" w:cs="Times New Roman"/>
        </w:rPr>
        <w:t>；</w:t>
      </w:r>
    </w:p>
    <w:p w14:paraId="24FD28FB">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7.特定政策清单项目：</w:t>
      </w:r>
    </w:p>
    <w:p w14:paraId="3EDB4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（1）常用药品不低于20种</w:t>
      </w:r>
      <w:r>
        <w:rPr>
          <w:rFonts w:hint="default" w:ascii="Times New Roman" w:hAnsi="Times New Roman" w:eastAsia="仿宋_GB2312" w:cs="Times New Roman"/>
          <w:sz w:val="32"/>
          <w:szCs w:val="32"/>
          <w:lang w:val="en-US" w:eastAsia="zh-CN"/>
        </w:rPr>
        <w:t>（具体见附件3）</w:t>
      </w:r>
      <w:r>
        <w:rPr>
          <w:rFonts w:hint="default" w:ascii="Times New Roman" w:hAnsi="Times New Roman" w:eastAsia="仿宋_GB2312" w:cs="Times New Roman"/>
          <w:sz w:val="32"/>
          <w:szCs w:val="32"/>
        </w:rPr>
        <w:t>。包括但不限于高血压、糖尿病、慢性呼吸系统疾病、上呼吸道感染、腹泻等常见疾病的常用化学药品。根据</w:t>
      </w:r>
      <w:r>
        <w:rPr>
          <w:rFonts w:hint="default" w:ascii="Times New Roman" w:hAnsi="Times New Roman" w:eastAsia="仿宋_GB2312" w:cs="Times New Roman"/>
          <w:sz w:val="32"/>
          <w:szCs w:val="32"/>
          <w:lang w:val="en-US" w:eastAsia="zh-CN"/>
        </w:rPr>
        <w:t>我县</w:t>
      </w:r>
      <w:r>
        <w:rPr>
          <w:rFonts w:hint="default" w:ascii="Times New Roman" w:hAnsi="Times New Roman" w:eastAsia="仿宋_GB2312" w:cs="Times New Roman"/>
          <w:sz w:val="32"/>
          <w:szCs w:val="32"/>
        </w:rPr>
        <w:t>疾病谱、基层合理用药指南等，从国家基本药物、医保目录甲类药品、国家集采药品中遴选并制定常用药品目录，县域内县乡村医疗卫生机构均按要求配备使用。</w:t>
      </w:r>
    </w:p>
    <w:p w14:paraId="641B1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（2）常规项目10项。①尿常规检查；②粪便常规检查；③ABO红细胞定型；④血细胞分析；⑤葡萄糖测定；⑥糖化血红蛋白测定；⑦血脂两项测定；⑧常规心电图检查；⑨小清创缝合；⑩小换药。</w:t>
      </w:r>
    </w:p>
    <w:p w14:paraId="7796E0A9">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三、个性化服务包</w:t>
      </w:r>
    </w:p>
    <w:p w14:paraId="1994A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zh-CN" w:eastAsia="zh-CN" w:bidi="ar-SA"/>
        </w:rPr>
        <w:t>（一）老年人健康包。</w:t>
      </w:r>
      <w:r>
        <w:rPr>
          <w:rFonts w:hint="default" w:ascii="Times New Roman" w:hAnsi="Times New Roman" w:eastAsia="仿宋_GB2312" w:cs="Times New Roman"/>
          <w:sz w:val="32"/>
          <w:szCs w:val="32"/>
        </w:rPr>
        <w:t>包括上门巡诊，血常规、尿常规、肝功能、肾功能、血脂、肿瘤五项、血糖检测，心电图检查，眼底镜检查，胸部透视（只曝光，不出片），颈动脉彩超检查，肝、胆、脾、胰腺、双肾彩超检查（女性可增加子宫、附件彩超检查；男性可增加膀胱、前列腺彩超检查），体质辨识与指导、艾灸、拔罐、推拿、刮痧、耳穴埋豆、穴位贴敷等。</w:t>
      </w:r>
    </w:p>
    <w:p w14:paraId="0DF88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楷体_GB2312" w:cs="Times New Roman"/>
          <w:kern w:val="2"/>
          <w:sz w:val="32"/>
          <w:szCs w:val="32"/>
          <w:lang w:val="zh-CN" w:eastAsia="zh-CN" w:bidi="ar-SA"/>
        </w:rPr>
        <w:t>（二）儿童健康包。</w:t>
      </w:r>
      <w:r>
        <w:rPr>
          <w:rFonts w:hint="default" w:ascii="Times New Roman" w:hAnsi="Times New Roman" w:eastAsia="仿宋_GB2312" w:cs="Times New Roman"/>
          <w:sz w:val="32"/>
          <w:szCs w:val="32"/>
        </w:rPr>
        <w:t>包括皮肤、五官、心肺、腹部、四肢等体格检查，身高、体重、头围、骨密度测定等生长发育评估，微量元素六项、眼视力、IG蛋白全套、贫血四项检查，中医辨证论治与膳食调理、摩腹、捏脊、穴位按揉等。</w:t>
      </w:r>
    </w:p>
    <w:p w14:paraId="7DD68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zh-CN" w:eastAsia="zh-CN" w:bidi="ar-SA"/>
        </w:rPr>
        <w:t>（三）孕产妇健康包。</w:t>
      </w:r>
      <w:r>
        <w:rPr>
          <w:rFonts w:hint="default" w:ascii="Times New Roman" w:hAnsi="Times New Roman" w:eastAsia="仿宋_GB2312" w:cs="Times New Roman"/>
          <w:sz w:val="32"/>
          <w:szCs w:val="32"/>
        </w:rPr>
        <w:t>包括血压、体重、宫高腹围监测，血型、血常规、凝血五项、尿常规、肝功能、肾功能、胎心监测、糖耐量、血糖检测，B超、心电图检查，中医辨证论治与膳食调理、针灸、穴位按摩等。</w:t>
      </w:r>
    </w:p>
    <w:p w14:paraId="1520B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zh-CN" w:eastAsia="zh-CN" w:bidi="ar-SA"/>
        </w:rPr>
      </w:pPr>
      <w:r>
        <w:rPr>
          <w:rFonts w:hint="default" w:ascii="Times New Roman" w:hAnsi="Times New Roman" w:eastAsia="楷体_GB2312" w:cs="Times New Roman"/>
          <w:kern w:val="2"/>
          <w:sz w:val="32"/>
          <w:szCs w:val="32"/>
          <w:lang w:val="zh-CN" w:eastAsia="zh-CN" w:bidi="ar-SA"/>
        </w:rPr>
        <w:t>（四）慢病管理包</w:t>
      </w:r>
    </w:p>
    <w:p w14:paraId="4357B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血压管理服务包。包括上门巡诊，血常规、尿常规、肝功能、肾功能、血脂、血糖检测，眼底检查，心电图检查，心脏、颈部血管彩超检查，体质辨识与指导、艾灸、拔罐、推拿、刮痧、耳穴埋豆、穴位贴敷等。</w:t>
      </w:r>
    </w:p>
    <w:p w14:paraId="7B1BF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糖尿病管理服务包。包括上门巡诊，血糖、血常规、尿常规、肝功能、肾功能、血脂检测，尿蛋白定量、糖化血红蛋白检测，眼底检查，心电图检查，肝、胆、脾、胰腺、双肾彩超检查，双下肢血管彩色多普勒检查，双下肢自主神经功能检查，颈部血管、心脏彩超检查，体质辨识与指导、艾灸、拔罐、推拿、刮痧、耳穴埋豆、穴位贴敷等。</w:t>
      </w:r>
    </w:p>
    <w:p w14:paraId="55ACE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慢阻肺病管理服务包。包括痰培养，血常规检查，肺通气功能检测，胸部透视，心电图检查，脉氧饱和度测定，血气分析，指导呼吸技巧、体位排痰、有氧运动、肌肉力量等呼吸康复训练，氧疗，针灸、推拿、艾灸、食疗等中医肺康复疗法。</w:t>
      </w:r>
    </w:p>
    <w:p w14:paraId="150A4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肺结核管理服务包。为65岁以上老年人和糖尿病患者，提供1次胸部影像学检查。为辖区内确诊的常住肺结核患者，按照《肺结核患者健康管理服务规范》，提供筛查、推介转诊、入户随访、督导服药、结案评估等健康管理服务。</w:t>
      </w:r>
    </w:p>
    <w:p w14:paraId="3FFD1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zh-CN" w:eastAsia="zh-CN" w:bidi="ar-SA"/>
        </w:rPr>
      </w:pPr>
      <w:r>
        <w:rPr>
          <w:rFonts w:hint="default" w:ascii="Times New Roman" w:hAnsi="Times New Roman" w:eastAsia="楷体_GB2312" w:cs="Times New Roman"/>
          <w:kern w:val="2"/>
          <w:sz w:val="32"/>
          <w:szCs w:val="32"/>
          <w:lang w:val="zh-CN" w:eastAsia="zh-CN" w:bidi="ar-SA"/>
        </w:rPr>
        <w:t>（五）医疗康复服务包</w:t>
      </w:r>
    </w:p>
    <w:p w14:paraId="6601B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1.肿瘤患者康复服务包。包括上门随访，尿常规、肝肾功能检查，心电图、彩超检查，安宁疗护服务等。</w:t>
      </w:r>
    </w:p>
    <w:p w14:paraId="49C65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2.脑卒中患者康复服务包。包括上门随访，尿常规、肝肾功能检查，心电图、彩超检查，帮助指导自理能力、运动功能恢复等。</w:t>
      </w:r>
    </w:p>
    <w:p w14:paraId="5201B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3.严重精神障碍康复服务包。包括上门随访，体重、血压、尿常规、肝肾功能检测，心电图、B 超检查，指导患者居家康复和应急处置等。</w:t>
      </w:r>
    </w:p>
    <w:p w14:paraId="495FA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（六）上门服务包。为行动不便、卧床患者提供上门诊疗服务，为年老体弱、行动不便、卧床等有需要的两病、特门、双通道患者提供上门送药、护理、康复等服务。</w:t>
      </w:r>
    </w:p>
    <w:p w14:paraId="0AB28EFE">
      <w:pPr>
        <w:pStyle w:val="7"/>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lang w:val="en-US" w:eastAsia="zh-CN"/>
        </w:rPr>
      </w:pPr>
    </w:p>
    <w:p w14:paraId="54275AA9">
      <w:pPr>
        <w:pStyle w:val="7"/>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lang w:val="en-US" w:eastAsia="zh-CN"/>
        </w:rPr>
      </w:pPr>
    </w:p>
    <w:p w14:paraId="665A3C52">
      <w:pPr>
        <w:pStyle w:val="7"/>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lang w:val="en-US" w:eastAsia="zh-CN"/>
        </w:rPr>
        <w:sectPr>
          <w:pgSz w:w="11906" w:h="16838"/>
          <w:pgMar w:top="1474" w:right="1800" w:bottom="1587" w:left="1800" w:header="851" w:footer="992" w:gutter="0"/>
          <w:cols w:space="720" w:num="1"/>
          <w:rtlGutter w:val="0"/>
          <w:docGrid w:type="lines" w:linePitch="316" w:charSpace="0"/>
        </w:sectPr>
      </w:pPr>
    </w:p>
    <w:p w14:paraId="77D47C72">
      <w:pPr>
        <w:pStyle w:val="6"/>
        <w:ind w:left="0" w:leftChars="0" w:firstLine="0" w:firstLineChars="0"/>
        <w:jc w:val="left"/>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79B61CB2">
      <w:pPr>
        <w:pStyle w:val="13"/>
        <w:keepNext/>
        <w:keepLines/>
        <w:spacing w:after="0" w:line="360" w:lineRule="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基层门诊统筹综合改革</w:t>
      </w:r>
      <w:r>
        <w:rPr>
          <w:rFonts w:hint="default" w:ascii="Times New Roman" w:hAnsi="Times New Roman" w:eastAsia="方正小标宋_GBK" w:cs="Times New Roman"/>
          <w:sz w:val="44"/>
          <w:szCs w:val="44"/>
          <w:lang w:val="en-US" w:eastAsia="zh-CN"/>
        </w:rPr>
        <w:t>基本</w:t>
      </w:r>
      <w:r>
        <w:rPr>
          <w:rFonts w:hint="default" w:ascii="Times New Roman" w:hAnsi="Times New Roman" w:eastAsia="方正小标宋_GBK" w:cs="Times New Roman"/>
          <w:sz w:val="44"/>
          <w:szCs w:val="44"/>
          <w:lang w:val="en-US"/>
        </w:rPr>
        <w:t>评估指标体系</w:t>
      </w:r>
    </w:p>
    <w:tbl>
      <w:tblPr>
        <w:tblStyle w:val="9"/>
        <w:tblW w:w="10538" w:type="dxa"/>
        <w:jc w:val="center"/>
        <w:tblLayout w:type="fixed"/>
        <w:tblCellMar>
          <w:top w:w="0" w:type="dxa"/>
          <w:left w:w="0" w:type="dxa"/>
          <w:bottom w:w="0" w:type="dxa"/>
          <w:right w:w="0" w:type="dxa"/>
        </w:tblCellMar>
      </w:tblPr>
      <w:tblGrid>
        <w:gridCol w:w="627"/>
        <w:gridCol w:w="1289"/>
        <w:gridCol w:w="750"/>
        <w:gridCol w:w="2070"/>
        <w:gridCol w:w="5802"/>
      </w:tblGrid>
      <w:tr w14:paraId="098FF444">
        <w:tblPrEx>
          <w:tblCellMar>
            <w:top w:w="0" w:type="dxa"/>
            <w:left w:w="0" w:type="dxa"/>
            <w:bottom w:w="0" w:type="dxa"/>
            <w:right w:w="0" w:type="dxa"/>
          </w:tblCellMar>
        </w:tblPrEx>
        <w:trPr>
          <w:trHeight w:val="488" w:hRule="exact"/>
          <w:tblHeader/>
          <w:jc w:val="center"/>
        </w:trPr>
        <w:tc>
          <w:tcPr>
            <w:tcW w:w="627" w:type="dxa"/>
            <w:tcBorders>
              <w:top w:val="single" w:color="auto" w:sz="4" w:space="0"/>
              <w:left w:val="single" w:color="auto" w:sz="4" w:space="0"/>
              <w:bottom w:val="single" w:color="auto" w:sz="4" w:space="0"/>
            </w:tcBorders>
            <w:shd w:val="clear" w:color="auto" w:fill="FFFFFF"/>
            <w:noWrap w:val="0"/>
            <w:vAlign w:val="center"/>
          </w:tcPr>
          <w:p w14:paraId="44482655">
            <w:pPr>
              <w:pStyle w:val="14"/>
              <w:spacing w:line="240" w:lineRule="auto"/>
              <w:ind w:firstLine="0"/>
              <w:jc w:val="center"/>
              <w:rPr>
                <w:rFonts w:hint="default" w:ascii="Times New Roman" w:hAnsi="Times New Roman" w:eastAsia="黑体" w:cs="Times New Roman"/>
                <w:sz w:val="21"/>
                <w:szCs w:val="21"/>
                <w:lang w:val="en-US"/>
              </w:rPr>
            </w:pPr>
            <w:r>
              <w:rPr>
                <w:rFonts w:hint="default" w:ascii="Times New Roman" w:hAnsi="Times New Roman" w:eastAsia="黑体" w:cs="Times New Roman"/>
                <w:sz w:val="21"/>
                <w:szCs w:val="21"/>
                <w:lang w:val="en-US"/>
              </w:rPr>
              <w:t>序号</w:t>
            </w:r>
          </w:p>
        </w:tc>
        <w:tc>
          <w:tcPr>
            <w:tcW w:w="1289" w:type="dxa"/>
            <w:tcBorders>
              <w:top w:val="single" w:color="auto" w:sz="4" w:space="0"/>
              <w:left w:val="single" w:color="auto" w:sz="4" w:space="0"/>
              <w:bottom w:val="single" w:color="auto" w:sz="4" w:space="0"/>
            </w:tcBorders>
            <w:shd w:val="clear" w:color="auto" w:fill="FFFFFF"/>
            <w:noWrap w:val="0"/>
            <w:vAlign w:val="center"/>
          </w:tcPr>
          <w:p w14:paraId="25A9A62C">
            <w:pPr>
              <w:pStyle w:val="14"/>
              <w:spacing w:line="240" w:lineRule="auto"/>
              <w:ind w:firstLine="0"/>
              <w:jc w:val="center"/>
              <w:rPr>
                <w:rFonts w:hint="default" w:ascii="Times New Roman" w:hAnsi="Times New Roman" w:eastAsia="黑体" w:cs="Times New Roman"/>
                <w:sz w:val="21"/>
                <w:szCs w:val="21"/>
                <w:lang w:val="en-US"/>
              </w:rPr>
            </w:pPr>
            <w:r>
              <w:rPr>
                <w:rFonts w:hint="default" w:ascii="Times New Roman" w:hAnsi="Times New Roman" w:eastAsia="黑体" w:cs="Times New Roman"/>
                <w:sz w:val="21"/>
                <w:szCs w:val="21"/>
                <w:lang w:val="en-US"/>
              </w:rPr>
              <w:t>考核</w:t>
            </w:r>
            <w:r>
              <w:rPr>
                <w:rFonts w:hint="default" w:ascii="Times New Roman" w:hAnsi="Times New Roman" w:eastAsia="黑体" w:cs="Times New Roman"/>
                <w:sz w:val="21"/>
                <w:szCs w:val="21"/>
              </w:rPr>
              <w:t>指标</w:t>
            </w:r>
          </w:p>
        </w:tc>
        <w:tc>
          <w:tcPr>
            <w:tcW w:w="750" w:type="dxa"/>
            <w:tcBorders>
              <w:top w:val="single" w:color="auto" w:sz="4" w:space="0"/>
              <w:left w:val="single" w:color="auto" w:sz="4" w:space="0"/>
              <w:bottom w:val="single" w:color="auto" w:sz="4" w:space="0"/>
            </w:tcBorders>
            <w:shd w:val="clear" w:color="auto" w:fill="FFFFFF"/>
            <w:noWrap w:val="0"/>
            <w:vAlign w:val="center"/>
          </w:tcPr>
          <w:p w14:paraId="3B80BFDE">
            <w:pPr>
              <w:pStyle w:val="14"/>
              <w:spacing w:line="240" w:lineRule="auto"/>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分值</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419E25">
            <w:pPr>
              <w:pStyle w:val="14"/>
              <w:spacing w:line="240" w:lineRule="auto"/>
              <w:ind w:firstLine="0"/>
              <w:jc w:val="center"/>
              <w:rPr>
                <w:rFonts w:hint="default" w:ascii="Times New Roman" w:hAnsi="Times New Roman" w:eastAsia="黑体" w:cs="Times New Roman"/>
                <w:sz w:val="21"/>
                <w:szCs w:val="21"/>
                <w:lang w:val="en-US"/>
              </w:rPr>
            </w:pPr>
            <w:r>
              <w:rPr>
                <w:rFonts w:hint="default" w:ascii="Times New Roman" w:hAnsi="Times New Roman" w:eastAsia="黑体" w:cs="Times New Roman"/>
                <w:sz w:val="21"/>
                <w:szCs w:val="21"/>
                <w:lang w:val="en-US"/>
              </w:rPr>
              <w:t>计算公式</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E0CED0">
            <w:pPr>
              <w:pStyle w:val="14"/>
              <w:spacing w:line="240" w:lineRule="auto"/>
              <w:ind w:firstLine="0"/>
              <w:jc w:val="center"/>
              <w:rPr>
                <w:rFonts w:hint="default" w:ascii="Times New Roman" w:hAnsi="Times New Roman" w:eastAsia="黑体" w:cs="Times New Roman"/>
                <w:sz w:val="21"/>
                <w:szCs w:val="21"/>
                <w:lang w:val="en-US"/>
              </w:rPr>
            </w:pPr>
            <w:r>
              <w:rPr>
                <w:rFonts w:hint="default" w:ascii="Times New Roman" w:hAnsi="Times New Roman" w:eastAsia="黑体" w:cs="Times New Roman"/>
                <w:sz w:val="21"/>
                <w:szCs w:val="21"/>
                <w:lang w:val="en-US"/>
              </w:rPr>
              <w:t>评估标准</w:t>
            </w:r>
          </w:p>
        </w:tc>
      </w:tr>
      <w:tr w14:paraId="36CD3EA4">
        <w:tblPrEx>
          <w:tblCellMar>
            <w:top w:w="0" w:type="dxa"/>
            <w:left w:w="0" w:type="dxa"/>
            <w:bottom w:w="0" w:type="dxa"/>
            <w:right w:w="0" w:type="dxa"/>
          </w:tblCellMar>
        </w:tblPrEx>
        <w:trPr>
          <w:trHeight w:val="1349" w:hRule="exact"/>
          <w:jc w:val="center"/>
        </w:trPr>
        <w:tc>
          <w:tcPr>
            <w:tcW w:w="627" w:type="dxa"/>
            <w:tcBorders>
              <w:top w:val="single" w:color="auto" w:sz="4" w:space="0"/>
              <w:left w:val="single" w:color="auto" w:sz="4" w:space="0"/>
            </w:tcBorders>
            <w:shd w:val="clear" w:color="auto" w:fill="FFFFFF"/>
            <w:noWrap w:val="0"/>
            <w:vAlign w:val="center"/>
          </w:tcPr>
          <w:p w14:paraId="1E7A1756">
            <w:pPr>
              <w:pStyle w:val="14"/>
              <w:spacing w:line="240" w:lineRule="auto"/>
              <w:ind w:firstLine="0"/>
              <w:jc w:val="center"/>
              <w:rPr>
                <w:rFonts w:hint="default" w:ascii="Times New Roman" w:hAnsi="Times New Roman" w:cs="Times New Roman"/>
                <w:lang w:val="en-US"/>
              </w:rPr>
            </w:pPr>
            <w:r>
              <w:rPr>
                <w:rFonts w:hint="default" w:ascii="Times New Roman" w:hAnsi="Times New Roman" w:cs="Times New Roman"/>
                <w:lang w:val="en-US"/>
              </w:rPr>
              <w:t>1</w:t>
            </w:r>
          </w:p>
        </w:tc>
        <w:tc>
          <w:tcPr>
            <w:tcW w:w="1289" w:type="dxa"/>
            <w:tcBorders>
              <w:top w:val="single" w:color="auto" w:sz="4" w:space="0"/>
              <w:left w:val="single" w:color="auto" w:sz="4" w:space="0"/>
            </w:tcBorders>
            <w:shd w:val="clear" w:color="auto" w:fill="FFFFFF"/>
            <w:noWrap w:val="0"/>
            <w:vAlign w:val="center"/>
          </w:tcPr>
          <w:p w14:paraId="5856235C">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cs="Times New Roman"/>
                <w:lang w:val="en-US"/>
              </w:rPr>
              <w:t>签约参保</w:t>
            </w:r>
            <w:r>
              <w:rPr>
                <w:rFonts w:hint="default" w:ascii="Times New Roman" w:hAnsi="Times New Roman" w:cs="Times New Roman"/>
                <w:lang w:val="en-US" w:eastAsia="zh-CN"/>
              </w:rPr>
              <w:t>人</w:t>
            </w:r>
            <w:r>
              <w:rPr>
                <w:rFonts w:hint="default" w:ascii="Times New Roman" w:hAnsi="Times New Roman" w:cs="Times New Roman"/>
              </w:rPr>
              <w:t>普通门诊个人负担比例</w:t>
            </w:r>
          </w:p>
        </w:tc>
        <w:tc>
          <w:tcPr>
            <w:tcW w:w="750" w:type="dxa"/>
            <w:tcBorders>
              <w:top w:val="single" w:color="auto" w:sz="4" w:space="0"/>
              <w:left w:val="single" w:color="auto" w:sz="4" w:space="0"/>
            </w:tcBorders>
            <w:shd w:val="clear" w:color="auto" w:fill="FFFFFF"/>
            <w:noWrap w:val="0"/>
            <w:vAlign w:val="center"/>
          </w:tcPr>
          <w:p w14:paraId="1F493B93">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r>
              <w:rPr>
                <w:rFonts w:hint="default" w:ascii="Times New Roman" w:hAnsi="Times New Roman" w:cs="Times New Roman"/>
                <w:lang w:val="en-US"/>
              </w:rPr>
              <w:t>15</w:t>
            </w:r>
          </w:p>
        </w:tc>
        <w:tc>
          <w:tcPr>
            <w:tcW w:w="2070" w:type="dxa"/>
            <w:tcBorders>
              <w:top w:val="single" w:color="auto" w:sz="4" w:space="0"/>
              <w:left w:val="single" w:color="auto" w:sz="4" w:space="0"/>
              <w:right w:val="single" w:color="auto" w:sz="4" w:space="0"/>
            </w:tcBorders>
            <w:shd w:val="clear" w:color="auto" w:fill="FFFFFF"/>
            <w:noWrap w:val="0"/>
            <w:vAlign w:val="center"/>
          </w:tcPr>
          <w:p w14:paraId="2D3453A8">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cs="Times New Roman"/>
                <w:lang w:val="en-US"/>
              </w:rPr>
              <w:t>签约参保</w:t>
            </w:r>
            <w:r>
              <w:rPr>
                <w:rFonts w:hint="default" w:ascii="Times New Roman" w:hAnsi="Times New Roman" w:cs="Times New Roman"/>
                <w:lang w:val="en-US" w:eastAsia="zh-CN"/>
              </w:rPr>
              <w:t>人</w:t>
            </w:r>
            <w:r>
              <w:rPr>
                <w:rFonts w:hint="default" w:ascii="Times New Roman" w:hAnsi="Times New Roman" w:cs="Times New Roman"/>
                <w:lang w:val="en-US"/>
              </w:rPr>
              <w:t>普通门诊个人负担金额（含个人账户支出）/签约参保</w:t>
            </w:r>
            <w:r>
              <w:rPr>
                <w:rFonts w:hint="default" w:ascii="Times New Roman" w:hAnsi="Times New Roman" w:cs="Times New Roman"/>
                <w:lang w:val="en-US" w:eastAsia="zh-CN"/>
              </w:rPr>
              <w:t>人</w:t>
            </w:r>
            <w:r>
              <w:rPr>
                <w:rFonts w:hint="default" w:ascii="Times New Roman" w:hAnsi="Times New Roman" w:cs="Times New Roman"/>
                <w:lang w:val="en-US"/>
              </w:rPr>
              <w:t>普通门诊总医疗费用</w:t>
            </w:r>
            <w:r>
              <w:rPr>
                <w:rFonts w:hint="default" w:ascii="Times New Roman" w:hAnsi="Times New Roman" w:cs="Times New Roman"/>
                <w:lang w:val="en-US" w:eastAsia="zh-CN"/>
              </w:rPr>
              <w:t>。</w:t>
            </w:r>
          </w:p>
        </w:tc>
        <w:tc>
          <w:tcPr>
            <w:tcW w:w="5802" w:type="dxa"/>
            <w:tcBorders>
              <w:top w:val="single" w:color="auto" w:sz="4" w:space="0"/>
              <w:left w:val="single" w:color="auto" w:sz="4" w:space="0"/>
              <w:right w:val="single" w:color="auto" w:sz="4" w:space="0"/>
            </w:tcBorders>
            <w:shd w:val="clear" w:color="auto" w:fill="FFFFFF"/>
            <w:noWrap w:val="0"/>
            <w:vAlign w:val="center"/>
          </w:tcPr>
          <w:p w14:paraId="4E530566">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lang w:val="en-US"/>
              </w:rPr>
            </w:pPr>
            <w:r>
              <w:rPr>
                <w:rFonts w:hint="default" w:ascii="Times New Roman" w:hAnsi="Times New Roman" w:cs="Times New Roman"/>
                <w:lang w:val="en-US"/>
              </w:rPr>
              <w:t>以县域内签约参保</w:t>
            </w:r>
            <w:r>
              <w:rPr>
                <w:rFonts w:hint="default" w:ascii="Times New Roman" w:hAnsi="Times New Roman" w:cs="Times New Roman"/>
                <w:lang w:val="en-US" w:eastAsia="zh-CN"/>
              </w:rPr>
              <w:t>人</w:t>
            </w:r>
            <w:r>
              <w:rPr>
                <w:rFonts w:hint="default" w:ascii="Times New Roman" w:hAnsi="Times New Roman" w:cs="Times New Roman"/>
                <w:lang w:val="en-US"/>
              </w:rPr>
              <w:t>平均个人负担比例为基准值，基准分7分。每低于基准值0.5个百分点，在基准分上加1分（不足0.5个百分点的不计算加分），累计最高不超过15分。每高于基准值0.5个百分点，在基准份上扣1分（不足0.5个百分点的不计算扣分），扣完为止。</w:t>
            </w:r>
          </w:p>
        </w:tc>
      </w:tr>
      <w:tr w14:paraId="101BB2E0">
        <w:tblPrEx>
          <w:tblCellMar>
            <w:top w:w="0" w:type="dxa"/>
            <w:left w:w="0" w:type="dxa"/>
            <w:bottom w:w="0" w:type="dxa"/>
            <w:right w:w="0" w:type="dxa"/>
          </w:tblCellMar>
        </w:tblPrEx>
        <w:trPr>
          <w:trHeight w:val="1393"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63B5D8">
            <w:pPr>
              <w:pStyle w:val="14"/>
              <w:spacing w:line="269" w:lineRule="exact"/>
              <w:ind w:firstLine="0"/>
              <w:jc w:val="center"/>
              <w:rPr>
                <w:rFonts w:hint="default" w:ascii="Times New Roman" w:hAnsi="Times New Roman" w:cs="Times New Roman"/>
                <w:lang w:val="en-US"/>
              </w:rPr>
            </w:pPr>
            <w:r>
              <w:rPr>
                <w:rFonts w:hint="default" w:ascii="Times New Roman" w:hAnsi="Times New Roman" w:cs="Times New Roman"/>
                <w:lang w:val="en-US"/>
              </w:rPr>
              <w:t>2</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03E8FB">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rPr>
              <w:t>签约</w:t>
            </w:r>
            <w:r>
              <w:rPr>
                <w:rFonts w:hint="default" w:ascii="Times New Roman" w:hAnsi="Times New Roman" w:cs="Times New Roman"/>
                <w:lang w:val="en-US"/>
              </w:rPr>
              <w:t>参保</w:t>
            </w:r>
            <w:r>
              <w:rPr>
                <w:rFonts w:hint="default" w:ascii="Times New Roman" w:hAnsi="Times New Roman" w:cs="Times New Roman"/>
                <w:lang w:val="en-US" w:eastAsia="zh-CN"/>
              </w:rPr>
              <w:t>人</w:t>
            </w:r>
            <w:r>
              <w:rPr>
                <w:rFonts w:hint="default" w:ascii="Times New Roman" w:hAnsi="Times New Roman" w:cs="Times New Roman"/>
              </w:rPr>
              <w:t>在签约医院门诊就诊率</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C340EC">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r>
              <w:rPr>
                <w:rFonts w:hint="default" w:ascii="Times New Roman" w:hAnsi="Times New Roman" w:cs="Times New Roman"/>
                <w:lang w:val="en-US"/>
              </w:rPr>
              <w:t>20</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6D026">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签约参保</w:t>
            </w:r>
            <w:r>
              <w:rPr>
                <w:rFonts w:hint="default" w:ascii="Times New Roman" w:hAnsi="Times New Roman" w:cs="Times New Roman"/>
                <w:lang w:val="en-US" w:eastAsia="zh-CN"/>
              </w:rPr>
              <w:t>人</w:t>
            </w:r>
            <w:r>
              <w:rPr>
                <w:rFonts w:hint="default" w:ascii="Times New Roman" w:hAnsi="Times New Roman" w:cs="Times New Roman"/>
                <w:lang w:val="en-US"/>
              </w:rPr>
              <w:t>年门诊就诊人次/签约参保</w:t>
            </w:r>
            <w:r>
              <w:rPr>
                <w:rFonts w:hint="default" w:ascii="Times New Roman" w:hAnsi="Times New Roman" w:cs="Times New Roman"/>
                <w:lang w:val="en-US" w:eastAsia="zh-CN"/>
              </w:rPr>
              <w:t>人</w:t>
            </w:r>
            <w:r>
              <w:rPr>
                <w:rFonts w:hint="default" w:ascii="Times New Roman" w:hAnsi="Times New Roman" w:cs="Times New Roman"/>
                <w:lang w:val="en-US"/>
              </w:rPr>
              <w:t>人数</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DE5034">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以县域内签约参保</w:t>
            </w:r>
            <w:r>
              <w:rPr>
                <w:rFonts w:hint="default" w:ascii="Times New Roman" w:hAnsi="Times New Roman" w:cs="Times New Roman"/>
                <w:lang w:val="en-US" w:eastAsia="zh-CN"/>
              </w:rPr>
              <w:t>人</w:t>
            </w:r>
            <w:r>
              <w:rPr>
                <w:rFonts w:hint="default" w:ascii="Times New Roman" w:hAnsi="Times New Roman" w:cs="Times New Roman"/>
                <w:lang w:val="en-US"/>
              </w:rPr>
              <w:t>平均门诊就诊率为基准值，基准分10分。每高于基准值0.5个百分点，在基准分上加1分（不足0.5个百分点的不计算加分），累计最高不超过20分。每低于基准值0.5个百分点，在基准份上扣1分（不足0.5个百分点的不计算扣分），扣完为止。</w:t>
            </w:r>
          </w:p>
        </w:tc>
      </w:tr>
      <w:tr w14:paraId="2AE6A089">
        <w:tblPrEx>
          <w:tblCellMar>
            <w:top w:w="0" w:type="dxa"/>
            <w:left w:w="0" w:type="dxa"/>
            <w:bottom w:w="0" w:type="dxa"/>
            <w:right w:w="0" w:type="dxa"/>
          </w:tblCellMar>
        </w:tblPrEx>
        <w:trPr>
          <w:trHeight w:val="1234" w:hRule="exact"/>
          <w:jc w:val="center"/>
        </w:trPr>
        <w:tc>
          <w:tcPr>
            <w:tcW w:w="627" w:type="dxa"/>
            <w:tcBorders>
              <w:top w:val="single" w:color="auto" w:sz="4" w:space="0"/>
              <w:left w:val="single" w:color="auto" w:sz="4" w:space="0"/>
              <w:bottom w:val="single" w:color="auto" w:sz="4" w:space="0"/>
            </w:tcBorders>
            <w:shd w:val="clear" w:color="auto" w:fill="FFFFFF"/>
            <w:noWrap w:val="0"/>
            <w:vAlign w:val="center"/>
          </w:tcPr>
          <w:p w14:paraId="3C9C7426">
            <w:pPr>
              <w:pStyle w:val="14"/>
              <w:spacing w:line="269" w:lineRule="exact"/>
              <w:ind w:firstLine="0"/>
              <w:jc w:val="center"/>
              <w:rPr>
                <w:rFonts w:hint="default" w:ascii="Times New Roman" w:hAnsi="Times New Roman" w:cs="Times New Roman"/>
                <w:lang w:val="en-US"/>
              </w:rPr>
            </w:pPr>
            <w:r>
              <w:rPr>
                <w:rFonts w:hint="default" w:ascii="Times New Roman" w:hAnsi="Times New Roman" w:cs="Times New Roman"/>
                <w:lang w:val="en-US"/>
              </w:rPr>
              <w:t>3</w:t>
            </w:r>
          </w:p>
        </w:tc>
        <w:tc>
          <w:tcPr>
            <w:tcW w:w="1289" w:type="dxa"/>
            <w:tcBorders>
              <w:top w:val="single" w:color="auto" w:sz="4" w:space="0"/>
              <w:left w:val="single" w:color="auto" w:sz="4" w:space="0"/>
              <w:bottom w:val="single" w:color="auto" w:sz="4" w:space="0"/>
            </w:tcBorders>
            <w:shd w:val="clear" w:color="auto" w:fill="FFFFFF"/>
            <w:noWrap w:val="0"/>
            <w:vAlign w:val="center"/>
          </w:tcPr>
          <w:p w14:paraId="47EC3AEE">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cs="Times New Roman"/>
                <w:lang w:val="en-US"/>
              </w:rPr>
              <w:t>有效签约率</w:t>
            </w:r>
          </w:p>
        </w:tc>
        <w:tc>
          <w:tcPr>
            <w:tcW w:w="750" w:type="dxa"/>
            <w:tcBorders>
              <w:top w:val="single" w:color="auto" w:sz="4" w:space="0"/>
              <w:left w:val="single" w:color="auto" w:sz="4" w:space="0"/>
              <w:bottom w:val="single" w:color="auto" w:sz="4" w:space="0"/>
            </w:tcBorders>
            <w:shd w:val="clear" w:color="auto" w:fill="FFFFFF"/>
            <w:noWrap w:val="0"/>
            <w:vAlign w:val="center"/>
          </w:tcPr>
          <w:p w14:paraId="476F4428">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r>
              <w:rPr>
                <w:rFonts w:hint="default" w:ascii="Times New Roman" w:hAnsi="Times New Roman" w:cs="Times New Roman"/>
                <w:lang w:val="en-US"/>
              </w:rPr>
              <w:t>20</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3FC5A2">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已完成“健康档案”和“一人一档”全民参保数据库建档的签约参保</w:t>
            </w:r>
            <w:r>
              <w:rPr>
                <w:rFonts w:hint="default" w:ascii="Times New Roman" w:hAnsi="Times New Roman" w:cs="Times New Roman"/>
                <w:lang w:val="en-US" w:eastAsia="zh-CN"/>
              </w:rPr>
              <w:t>人</w:t>
            </w:r>
            <w:r>
              <w:rPr>
                <w:rFonts w:hint="default" w:ascii="Times New Roman" w:hAnsi="Times New Roman" w:cs="Times New Roman"/>
                <w:lang w:val="en-US"/>
              </w:rPr>
              <w:t>人数/签约参保</w:t>
            </w:r>
            <w:r>
              <w:rPr>
                <w:rFonts w:hint="default" w:ascii="Times New Roman" w:hAnsi="Times New Roman" w:cs="Times New Roman"/>
                <w:lang w:val="en-US" w:eastAsia="zh-CN"/>
              </w:rPr>
              <w:t>人</w:t>
            </w:r>
            <w:r>
              <w:rPr>
                <w:rFonts w:hint="default" w:ascii="Times New Roman" w:hAnsi="Times New Roman" w:cs="Times New Roman"/>
                <w:lang w:val="en-US"/>
              </w:rPr>
              <w:t>人数</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42968">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以县域内签约参保</w:t>
            </w:r>
            <w:r>
              <w:rPr>
                <w:rFonts w:hint="default" w:ascii="Times New Roman" w:hAnsi="Times New Roman" w:cs="Times New Roman"/>
                <w:lang w:val="en-US" w:eastAsia="zh-CN"/>
              </w:rPr>
              <w:t>人</w:t>
            </w:r>
            <w:r>
              <w:rPr>
                <w:rFonts w:hint="default" w:ascii="Times New Roman" w:hAnsi="Times New Roman" w:cs="Times New Roman"/>
                <w:lang w:val="en-US"/>
              </w:rPr>
              <w:t>平均有效签约率为基准值，基准分10分。每高于基准值0.1个百分点，在基准分上加1分，累计最高不超过20分。每低于基准值0.1个百分点，在基准份上扣1分，扣完为止。</w:t>
            </w:r>
          </w:p>
        </w:tc>
      </w:tr>
      <w:tr w14:paraId="64FB78C4">
        <w:tblPrEx>
          <w:tblCellMar>
            <w:top w:w="0" w:type="dxa"/>
            <w:left w:w="0" w:type="dxa"/>
            <w:bottom w:w="0" w:type="dxa"/>
            <w:right w:w="0" w:type="dxa"/>
          </w:tblCellMar>
        </w:tblPrEx>
        <w:trPr>
          <w:trHeight w:val="858" w:hRule="exact"/>
          <w:jc w:val="center"/>
        </w:trPr>
        <w:tc>
          <w:tcPr>
            <w:tcW w:w="627" w:type="dxa"/>
            <w:tcBorders>
              <w:top w:val="single" w:color="auto" w:sz="4" w:space="0"/>
              <w:left w:val="single" w:color="auto" w:sz="4" w:space="0"/>
              <w:bottom w:val="single" w:color="auto" w:sz="4" w:space="0"/>
            </w:tcBorders>
            <w:shd w:val="clear" w:color="auto" w:fill="FFFFFF"/>
            <w:noWrap w:val="0"/>
            <w:vAlign w:val="center"/>
          </w:tcPr>
          <w:p w14:paraId="3FEE1EEE">
            <w:pPr>
              <w:pStyle w:val="14"/>
              <w:spacing w:line="269" w:lineRule="exact"/>
              <w:ind w:firstLine="0"/>
              <w:jc w:val="center"/>
              <w:rPr>
                <w:rFonts w:hint="default" w:ascii="Times New Roman" w:hAnsi="Times New Roman" w:cs="Times New Roman"/>
                <w:lang w:val="en-US"/>
              </w:rPr>
            </w:pPr>
            <w:r>
              <w:rPr>
                <w:rFonts w:hint="default" w:ascii="Times New Roman" w:hAnsi="Times New Roman" w:cs="Times New Roman"/>
                <w:lang w:val="en-US"/>
              </w:rPr>
              <w:t>4</w:t>
            </w:r>
          </w:p>
        </w:tc>
        <w:tc>
          <w:tcPr>
            <w:tcW w:w="1289" w:type="dxa"/>
            <w:tcBorders>
              <w:top w:val="single" w:color="auto" w:sz="4" w:space="0"/>
              <w:left w:val="single" w:color="auto" w:sz="4" w:space="0"/>
              <w:bottom w:val="single" w:color="auto" w:sz="4" w:space="0"/>
            </w:tcBorders>
            <w:shd w:val="clear" w:color="auto" w:fill="FFFFFF"/>
            <w:noWrap w:val="0"/>
            <w:vAlign w:val="center"/>
          </w:tcPr>
          <w:p w14:paraId="1FE95C20">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rPr>
              <w:t>特定清单</w:t>
            </w:r>
            <w:r>
              <w:rPr>
                <w:rFonts w:hint="default" w:ascii="Times New Roman" w:hAnsi="Times New Roman" w:cs="Times New Roman"/>
                <w:lang w:val="en-US"/>
              </w:rPr>
              <w:t>药品配备率</w:t>
            </w:r>
          </w:p>
        </w:tc>
        <w:tc>
          <w:tcPr>
            <w:tcW w:w="750" w:type="dxa"/>
            <w:tcBorders>
              <w:top w:val="single" w:color="auto" w:sz="4" w:space="0"/>
              <w:left w:val="single" w:color="auto" w:sz="4" w:space="0"/>
              <w:bottom w:val="single" w:color="auto" w:sz="4" w:space="0"/>
            </w:tcBorders>
            <w:shd w:val="clear" w:color="auto" w:fill="FFFFFF"/>
            <w:noWrap w:val="0"/>
            <w:vAlign w:val="center"/>
          </w:tcPr>
          <w:p w14:paraId="43724E37">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r>
              <w:rPr>
                <w:rFonts w:hint="default" w:ascii="Times New Roman" w:hAnsi="Times New Roman" w:cs="Times New Roman"/>
                <w:lang w:val="en-US"/>
              </w:rPr>
              <w:t>20</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B92A1B">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配备特定清单药品品种数量/规定的特定清单药品品种数量</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B7678">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shd w:val="clear" w:color="auto" w:fill="FFFFFF"/>
                <w:lang w:val="en-US"/>
              </w:rPr>
            </w:pPr>
            <w:r>
              <w:rPr>
                <w:rFonts w:hint="default" w:ascii="Times New Roman" w:hAnsi="Times New Roman" w:cs="Times New Roman"/>
                <w:shd w:val="clear" w:color="auto" w:fill="FFFFFF"/>
                <w:lang w:val="en-US"/>
              </w:rPr>
              <w:t>全部配齐得20分，每少1个品种扣1分，扣完为止。</w:t>
            </w:r>
          </w:p>
        </w:tc>
      </w:tr>
      <w:tr w14:paraId="1E3E5746">
        <w:tblPrEx>
          <w:tblCellMar>
            <w:top w:w="0" w:type="dxa"/>
            <w:left w:w="0" w:type="dxa"/>
            <w:bottom w:w="0" w:type="dxa"/>
            <w:right w:w="0" w:type="dxa"/>
          </w:tblCellMar>
        </w:tblPrEx>
        <w:trPr>
          <w:trHeight w:val="1243" w:hRule="exact"/>
          <w:jc w:val="center"/>
        </w:trPr>
        <w:tc>
          <w:tcPr>
            <w:tcW w:w="627" w:type="dxa"/>
            <w:tcBorders>
              <w:top w:val="single" w:color="auto" w:sz="4" w:space="0"/>
              <w:left w:val="single" w:color="auto" w:sz="4" w:space="0"/>
              <w:bottom w:val="single" w:color="auto" w:sz="4" w:space="0"/>
            </w:tcBorders>
            <w:shd w:val="clear" w:color="auto" w:fill="FFFFFF"/>
            <w:noWrap w:val="0"/>
            <w:vAlign w:val="center"/>
          </w:tcPr>
          <w:p w14:paraId="7A01D59E">
            <w:pPr>
              <w:pStyle w:val="14"/>
              <w:spacing w:line="240" w:lineRule="auto"/>
              <w:ind w:firstLine="0"/>
              <w:jc w:val="center"/>
              <w:rPr>
                <w:rFonts w:hint="default" w:ascii="Times New Roman" w:hAnsi="Times New Roman" w:cs="Times New Roman"/>
                <w:lang w:val="en-US"/>
              </w:rPr>
            </w:pPr>
            <w:r>
              <w:rPr>
                <w:rFonts w:hint="default" w:ascii="Times New Roman" w:hAnsi="Times New Roman" w:cs="Times New Roman"/>
                <w:lang w:val="en-US"/>
              </w:rPr>
              <w:t>5</w:t>
            </w:r>
          </w:p>
        </w:tc>
        <w:tc>
          <w:tcPr>
            <w:tcW w:w="1289" w:type="dxa"/>
            <w:tcBorders>
              <w:top w:val="single" w:color="auto" w:sz="4" w:space="0"/>
              <w:left w:val="single" w:color="auto" w:sz="4" w:space="0"/>
              <w:bottom w:val="single" w:color="auto" w:sz="4" w:space="0"/>
            </w:tcBorders>
            <w:shd w:val="clear" w:color="auto" w:fill="FFFFFF"/>
            <w:noWrap w:val="0"/>
            <w:vAlign w:val="center"/>
          </w:tcPr>
          <w:p w14:paraId="38D4424C">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cs="Times New Roman"/>
                <w:lang w:val="en-US"/>
              </w:rPr>
              <w:t>村卫生室一体化管理</w:t>
            </w:r>
          </w:p>
        </w:tc>
        <w:tc>
          <w:tcPr>
            <w:tcW w:w="750" w:type="dxa"/>
            <w:tcBorders>
              <w:top w:val="single" w:color="auto" w:sz="4" w:space="0"/>
              <w:left w:val="single" w:color="auto" w:sz="4" w:space="0"/>
              <w:bottom w:val="single" w:color="auto" w:sz="4" w:space="0"/>
            </w:tcBorders>
            <w:shd w:val="clear" w:color="auto" w:fill="FFFFFF"/>
            <w:noWrap w:val="0"/>
            <w:vAlign w:val="center"/>
          </w:tcPr>
          <w:p w14:paraId="76103278">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r>
              <w:rPr>
                <w:rFonts w:hint="default" w:ascii="Times New Roman" w:hAnsi="Times New Roman" w:cs="Times New Roman"/>
                <w:lang w:val="en-US"/>
              </w:rPr>
              <w:t>10</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5285E8">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lang w:val="en-US"/>
              </w:rPr>
            </w:pPr>
            <w:r>
              <w:rPr>
                <w:rFonts w:hint="default" w:ascii="Times New Roman" w:hAnsi="Times New Roman" w:cs="Times New Roman"/>
                <w:lang w:val="en-US"/>
              </w:rPr>
              <w:t>乡镇卫生院对村卫生室实行统一药品配送、统一结算、统一监管、统一资金分配、统一协议签订。</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C5A41">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实行统一药品配送、统一监管、统一结算、统一资金分配、统一协议签订各得2分，未实行的，每项扣2分。</w:t>
            </w:r>
          </w:p>
        </w:tc>
      </w:tr>
      <w:tr w14:paraId="0332FA2A">
        <w:tblPrEx>
          <w:tblCellMar>
            <w:top w:w="0" w:type="dxa"/>
            <w:left w:w="0" w:type="dxa"/>
            <w:bottom w:w="0" w:type="dxa"/>
            <w:right w:w="0" w:type="dxa"/>
          </w:tblCellMar>
        </w:tblPrEx>
        <w:trPr>
          <w:trHeight w:val="1681"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3A3E2B">
            <w:pPr>
              <w:pStyle w:val="14"/>
              <w:spacing w:line="240" w:lineRule="auto"/>
              <w:ind w:firstLine="0"/>
              <w:jc w:val="center"/>
              <w:rPr>
                <w:rFonts w:hint="default" w:ascii="Times New Roman" w:hAnsi="Times New Roman" w:cs="Times New Roman"/>
                <w:lang w:val="en-US"/>
              </w:rPr>
            </w:pPr>
            <w:r>
              <w:rPr>
                <w:rFonts w:hint="default" w:ascii="Times New Roman" w:hAnsi="Times New Roman" w:cs="Times New Roman"/>
                <w:lang w:val="en-US"/>
              </w:rPr>
              <w:t>6</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23641C">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cs="Times New Roman"/>
                <w:lang w:val="en-US"/>
              </w:rPr>
              <w:t>实地评估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33E8D4">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r>
              <w:rPr>
                <w:rFonts w:hint="default" w:ascii="Times New Roman" w:hAnsi="Times New Roman" w:cs="Times New Roman"/>
                <w:lang w:val="en-US"/>
              </w:rPr>
              <w:t>15</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65D29">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lang w:val="en-US"/>
              </w:rPr>
            </w:pPr>
            <w:r>
              <w:rPr>
                <w:rFonts w:hint="default" w:ascii="Times New Roman" w:hAnsi="Times New Roman" w:cs="Times New Roman"/>
                <w:lang w:val="en-US"/>
              </w:rPr>
              <w:t>1.政策知晓率</w:t>
            </w:r>
          </w:p>
          <w:p w14:paraId="578B1820">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lang w:val="en-US"/>
              </w:rPr>
            </w:pPr>
            <w:r>
              <w:rPr>
                <w:rFonts w:hint="default" w:ascii="Times New Roman" w:hAnsi="Times New Roman" w:cs="Times New Roman"/>
                <w:lang w:val="en-US"/>
              </w:rPr>
              <w:t>2.医疗服务满意度</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21A2DD">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Times New Roman" w:hAnsi="Times New Roman" w:cs="Times New Roman"/>
                <w:lang w:val="en-US"/>
              </w:rPr>
            </w:pPr>
            <w:r>
              <w:rPr>
                <w:rFonts w:hint="default" w:ascii="Times New Roman" w:hAnsi="Times New Roman" w:cs="Times New Roman"/>
                <w:lang w:val="en-US" w:eastAsia="zh-CN"/>
              </w:rPr>
              <w:t>1.</w:t>
            </w:r>
            <w:r>
              <w:rPr>
                <w:rFonts w:hint="default" w:ascii="Times New Roman" w:hAnsi="Times New Roman" w:cs="Times New Roman"/>
                <w:lang w:val="en-US"/>
              </w:rPr>
              <w:t>随访20名签约参保</w:t>
            </w:r>
            <w:r>
              <w:rPr>
                <w:rFonts w:hint="default" w:ascii="Times New Roman" w:hAnsi="Times New Roman" w:cs="Times New Roman"/>
                <w:lang w:val="en-US" w:eastAsia="zh-CN"/>
              </w:rPr>
              <w:t>人</w:t>
            </w:r>
            <w:r>
              <w:rPr>
                <w:rFonts w:hint="default" w:ascii="Times New Roman" w:hAnsi="Times New Roman" w:cs="Times New Roman"/>
                <w:lang w:val="en-US"/>
              </w:rPr>
              <w:t>，评估他们对门诊综合改革</w:t>
            </w:r>
            <w:r>
              <w:rPr>
                <w:rFonts w:hint="default" w:ascii="Times New Roman" w:hAnsi="Times New Roman" w:cs="Times New Roman"/>
              </w:rPr>
              <w:t>等医保政策及家庭签约服务政策的知晓</w:t>
            </w:r>
            <w:r>
              <w:rPr>
                <w:rFonts w:hint="default" w:ascii="Times New Roman" w:hAnsi="Times New Roman" w:cs="Times New Roman"/>
                <w:lang w:val="en-US"/>
              </w:rPr>
              <w:t>情况，知晓率达</w:t>
            </w:r>
            <w:r>
              <w:rPr>
                <w:rFonts w:hint="default" w:ascii="Times New Roman" w:hAnsi="Times New Roman" w:cs="Times New Roman"/>
                <w:lang w:val="en-US" w:eastAsia="zh-CN"/>
              </w:rPr>
              <w:t>9</w:t>
            </w:r>
            <w:r>
              <w:rPr>
                <w:rFonts w:hint="default" w:ascii="Times New Roman" w:hAnsi="Times New Roman" w:cs="Times New Roman"/>
                <w:lang w:val="en-US"/>
              </w:rPr>
              <w:t>0%以上的得7.5分，每低1个百分点扣0.5分，最多扣7.5分。</w:t>
            </w:r>
          </w:p>
          <w:p w14:paraId="1E7FBD77">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eastAsia="zh-CN"/>
              </w:rPr>
              <w:t>2.</w:t>
            </w:r>
            <w:r>
              <w:rPr>
                <w:rFonts w:hint="default" w:ascii="Times New Roman" w:hAnsi="Times New Roman" w:cs="Times New Roman"/>
                <w:lang w:val="en-US"/>
              </w:rPr>
              <w:t>随机抽取参保签约</w:t>
            </w:r>
            <w:r>
              <w:rPr>
                <w:rFonts w:hint="default" w:ascii="Times New Roman" w:hAnsi="Times New Roman" w:cs="Times New Roman"/>
                <w:lang w:val="en-US" w:eastAsia="zh-CN"/>
              </w:rPr>
              <w:t>人</w:t>
            </w:r>
            <w:r>
              <w:rPr>
                <w:rFonts w:hint="default" w:ascii="Times New Roman" w:hAnsi="Times New Roman" w:cs="Times New Roman"/>
                <w:lang w:val="en-US"/>
              </w:rPr>
              <w:t>门诊患者20名</w:t>
            </w:r>
            <w:r>
              <w:rPr>
                <w:rFonts w:hint="eastAsia" w:ascii="Times New Roman" w:hAnsi="Times New Roman" w:cs="Times New Roman"/>
                <w:lang w:val="en-US" w:eastAsia="zh-CN"/>
              </w:rPr>
              <w:t>，</w:t>
            </w:r>
            <w:r>
              <w:rPr>
                <w:rFonts w:hint="default" w:ascii="Times New Roman" w:hAnsi="Times New Roman" w:cs="Times New Roman"/>
                <w:shd w:val="clear" w:color="auto" w:fill="FFFFFF"/>
                <w:lang w:val="en-US"/>
              </w:rPr>
              <w:t>开展</w:t>
            </w:r>
            <w:r>
              <w:rPr>
                <w:rFonts w:hint="default" w:ascii="Times New Roman" w:hAnsi="Times New Roman" w:cs="Times New Roman"/>
                <w:lang w:val="en-US"/>
              </w:rPr>
              <w:t>对医疗卫生机构门诊医疗服务满</w:t>
            </w:r>
            <w:r>
              <w:rPr>
                <w:rFonts w:hint="default" w:ascii="Times New Roman" w:hAnsi="Times New Roman" w:cs="Times New Roman"/>
                <w:shd w:val="clear" w:color="auto" w:fill="FFFFFF"/>
                <w:lang w:val="en-US"/>
              </w:rPr>
              <w:t>意度调查</w:t>
            </w:r>
            <w:r>
              <w:rPr>
                <w:rFonts w:hint="default" w:ascii="Times New Roman" w:hAnsi="Times New Roman" w:cs="Times New Roman"/>
                <w:shd w:val="clear" w:color="auto" w:fill="FFFFFF"/>
              </w:rPr>
              <w:t>，满意度达</w:t>
            </w:r>
            <w:r>
              <w:rPr>
                <w:rFonts w:hint="default" w:ascii="Times New Roman" w:hAnsi="Times New Roman" w:cs="Times New Roman"/>
                <w:shd w:val="clear" w:color="auto" w:fill="FFFFFF"/>
                <w:lang w:val="en-US" w:eastAsia="zh-CN"/>
              </w:rPr>
              <w:t>9</w:t>
            </w:r>
            <w:r>
              <w:rPr>
                <w:rFonts w:hint="default" w:ascii="Times New Roman" w:hAnsi="Times New Roman" w:cs="Times New Roman"/>
                <w:shd w:val="clear" w:color="auto" w:fill="FFFFFF"/>
              </w:rPr>
              <w:t>0%以上的得7.5分，每低1个百分点扣0.5分，最多扣7.5分</w:t>
            </w:r>
            <w:r>
              <w:rPr>
                <w:rFonts w:hint="default" w:ascii="Times New Roman" w:hAnsi="Times New Roman" w:eastAsia="仿宋_GB2312" w:cs="Times New Roman"/>
              </w:rPr>
              <w:t>。</w:t>
            </w:r>
          </w:p>
        </w:tc>
      </w:tr>
      <w:tr w14:paraId="2AF7BAB1">
        <w:tblPrEx>
          <w:tblCellMar>
            <w:top w:w="0" w:type="dxa"/>
            <w:left w:w="0" w:type="dxa"/>
            <w:bottom w:w="0" w:type="dxa"/>
            <w:right w:w="0" w:type="dxa"/>
          </w:tblCellMar>
        </w:tblPrEx>
        <w:trPr>
          <w:trHeight w:val="1401"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055499">
            <w:pPr>
              <w:pStyle w:val="14"/>
              <w:spacing w:line="240" w:lineRule="auto"/>
              <w:ind w:firstLine="0"/>
              <w:jc w:val="center"/>
              <w:rPr>
                <w:rFonts w:hint="default" w:ascii="Times New Roman" w:hAnsi="Times New Roman" w:cs="Times New Roman"/>
                <w:lang w:val="en-US"/>
              </w:rPr>
            </w:pPr>
            <w:r>
              <w:rPr>
                <w:rFonts w:hint="default" w:ascii="Times New Roman" w:hAnsi="Times New Roman" w:cs="Times New Roman"/>
                <w:lang w:val="en-US"/>
              </w:rPr>
              <w:t>7</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B07D1A">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lang w:val="en-US"/>
              </w:rPr>
              <w:t>加分项</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C3ED9B">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D5B2B7">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lang w:val="en-US"/>
              </w:rPr>
            </w:pPr>
            <w:r>
              <w:rPr>
                <w:rFonts w:hint="default" w:ascii="Times New Roman" w:hAnsi="Times New Roman" w:cs="Times New Roman"/>
                <w:lang w:val="en-US"/>
              </w:rPr>
              <w:t>凡获得国家省市县表彰或示范点、典型案例被上级肯定、承担医保工作任务成绩突出</w:t>
            </w:r>
            <w:r>
              <w:rPr>
                <w:rFonts w:hint="default" w:ascii="Times New Roman" w:hAnsi="Times New Roman" w:cs="Times New Roman"/>
                <w:lang w:val="en-US" w:eastAsia="zh-CN"/>
              </w:rPr>
              <w:t>的</w:t>
            </w:r>
            <w:r>
              <w:rPr>
                <w:rFonts w:hint="default" w:ascii="Times New Roman" w:hAnsi="Times New Roman" w:cs="Times New Roman"/>
                <w:lang w:val="en-US"/>
              </w:rPr>
              <w:t>均可视情况加分。</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AAE69">
            <w:pPr>
              <w:pStyle w:val="14"/>
              <w:keepNext w:val="0"/>
              <w:keepLines w:val="0"/>
              <w:pageBreakBefore w:val="0"/>
              <w:widowControl w:val="0"/>
              <w:kinsoku/>
              <w:wordWrap/>
              <w:overflowPunct/>
              <w:topLinePunct w:val="0"/>
              <w:autoSpaceDE/>
              <w:autoSpaceDN/>
              <w:bidi w:val="0"/>
              <w:adjustRightInd/>
              <w:snapToGrid/>
              <w:spacing w:line="240" w:lineRule="exact"/>
              <w:ind w:firstLine="200" w:firstLineChars="100"/>
              <w:textAlignment w:val="auto"/>
              <w:rPr>
                <w:rFonts w:hint="default" w:ascii="Times New Roman" w:hAnsi="Times New Roman" w:eastAsia="宋体" w:cs="Times New Roman"/>
                <w:lang w:val="en-US" w:eastAsia="zh-CN"/>
              </w:rPr>
            </w:pPr>
            <w:r>
              <w:rPr>
                <w:rFonts w:hint="default" w:ascii="Times New Roman" w:hAnsi="Times New Roman" w:cs="Times New Roman"/>
                <w:lang w:val="en-US"/>
              </w:rPr>
              <w:t>获国家级表彰</w:t>
            </w:r>
            <w:r>
              <w:rPr>
                <w:rFonts w:hint="default" w:ascii="Times New Roman" w:hAnsi="Times New Roman" w:cs="Times New Roman"/>
                <w:lang w:val="en-US" w:eastAsia="zh-CN"/>
              </w:rPr>
              <w:t>或</w:t>
            </w:r>
            <w:r>
              <w:rPr>
                <w:rFonts w:hint="default" w:ascii="Times New Roman" w:hAnsi="Times New Roman" w:cs="Times New Roman"/>
                <w:lang w:val="en-US"/>
              </w:rPr>
              <w:t>示范点加5分、省级加3分、市级2分、县级1分，其他事项经查实每项加1分；所在乡镇在参保目标基础上，参保率每提高0.5百分点加1分（不足0.5个百分点的不计算加分）。最多加10分</w:t>
            </w:r>
            <w:r>
              <w:rPr>
                <w:rFonts w:hint="default" w:ascii="Times New Roman" w:hAnsi="Times New Roman" w:cs="Times New Roman"/>
                <w:lang w:val="en-US" w:eastAsia="zh-CN"/>
              </w:rPr>
              <w:t>。</w:t>
            </w:r>
          </w:p>
        </w:tc>
      </w:tr>
      <w:tr w14:paraId="0C5E94E3">
        <w:tblPrEx>
          <w:tblCellMar>
            <w:top w:w="0" w:type="dxa"/>
            <w:left w:w="0" w:type="dxa"/>
            <w:bottom w:w="0" w:type="dxa"/>
            <w:right w:w="0" w:type="dxa"/>
          </w:tblCellMar>
        </w:tblPrEx>
        <w:trPr>
          <w:trHeight w:val="1014"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0689EA">
            <w:pPr>
              <w:pStyle w:val="14"/>
              <w:spacing w:line="240" w:lineRule="auto"/>
              <w:ind w:firstLine="0"/>
              <w:jc w:val="center"/>
              <w:rPr>
                <w:rFonts w:hint="default" w:ascii="Times New Roman" w:hAnsi="Times New Roman" w:cs="Times New Roman"/>
                <w:lang w:val="en-US"/>
              </w:rPr>
            </w:pPr>
            <w:r>
              <w:rPr>
                <w:rFonts w:hint="default" w:ascii="Times New Roman" w:hAnsi="Times New Roman" w:cs="Times New Roman"/>
                <w:lang w:val="en-US"/>
              </w:rPr>
              <w:t>8</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12A583">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cs="Times New Roman"/>
                <w:lang w:val="en-US"/>
              </w:rPr>
              <w:t>扣分项</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53BF7D">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6FBB41">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lang w:val="en-US"/>
              </w:rPr>
            </w:pPr>
            <w:r>
              <w:rPr>
                <w:rFonts w:hint="default" w:ascii="Times New Roman" w:hAnsi="Times New Roman" w:cs="Times New Roman"/>
                <w:lang w:val="en-US"/>
              </w:rPr>
              <w:t>凡骗保被查处、推诿或拒收门诊就诊和参保任务未达成均予扣分。</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2D3B6D">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经查实每例扣1分，上不封顶。所在乡镇在参保目标基础上，参保率每低0.5百分点扣1分（不足0.5个百分点的不计算扣分，但未完成参保目标必扣1分），最多扣10分。</w:t>
            </w:r>
          </w:p>
        </w:tc>
      </w:tr>
      <w:tr w14:paraId="255C7568">
        <w:tblPrEx>
          <w:tblCellMar>
            <w:top w:w="0" w:type="dxa"/>
            <w:left w:w="0" w:type="dxa"/>
            <w:bottom w:w="0" w:type="dxa"/>
            <w:right w:w="0" w:type="dxa"/>
          </w:tblCellMar>
        </w:tblPrEx>
        <w:trPr>
          <w:trHeight w:val="721" w:hRule="exact"/>
          <w:jc w:val="center"/>
        </w:trPr>
        <w:tc>
          <w:tcPr>
            <w:tcW w:w="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7B2914">
            <w:pPr>
              <w:pStyle w:val="14"/>
              <w:spacing w:line="269" w:lineRule="exact"/>
              <w:ind w:firstLine="0"/>
              <w:jc w:val="center"/>
              <w:rPr>
                <w:rFonts w:hint="default" w:ascii="Times New Roman" w:hAnsi="Times New Roman" w:cs="Times New Roman"/>
                <w:lang w:val="en-US"/>
              </w:rPr>
            </w:pPr>
            <w:r>
              <w:rPr>
                <w:rFonts w:hint="default" w:ascii="Times New Roman" w:hAnsi="Times New Roman" w:cs="Times New Roman"/>
                <w:lang w:val="en-US"/>
              </w:rPr>
              <w:t>9</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EDA59">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cs="Times New Roman"/>
                <w:lang w:val="en-US"/>
              </w:rPr>
              <w:t>否决项</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3329A1">
            <w:pPr>
              <w:pStyle w:val="14"/>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default" w:ascii="Times New Roman" w:hAnsi="Times New Roman" w:cs="Times New Roman"/>
                <w:lang w:val="en-US"/>
              </w:rPr>
            </w:pP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CDF4BD">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cs="Times New Roman"/>
              </w:rPr>
            </w:pPr>
            <w:r>
              <w:rPr>
                <w:rFonts w:hint="default" w:ascii="Times New Roman" w:hAnsi="Times New Roman" w:cs="Times New Roman"/>
              </w:rPr>
              <w:t>定点医疗卫生机构协议实际履行情况</w:t>
            </w:r>
          </w:p>
        </w:tc>
        <w:tc>
          <w:tcPr>
            <w:tcW w:w="58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664F60">
            <w:pPr>
              <w:pStyle w:val="1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协议考核等级不合格者，门诊综合改革结果直接不合格。</w:t>
            </w:r>
          </w:p>
        </w:tc>
      </w:tr>
    </w:tbl>
    <w:p w14:paraId="09F1729E">
      <w:pPr>
        <w:pStyle w:val="7"/>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lang w:val="en-US" w:eastAsia="zh-CN"/>
        </w:rPr>
      </w:pPr>
    </w:p>
    <w:p w14:paraId="15DAB51C">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黑体" w:cs="Times New Roman"/>
          <w:sz w:val="32"/>
          <w:szCs w:val="32"/>
        </w:rPr>
        <w:sectPr>
          <w:pgSz w:w="11906" w:h="16838"/>
          <w:pgMar w:top="1440" w:right="1800" w:bottom="1440" w:left="1800" w:header="851" w:footer="992" w:gutter="0"/>
          <w:cols w:space="720" w:num="1"/>
          <w:docGrid w:type="lines" w:linePitch="312" w:charSpace="0"/>
        </w:sectPr>
      </w:pPr>
    </w:p>
    <w:p w14:paraId="04A2C978">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09F55121">
      <w:pPr>
        <w:pStyle w:val="12"/>
        <w:overflowPunct w:val="0"/>
        <w:spacing w:line="600" w:lineRule="exact"/>
        <w:jc w:val="center"/>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202</w:t>
      </w:r>
      <w:r>
        <w:rPr>
          <w:rFonts w:hint="default" w:ascii="Times New Roman" w:hAnsi="Times New Roman" w:eastAsia="方正小标宋简体" w:cs="Times New Roman"/>
          <w:kern w:val="0"/>
          <w:sz w:val="44"/>
          <w:szCs w:val="44"/>
          <w:lang w:val="en-US" w:eastAsia="zh-CN" w:bidi="ar"/>
        </w:rPr>
        <w:t>6</w:t>
      </w:r>
      <w:r>
        <w:rPr>
          <w:rFonts w:hint="default" w:ascii="Times New Roman" w:hAnsi="Times New Roman" w:eastAsia="方正小标宋简体" w:cs="Times New Roman"/>
          <w:kern w:val="0"/>
          <w:sz w:val="44"/>
          <w:szCs w:val="44"/>
          <w:lang w:bidi="ar"/>
        </w:rPr>
        <w:t>年</w:t>
      </w:r>
      <w:r>
        <w:rPr>
          <w:rFonts w:hint="default" w:ascii="Times New Roman" w:hAnsi="Times New Roman" w:eastAsia="方正小标宋简体" w:cs="Times New Roman"/>
          <w:kern w:val="0"/>
          <w:sz w:val="44"/>
          <w:szCs w:val="44"/>
          <w:lang w:val="en-US" w:eastAsia="zh-CN" w:bidi="ar"/>
        </w:rPr>
        <w:t>炎陵</w:t>
      </w:r>
      <w:r>
        <w:rPr>
          <w:rFonts w:hint="default" w:ascii="Times New Roman" w:hAnsi="Times New Roman" w:eastAsia="方正小标宋简体" w:cs="Times New Roman"/>
          <w:kern w:val="0"/>
          <w:sz w:val="44"/>
          <w:szCs w:val="44"/>
          <w:lang w:bidi="ar"/>
        </w:rPr>
        <w:t>县基层医疗机构普通门诊按人头付费</w:t>
      </w:r>
    </w:p>
    <w:p w14:paraId="7FFDC3DC">
      <w:pPr>
        <w:pStyle w:val="12"/>
        <w:overflowPunct w:val="0"/>
        <w:spacing w:after="120" w:afterLines="50"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bidi="ar"/>
        </w:rPr>
        <w:t>特定清单项目药品目录（含村卫生室）</w:t>
      </w:r>
    </w:p>
    <w:tbl>
      <w:tblPr>
        <w:tblStyle w:val="9"/>
        <w:tblW w:w="14308"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60"/>
        <w:gridCol w:w="1322"/>
        <w:gridCol w:w="1800"/>
        <w:gridCol w:w="630"/>
        <w:gridCol w:w="1545"/>
        <w:gridCol w:w="1665"/>
        <w:gridCol w:w="1060"/>
        <w:gridCol w:w="797"/>
        <w:gridCol w:w="944"/>
        <w:gridCol w:w="1427"/>
        <w:gridCol w:w="653"/>
        <w:gridCol w:w="900"/>
        <w:gridCol w:w="1005"/>
      </w:tblGrid>
      <w:tr w14:paraId="4D9ECA4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570" w:hRule="atLeast"/>
          <w:tblHeader/>
          <w:jc w:val="center"/>
        </w:trPr>
        <w:tc>
          <w:tcPr>
            <w:tcW w:w="560" w:type="dxa"/>
            <w:noWrap w:val="0"/>
            <w:vAlign w:val="center"/>
          </w:tcPr>
          <w:p w14:paraId="439F85C8">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序号</w:t>
            </w:r>
          </w:p>
        </w:tc>
        <w:tc>
          <w:tcPr>
            <w:tcW w:w="1322" w:type="dxa"/>
            <w:noWrap w:val="0"/>
            <w:vAlign w:val="center"/>
          </w:tcPr>
          <w:p w14:paraId="7E4A8556">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品  名</w:t>
            </w:r>
          </w:p>
        </w:tc>
        <w:tc>
          <w:tcPr>
            <w:tcW w:w="1800" w:type="dxa"/>
            <w:noWrap w:val="0"/>
            <w:vAlign w:val="center"/>
          </w:tcPr>
          <w:p w14:paraId="6DA6639D">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规  格</w:t>
            </w:r>
          </w:p>
        </w:tc>
        <w:tc>
          <w:tcPr>
            <w:tcW w:w="630" w:type="dxa"/>
            <w:noWrap w:val="0"/>
            <w:vAlign w:val="center"/>
          </w:tcPr>
          <w:p w14:paraId="2B1A66B2">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单位</w:t>
            </w:r>
          </w:p>
        </w:tc>
        <w:tc>
          <w:tcPr>
            <w:tcW w:w="1545" w:type="dxa"/>
            <w:noWrap w:val="0"/>
            <w:vAlign w:val="center"/>
          </w:tcPr>
          <w:p w14:paraId="3F2E5CA4">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剂型</w:t>
            </w:r>
          </w:p>
        </w:tc>
        <w:tc>
          <w:tcPr>
            <w:tcW w:w="1665" w:type="dxa"/>
            <w:noWrap w:val="0"/>
            <w:vAlign w:val="center"/>
          </w:tcPr>
          <w:p w14:paraId="64E1B443">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生产厂家</w:t>
            </w:r>
          </w:p>
        </w:tc>
        <w:tc>
          <w:tcPr>
            <w:tcW w:w="1060" w:type="dxa"/>
            <w:noWrap w:val="0"/>
            <w:vAlign w:val="center"/>
          </w:tcPr>
          <w:p w14:paraId="00E9A5A8">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是否在医保目录内</w:t>
            </w:r>
          </w:p>
        </w:tc>
        <w:tc>
          <w:tcPr>
            <w:tcW w:w="797" w:type="dxa"/>
            <w:noWrap w:val="0"/>
            <w:vAlign w:val="center"/>
          </w:tcPr>
          <w:p w14:paraId="1C99DC20">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目录属性</w:t>
            </w:r>
          </w:p>
        </w:tc>
        <w:tc>
          <w:tcPr>
            <w:tcW w:w="944" w:type="dxa"/>
            <w:noWrap w:val="0"/>
            <w:vAlign w:val="center"/>
          </w:tcPr>
          <w:p w14:paraId="3A987AD0">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价格（元）</w:t>
            </w:r>
          </w:p>
        </w:tc>
        <w:tc>
          <w:tcPr>
            <w:tcW w:w="1427" w:type="dxa"/>
            <w:noWrap w:val="0"/>
            <w:vAlign w:val="center"/>
          </w:tcPr>
          <w:p w14:paraId="523D0A75">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可配送公司</w:t>
            </w:r>
          </w:p>
        </w:tc>
        <w:tc>
          <w:tcPr>
            <w:tcW w:w="653" w:type="dxa"/>
            <w:noWrap w:val="0"/>
            <w:vAlign w:val="center"/>
          </w:tcPr>
          <w:p w14:paraId="57A28426">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基药属性</w:t>
            </w:r>
          </w:p>
        </w:tc>
        <w:tc>
          <w:tcPr>
            <w:tcW w:w="900" w:type="dxa"/>
            <w:noWrap w:val="0"/>
            <w:vAlign w:val="center"/>
          </w:tcPr>
          <w:p w14:paraId="09DCF070">
            <w:pPr>
              <w:overflowPunct w:val="0"/>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kern w:val="0"/>
                <w:szCs w:val="21"/>
                <w:lang w:bidi="ar"/>
              </w:rPr>
              <w:t>医保自付比例</w:t>
            </w:r>
          </w:p>
        </w:tc>
        <w:tc>
          <w:tcPr>
            <w:tcW w:w="1005" w:type="dxa"/>
            <w:noWrap w:val="0"/>
            <w:vAlign w:val="center"/>
          </w:tcPr>
          <w:p w14:paraId="59A39904">
            <w:pPr>
              <w:overflowPunct w:val="0"/>
              <w:spacing w:line="260" w:lineRule="exact"/>
              <w:jc w:val="both"/>
              <w:textAlignment w:val="center"/>
              <w:rPr>
                <w:rFonts w:hint="default" w:ascii="Times New Roman" w:hAnsi="Times New Roman" w:eastAsia="宋体" w:cs="Times New Roman"/>
                <w:b/>
                <w:color w:val="000000"/>
                <w:kern w:val="0"/>
                <w:szCs w:val="21"/>
                <w:lang w:val="en-US" w:eastAsia="zh-CN" w:bidi="ar"/>
              </w:rPr>
            </w:pPr>
            <w:r>
              <w:rPr>
                <w:rFonts w:hint="default" w:ascii="Times New Roman" w:hAnsi="Times New Roman" w:cs="Times New Roman"/>
                <w:b/>
                <w:color w:val="000000"/>
                <w:kern w:val="0"/>
                <w:szCs w:val="21"/>
                <w:lang w:val="en-US" w:eastAsia="zh-CN" w:bidi="ar"/>
              </w:rPr>
              <w:t>医疗目录编码</w:t>
            </w:r>
          </w:p>
        </w:tc>
      </w:tr>
      <w:tr w14:paraId="2545A38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480B198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w:t>
            </w:r>
          </w:p>
        </w:tc>
        <w:tc>
          <w:tcPr>
            <w:tcW w:w="1322" w:type="dxa"/>
            <w:noWrap w:val="0"/>
            <w:vAlign w:val="center"/>
          </w:tcPr>
          <w:p w14:paraId="0259BBA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阿卡波糖片</w:t>
            </w:r>
          </w:p>
        </w:tc>
        <w:tc>
          <w:tcPr>
            <w:tcW w:w="1800" w:type="dxa"/>
            <w:noWrap w:val="0"/>
            <w:vAlign w:val="center"/>
          </w:tcPr>
          <w:p w14:paraId="6487632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50mg×30片/盒、50mg×60片/盒</w:t>
            </w:r>
          </w:p>
        </w:tc>
        <w:tc>
          <w:tcPr>
            <w:tcW w:w="630" w:type="dxa"/>
            <w:noWrap w:val="0"/>
            <w:vAlign w:val="center"/>
          </w:tcPr>
          <w:p w14:paraId="6A0EEF6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624125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31A0018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拜耳医药保健有限公司</w:t>
            </w:r>
          </w:p>
        </w:tc>
        <w:tc>
          <w:tcPr>
            <w:tcW w:w="1060" w:type="dxa"/>
            <w:noWrap w:val="0"/>
            <w:vAlign w:val="center"/>
          </w:tcPr>
          <w:p w14:paraId="07E1CE6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E9458F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6C9F5DB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7.51</w:t>
            </w:r>
          </w:p>
        </w:tc>
        <w:tc>
          <w:tcPr>
            <w:tcW w:w="1427" w:type="dxa"/>
            <w:noWrap w:val="0"/>
            <w:vAlign w:val="center"/>
          </w:tcPr>
          <w:p w14:paraId="05E3029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国药控股株洲有限公司</w:t>
            </w:r>
          </w:p>
        </w:tc>
        <w:tc>
          <w:tcPr>
            <w:tcW w:w="653" w:type="dxa"/>
            <w:noWrap w:val="0"/>
            <w:vAlign w:val="center"/>
          </w:tcPr>
          <w:p w14:paraId="3B131C0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9DF274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5C057AB9">
            <w:pPr>
              <w:overflowPunct w:val="0"/>
              <w:spacing w:line="260" w:lineRule="exact"/>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 w:val="18"/>
                <w:szCs w:val="18"/>
                <w:lang w:bidi="ar"/>
              </w:rPr>
              <w:t>XA10BFA025A001020200002</w:t>
            </w:r>
          </w:p>
        </w:tc>
      </w:tr>
      <w:tr w14:paraId="35A6E31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767" w:hRule="atLeast"/>
          <w:jc w:val="center"/>
        </w:trPr>
        <w:tc>
          <w:tcPr>
            <w:tcW w:w="560" w:type="dxa"/>
            <w:noWrap w:val="0"/>
            <w:vAlign w:val="center"/>
          </w:tcPr>
          <w:p w14:paraId="559FBBC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w:t>
            </w:r>
          </w:p>
        </w:tc>
        <w:tc>
          <w:tcPr>
            <w:tcW w:w="1322" w:type="dxa"/>
            <w:noWrap w:val="0"/>
            <w:vAlign w:val="center"/>
          </w:tcPr>
          <w:p w14:paraId="33D1CA65">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阿莫西林</w:t>
            </w:r>
          </w:p>
          <w:p w14:paraId="712D648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    囊</w:t>
            </w:r>
          </w:p>
        </w:tc>
        <w:tc>
          <w:tcPr>
            <w:tcW w:w="1800" w:type="dxa"/>
            <w:noWrap w:val="0"/>
            <w:vAlign w:val="center"/>
          </w:tcPr>
          <w:p w14:paraId="661E37B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0.25g×50粒/盒、0.25g×24粒/盒0.25g×36粒/盒</w:t>
            </w:r>
          </w:p>
        </w:tc>
        <w:tc>
          <w:tcPr>
            <w:tcW w:w="630" w:type="dxa"/>
            <w:noWrap w:val="0"/>
            <w:vAlign w:val="center"/>
          </w:tcPr>
          <w:p w14:paraId="0F7016E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43B4F8E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硬胶囊</w:t>
            </w:r>
          </w:p>
        </w:tc>
        <w:tc>
          <w:tcPr>
            <w:tcW w:w="1665" w:type="dxa"/>
            <w:noWrap w:val="0"/>
            <w:vAlign w:val="center"/>
          </w:tcPr>
          <w:p w14:paraId="520EDE3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海南通用三洋药业有限公司、康普</w:t>
            </w:r>
          </w:p>
        </w:tc>
        <w:tc>
          <w:tcPr>
            <w:tcW w:w="1060" w:type="dxa"/>
            <w:noWrap w:val="0"/>
            <w:vAlign w:val="center"/>
          </w:tcPr>
          <w:p w14:paraId="3160971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2EE6B41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49AFC40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6.9</w:t>
            </w:r>
          </w:p>
        </w:tc>
        <w:tc>
          <w:tcPr>
            <w:tcW w:w="1427" w:type="dxa"/>
            <w:noWrap w:val="0"/>
            <w:vAlign w:val="center"/>
          </w:tcPr>
          <w:p w14:paraId="3F6D212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01B93BB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B8B9B4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3E924DD2">
            <w:pPr>
              <w:overflowPunct w:val="0"/>
              <w:spacing w:line="260" w:lineRule="exact"/>
              <w:jc w:val="center"/>
              <w:textAlignment w:val="center"/>
              <w:rPr>
                <w:rFonts w:hint="default" w:ascii="Times New Roman" w:hAnsi="Times New Roman" w:eastAsia="宋体" w:cs="Times New Roman"/>
                <w:color w:val="000000"/>
                <w:kern w:val="0"/>
                <w:szCs w:val="21"/>
                <w:lang w:eastAsia="zh-CN" w:bidi="ar"/>
              </w:rPr>
            </w:pPr>
            <w:r>
              <w:rPr>
                <w:rFonts w:hint="default" w:ascii="Times New Roman" w:hAnsi="Times New Roman" w:cs="Times New Roman"/>
                <w:color w:val="000000"/>
                <w:kern w:val="0"/>
                <w:szCs w:val="21"/>
                <w:lang w:bidi="ar"/>
              </w:rPr>
              <w:t>XJ01CAA040E001010205821</w:t>
            </w:r>
            <w:r>
              <w:rPr>
                <w:rFonts w:hint="default" w:ascii="Times New Roman" w:hAnsi="Times New Roman" w:cs="Times New Roman"/>
                <w:color w:val="000000"/>
                <w:kern w:val="0"/>
                <w:szCs w:val="21"/>
                <w:lang w:eastAsia="zh-CN" w:bidi="ar"/>
              </w:rPr>
              <w:t>、</w:t>
            </w:r>
          </w:p>
        </w:tc>
      </w:tr>
      <w:tr w14:paraId="4E6C4FE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075" w:hRule="atLeast"/>
          <w:jc w:val="center"/>
        </w:trPr>
        <w:tc>
          <w:tcPr>
            <w:tcW w:w="560" w:type="dxa"/>
            <w:noWrap w:val="0"/>
            <w:vAlign w:val="center"/>
          </w:tcPr>
          <w:p w14:paraId="6E67D329">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w:t>
            </w:r>
          </w:p>
        </w:tc>
        <w:tc>
          <w:tcPr>
            <w:tcW w:w="1322" w:type="dxa"/>
            <w:noWrap w:val="0"/>
            <w:vAlign w:val="center"/>
          </w:tcPr>
          <w:p w14:paraId="0BFFAD92">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阿托伐他汀</w:t>
            </w:r>
          </w:p>
          <w:p w14:paraId="0DB91BE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钙      片</w:t>
            </w:r>
          </w:p>
        </w:tc>
        <w:tc>
          <w:tcPr>
            <w:tcW w:w="1800" w:type="dxa"/>
            <w:noWrap w:val="0"/>
            <w:vAlign w:val="center"/>
          </w:tcPr>
          <w:p w14:paraId="4139600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10mg（按C33H35FN2O5计）×28片/盒</w:t>
            </w:r>
          </w:p>
        </w:tc>
        <w:tc>
          <w:tcPr>
            <w:tcW w:w="630" w:type="dxa"/>
            <w:noWrap w:val="0"/>
            <w:vAlign w:val="center"/>
          </w:tcPr>
          <w:p w14:paraId="576F19D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950339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3D8C422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湖南千金湘江药业股份有限公司、乐普制药</w:t>
            </w:r>
          </w:p>
        </w:tc>
        <w:tc>
          <w:tcPr>
            <w:tcW w:w="1060" w:type="dxa"/>
            <w:noWrap w:val="0"/>
            <w:vAlign w:val="center"/>
          </w:tcPr>
          <w:p w14:paraId="15A943F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AB8277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2587541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5.16</w:t>
            </w:r>
          </w:p>
        </w:tc>
        <w:tc>
          <w:tcPr>
            <w:tcW w:w="1427" w:type="dxa"/>
            <w:noWrap w:val="0"/>
            <w:vAlign w:val="center"/>
          </w:tcPr>
          <w:p w14:paraId="3B7615E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39527DF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5A4025E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0.05</w:t>
            </w:r>
          </w:p>
        </w:tc>
        <w:tc>
          <w:tcPr>
            <w:tcW w:w="1005" w:type="dxa"/>
            <w:noWrap w:val="0"/>
            <w:vAlign w:val="center"/>
          </w:tcPr>
          <w:p w14:paraId="40A34AE3">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XC10AAA067A001010404960</w:t>
            </w:r>
          </w:p>
        </w:tc>
      </w:tr>
      <w:tr w14:paraId="1C61980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2A0787B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w:t>
            </w:r>
          </w:p>
        </w:tc>
        <w:tc>
          <w:tcPr>
            <w:tcW w:w="1322" w:type="dxa"/>
            <w:noWrap w:val="0"/>
            <w:vAlign w:val="center"/>
          </w:tcPr>
          <w:p w14:paraId="5DB6D9E3">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奥美拉唑</w:t>
            </w:r>
          </w:p>
          <w:p w14:paraId="0E6B36C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肠溶胶囊</w:t>
            </w:r>
          </w:p>
        </w:tc>
        <w:tc>
          <w:tcPr>
            <w:tcW w:w="1800" w:type="dxa"/>
            <w:noWrap w:val="0"/>
            <w:vAlign w:val="center"/>
          </w:tcPr>
          <w:p w14:paraId="17172B1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20mg×28粒/盒</w:t>
            </w:r>
          </w:p>
        </w:tc>
        <w:tc>
          <w:tcPr>
            <w:tcW w:w="630" w:type="dxa"/>
            <w:noWrap w:val="0"/>
            <w:vAlign w:val="center"/>
          </w:tcPr>
          <w:p w14:paraId="4B837B6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F6A3AA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肠溶胶囊</w:t>
            </w:r>
          </w:p>
        </w:tc>
        <w:tc>
          <w:tcPr>
            <w:tcW w:w="1665" w:type="dxa"/>
            <w:noWrap w:val="0"/>
            <w:vAlign w:val="center"/>
          </w:tcPr>
          <w:p w14:paraId="39A3BC7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康普药业股份有限公司</w:t>
            </w:r>
          </w:p>
        </w:tc>
        <w:tc>
          <w:tcPr>
            <w:tcW w:w="1060" w:type="dxa"/>
            <w:noWrap w:val="0"/>
            <w:vAlign w:val="center"/>
          </w:tcPr>
          <w:p w14:paraId="0B47364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7921EF6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5BEBC49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5.6</w:t>
            </w:r>
          </w:p>
        </w:tc>
        <w:tc>
          <w:tcPr>
            <w:tcW w:w="1427" w:type="dxa"/>
            <w:noWrap w:val="0"/>
            <w:vAlign w:val="center"/>
          </w:tcPr>
          <w:p w14:paraId="6450890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D95F5D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12C7B89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7DAC86CC">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XA02BCA211E005011504945</w:t>
            </w:r>
          </w:p>
        </w:tc>
      </w:tr>
      <w:tr w14:paraId="55382A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87" w:hRule="atLeast"/>
          <w:jc w:val="center"/>
        </w:trPr>
        <w:tc>
          <w:tcPr>
            <w:tcW w:w="560" w:type="dxa"/>
            <w:noWrap w:val="0"/>
            <w:vAlign w:val="center"/>
          </w:tcPr>
          <w:p w14:paraId="5912740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w:t>
            </w:r>
          </w:p>
        </w:tc>
        <w:tc>
          <w:tcPr>
            <w:tcW w:w="1322" w:type="dxa"/>
            <w:noWrap w:val="0"/>
            <w:vAlign w:val="center"/>
          </w:tcPr>
          <w:p w14:paraId="6DFFB4B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板蓝根颗粒</w:t>
            </w:r>
          </w:p>
        </w:tc>
        <w:tc>
          <w:tcPr>
            <w:tcW w:w="1800" w:type="dxa"/>
            <w:noWrap w:val="0"/>
            <w:vAlign w:val="center"/>
          </w:tcPr>
          <w:p w14:paraId="6779BB5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每袋装10g（相当于饮片14g）×20袋/包</w:t>
            </w:r>
          </w:p>
        </w:tc>
        <w:tc>
          <w:tcPr>
            <w:tcW w:w="630" w:type="dxa"/>
            <w:noWrap w:val="0"/>
            <w:vAlign w:val="center"/>
          </w:tcPr>
          <w:p w14:paraId="6688E02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3E3EA7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颗粒剂</w:t>
            </w:r>
          </w:p>
        </w:tc>
        <w:tc>
          <w:tcPr>
            <w:tcW w:w="1665" w:type="dxa"/>
            <w:noWrap w:val="0"/>
            <w:vAlign w:val="center"/>
          </w:tcPr>
          <w:p w14:paraId="314B177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广东沙溪制药有限公司</w:t>
            </w:r>
          </w:p>
        </w:tc>
        <w:tc>
          <w:tcPr>
            <w:tcW w:w="1060" w:type="dxa"/>
            <w:noWrap w:val="0"/>
            <w:vAlign w:val="center"/>
          </w:tcPr>
          <w:p w14:paraId="756BB52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4BD046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28559C7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15.8</w:t>
            </w:r>
          </w:p>
        </w:tc>
        <w:tc>
          <w:tcPr>
            <w:tcW w:w="1427" w:type="dxa"/>
            <w:noWrap w:val="0"/>
            <w:vAlign w:val="center"/>
          </w:tcPr>
          <w:p w14:paraId="093B22A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6442871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F308E3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1596CC3">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ZA04BAB0189010100362</w:t>
            </w:r>
          </w:p>
        </w:tc>
      </w:tr>
      <w:tr w14:paraId="7BC35DA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1C11DD5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6</w:t>
            </w:r>
          </w:p>
        </w:tc>
        <w:tc>
          <w:tcPr>
            <w:tcW w:w="1322" w:type="dxa"/>
            <w:noWrap w:val="0"/>
            <w:vAlign w:val="center"/>
          </w:tcPr>
          <w:p w14:paraId="16622951">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苯磺酸氨</w:t>
            </w:r>
          </w:p>
          <w:p w14:paraId="09FFE9E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氯地平片</w:t>
            </w:r>
          </w:p>
        </w:tc>
        <w:tc>
          <w:tcPr>
            <w:tcW w:w="1800" w:type="dxa"/>
            <w:noWrap w:val="0"/>
            <w:vAlign w:val="center"/>
          </w:tcPr>
          <w:p w14:paraId="60FA701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5mg（按氨氯地平计）×21片/盒</w:t>
            </w:r>
          </w:p>
        </w:tc>
        <w:tc>
          <w:tcPr>
            <w:tcW w:w="630" w:type="dxa"/>
            <w:noWrap w:val="0"/>
            <w:vAlign w:val="center"/>
          </w:tcPr>
          <w:p w14:paraId="55BEAE8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BF88BA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1A69D13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康普药业股份有限公司</w:t>
            </w:r>
          </w:p>
        </w:tc>
        <w:tc>
          <w:tcPr>
            <w:tcW w:w="1060" w:type="dxa"/>
            <w:noWrap w:val="0"/>
            <w:vAlign w:val="center"/>
          </w:tcPr>
          <w:p w14:paraId="08F5597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2422EF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319EA0E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3.43</w:t>
            </w:r>
          </w:p>
        </w:tc>
        <w:tc>
          <w:tcPr>
            <w:tcW w:w="1427" w:type="dxa"/>
            <w:noWrap w:val="0"/>
            <w:vAlign w:val="center"/>
          </w:tcPr>
          <w:p w14:paraId="0164F5F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湖南千金，国控，华润，津湘</w:t>
            </w:r>
          </w:p>
        </w:tc>
        <w:tc>
          <w:tcPr>
            <w:tcW w:w="653" w:type="dxa"/>
            <w:noWrap w:val="0"/>
            <w:vAlign w:val="center"/>
          </w:tcPr>
          <w:p w14:paraId="57392FF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78BA9831">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14F0FF97">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XC08CAA187A001010204945</w:t>
            </w:r>
          </w:p>
        </w:tc>
      </w:tr>
      <w:tr w14:paraId="161AF1B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6DDDAD5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w:t>
            </w:r>
          </w:p>
        </w:tc>
        <w:tc>
          <w:tcPr>
            <w:tcW w:w="1322" w:type="dxa"/>
            <w:noWrap w:val="0"/>
            <w:vAlign w:val="center"/>
          </w:tcPr>
          <w:p w14:paraId="3C358094">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布 洛 芬</w:t>
            </w:r>
          </w:p>
          <w:p w14:paraId="3B6C75F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缓释胶囊</w:t>
            </w:r>
          </w:p>
        </w:tc>
        <w:tc>
          <w:tcPr>
            <w:tcW w:w="1800" w:type="dxa"/>
            <w:noWrap w:val="0"/>
            <w:vAlign w:val="center"/>
          </w:tcPr>
          <w:p w14:paraId="63825C7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0.3g×20粒/盒</w:t>
            </w:r>
          </w:p>
        </w:tc>
        <w:tc>
          <w:tcPr>
            <w:tcW w:w="630" w:type="dxa"/>
            <w:noWrap w:val="0"/>
            <w:vAlign w:val="center"/>
          </w:tcPr>
          <w:p w14:paraId="0146DEE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238EFC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缓释控释剂型</w:t>
            </w:r>
          </w:p>
        </w:tc>
        <w:tc>
          <w:tcPr>
            <w:tcW w:w="1665" w:type="dxa"/>
            <w:noWrap w:val="0"/>
            <w:vAlign w:val="center"/>
          </w:tcPr>
          <w:p w14:paraId="03F4CF9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海南妙音春制药有限公司</w:t>
            </w:r>
          </w:p>
        </w:tc>
        <w:tc>
          <w:tcPr>
            <w:tcW w:w="1060" w:type="dxa"/>
            <w:noWrap w:val="0"/>
            <w:vAlign w:val="center"/>
          </w:tcPr>
          <w:p w14:paraId="3C2E6C2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3EE9F0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25432E2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7.8</w:t>
            </w:r>
          </w:p>
        </w:tc>
        <w:tc>
          <w:tcPr>
            <w:tcW w:w="1427" w:type="dxa"/>
            <w:noWrap w:val="0"/>
            <w:vAlign w:val="center"/>
          </w:tcPr>
          <w:p w14:paraId="41B5A88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2023969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C7E22A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707CF94F">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XM01AEB173E003010705846</w:t>
            </w:r>
          </w:p>
        </w:tc>
      </w:tr>
      <w:tr w14:paraId="5D91BA4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91" w:hRule="atLeast"/>
          <w:jc w:val="center"/>
        </w:trPr>
        <w:tc>
          <w:tcPr>
            <w:tcW w:w="560" w:type="dxa"/>
            <w:noWrap w:val="0"/>
            <w:vAlign w:val="center"/>
          </w:tcPr>
          <w:p w14:paraId="35078CF7">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w:t>
            </w:r>
          </w:p>
        </w:tc>
        <w:tc>
          <w:tcPr>
            <w:tcW w:w="1322" w:type="dxa"/>
            <w:noWrap w:val="0"/>
            <w:vAlign w:val="center"/>
          </w:tcPr>
          <w:p w14:paraId="3BDEA16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地奥心血康胶      囊</w:t>
            </w:r>
          </w:p>
        </w:tc>
        <w:tc>
          <w:tcPr>
            <w:tcW w:w="1800" w:type="dxa"/>
            <w:noWrap w:val="0"/>
            <w:vAlign w:val="center"/>
          </w:tcPr>
          <w:p w14:paraId="00B0BFB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每粒含地奥心血康100mg×20粒/盒</w:t>
            </w:r>
          </w:p>
        </w:tc>
        <w:tc>
          <w:tcPr>
            <w:tcW w:w="630" w:type="dxa"/>
            <w:noWrap w:val="0"/>
            <w:vAlign w:val="center"/>
          </w:tcPr>
          <w:p w14:paraId="6C01DDD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667C88E7">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胶囊剂</w:t>
            </w:r>
          </w:p>
          <w:p w14:paraId="222F01F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（硬胶囊）</w:t>
            </w:r>
          </w:p>
        </w:tc>
        <w:tc>
          <w:tcPr>
            <w:tcW w:w="1665" w:type="dxa"/>
            <w:noWrap w:val="0"/>
            <w:vAlign w:val="center"/>
          </w:tcPr>
          <w:p w14:paraId="346EE1D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成都地奥制药集团有限公司</w:t>
            </w:r>
          </w:p>
        </w:tc>
        <w:tc>
          <w:tcPr>
            <w:tcW w:w="1060" w:type="dxa"/>
            <w:noWrap w:val="0"/>
            <w:vAlign w:val="center"/>
          </w:tcPr>
          <w:p w14:paraId="45C7666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67870D4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757D4A5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12.6</w:t>
            </w:r>
          </w:p>
        </w:tc>
        <w:tc>
          <w:tcPr>
            <w:tcW w:w="1427" w:type="dxa"/>
            <w:noWrap w:val="0"/>
            <w:vAlign w:val="center"/>
          </w:tcPr>
          <w:p w14:paraId="049BA29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7259135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7B1A40E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59654ECF">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ZA12BAD0237010102019</w:t>
            </w:r>
          </w:p>
        </w:tc>
      </w:tr>
      <w:tr w14:paraId="7B30141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5F3EA9C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9</w:t>
            </w:r>
          </w:p>
        </w:tc>
        <w:tc>
          <w:tcPr>
            <w:tcW w:w="1322" w:type="dxa"/>
            <w:noWrap w:val="0"/>
            <w:vAlign w:val="center"/>
          </w:tcPr>
          <w:p w14:paraId="4DAC0F8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地塞米松磷酸钠注射液</w:t>
            </w:r>
          </w:p>
        </w:tc>
        <w:tc>
          <w:tcPr>
            <w:tcW w:w="1800" w:type="dxa"/>
            <w:noWrap w:val="0"/>
            <w:vAlign w:val="center"/>
          </w:tcPr>
          <w:p w14:paraId="714179F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1ml:5mg×10支/盒</w:t>
            </w:r>
          </w:p>
        </w:tc>
        <w:tc>
          <w:tcPr>
            <w:tcW w:w="630" w:type="dxa"/>
            <w:noWrap w:val="0"/>
            <w:vAlign w:val="center"/>
          </w:tcPr>
          <w:p w14:paraId="43CE730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支</w:t>
            </w:r>
          </w:p>
        </w:tc>
        <w:tc>
          <w:tcPr>
            <w:tcW w:w="1545" w:type="dxa"/>
            <w:noWrap w:val="0"/>
            <w:vAlign w:val="center"/>
          </w:tcPr>
          <w:p w14:paraId="1EB10F6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注射剂</w:t>
            </w:r>
          </w:p>
        </w:tc>
        <w:tc>
          <w:tcPr>
            <w:tcW w:w="1665" w:type="dxa"/>
            <w:noWrap w:val="0"/>
            <w:vAlign w:val="center"/>
          </w:tcPr>
          <w:p w14:paraId="3A10F88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湖北津药药业股份有限公司</w:t>
            </w:r>
          </w:p>
        </w:tc>
        <w:tc>
          <w:tcPr>
            <w:tcW w:w="1060" w:type="dxa"/>
            <w:noWrap w:val="0"/>
            <w:vAlign w:val="center"/>
          </w:tcPr>
          <w:p w14:paraId="04CE684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98BD55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6E99769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0.45</w:t>
            </w:r>
          </w:p>
        </w:tc>
        <w:tc>
          <w:tcPr>
            <w:tcW w:w="1427" w:type="dxa"/>
            <w:noWrap w:val="0"/>
            <w:vAlign w:val="center"/>
          </w:tcPr>
          <w:p w14:paraId="0F8CE8F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0F6447D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582BC6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54415D94">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XH02ABD234B002020101866</w:t>
            </w:r>
          </w:p>
        </w:tc>
      </w:tr>
      <w:tr w14:paraId="0D4B16A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16E4D14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w:t>
            </w:r>
          </w:p>
        </w:tc>
        <w:tc>
          <w:tcPr>
            <w:tcW w:w="1322" w:type="dxa"/>
            <w:noWrap w:val="0"/>
            <w:vAlign w:val="center"/>
          </w:tcPr>
          <w:p w14:paraId="7021987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地衣芽孢杆菌活菌胶囊</w:t>
            </w:r>
          </w:p>
        </w:tc>
        <w:tc>
          <w:tcPr>
            <w:tcW w:w="1800" w:type="dxa"/>
            <w:noWrap w:val="0"/>
            <w:vAlign w:val="center"/>
          </w:tcPr>
          <w:p w14:paraId="69C5AE7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0.25g（2.5亿活菌）×20粒/盒</w:t>
            </w:r>
          </w:p>
        </w:tc>
        <w:tc>
          <w:tcPr>
            <w:tcW w:w="630" w:type="dxa"/>
            <w:noWrap w:val="0"/>
            <w:vAlign w:val="center"/>
          </w:tcPr>
          <w:p w14:paraId="1C7C14B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442C12D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硬胶囊</w:t>
            </w:r>
          </w:p>
        </w:tc>
        <w:tc>
          <w:tcPr>
            <w:tcW w:w="1665" w:type="dxa"/>
            <w:noWrap w:val="0"/>
            <w:vAlign w:val="center"/>
          </w:tcPr>
          <w:p w14:paraId="0252852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东北制药集团沈阳第一制药有限公司</w:t>
            </w:r>
          </w:p>
        </w:tc>
        <w:tc>
          <w:tcPr>
            <w:tcW w:w="1060" w:type="dxa"/>
            <w:noWrap w:val="0"/>
            <w:vAlign w:val="center"/>
          </w:tcPr>
          <w:p w14:paraId="489D9AC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23B8483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3E7FA3F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17.58</w:t>
            </w:r>
          </w:p>
        </w:tc>
        <w:tc>
          <w:tcPr>
            <w:tcW w:w="1427" w:type="dxa"/>
            <w:noWrap w:val="0"/>
            <w:vAlign w:val="center"/>
          </w:tcPr>
          <w:p w14:paraId="2E0E116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湖南千金，华润，宝康</w:t>
            </w:r>
          </w:p>
        </w:tc>
        <w:tc>
          <w:tcPr>
            <w:tcW w:w="653" w:type="dxa"/>
            <w:noWrap w:val="0"/>
            <w:vAlign w:val="center"/>
          </w:tcPr>
          <w:p w14:paraId="6281393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42F9764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6CCEF1E">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XA07FAD090E001010201161</w:t>
            </w:r>
          </w:p>
        </w:tc>
      </w:tr>
      <w:tr w14:paraId="160C59C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7EE774F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11</w:t>
            </w:r>
          </w:p>
        </w:tc>
        <w:tc>
          <w:tcPr>
            <w:tcW w:w="1322" w:type="dxa"/>
            <w:noWrap w:val="0"/>
            <w:vAlign w:val="center"/>
          </w:tcPr>
          <w:p w14:paraId="14A6FDAF">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妇科千金</w:t>
            </w:r>
          </w:p>
          <w:p w14:paraId="78C0168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    囊</w:t>
            </w:r>
          </w:p>
        </w:tc>
        <w:tc>
          <w:tcPr>
            <w:tcW w:w="1800" w:type="dxa"/>
            <w:noWrap w:val="0"/>
            <w:vAlign w:val="center"/>
          </w:tcPr>
          <w:p w14:paraId="75257AA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每粒装0.4g×36粒/盒</w:t>
            </w:r>
          </w:p>
        </w:tc>
        <w:tc>
          <w:tcPr>
            <w:tcW w:w="630" w:type="dxa"/>
            <w:noWrap w:val="0"/>
            <w:vAlign w:val="center"/>
          </w:tcPr>
          <w:p w14:paraId="719DA4D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4176A13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胶囊剂</w:t>
            </w:r>
          </w:p>
        </w:tc>
        <w:tc>
          <w:tcPr>
            <w:tcW w:w="1665" w:type="dxa"/>
            <w:noWrap w:val="0"/>
            <w:vAlign w:val="center"/>
          </w:tcPr>
          <w:p w14:paraId="615B49A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株洲千金药业股份有限公司</w:t>
            </w:r>
          </w:p>
        </w:tc>
        <w:tc>
          <w:tcPr>
            <w:tcW w:w="1060" w:type="dxa"/>
            <w:noWrap w:val="0"/>
            <w:vAlign w:val="center"/>
          </w:tcPr>
          <w:p w14:paraId="3209A8B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BC2E48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13BB5C3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34.28</w:t>
            </w:r>
          </w:p>
        </w:tc>
        <w:tc>
          <w:tcPr>
            <w:tcW w:w="1427" w:type="dxa"/>
            <w:noWrap w:val="0"/>
            <w:vAlign w:val="center"/>
          </w:tcPr>
          <w:p w14:paraId="082BFB8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2C08C40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3E24E8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355CBF9">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ZD02AAF0201010105046</w:t>
            </w:r>
          </w:p>
        </w:tc>
      </w:tr>
      <w:tr w14:paraId="277B974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060DDFA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w:t>
            </w:r>
          </w:p>
        </w:tc>
        <w:tc>
          <w:tcPr>
            <w:tcW w:w="1322" w:type="dxa"/>
            <w:noWrap w:val="0"/>
            <w:vAlign w:val="center"/>
          </w:tcPr>
          <w:p w14:paraId="251257D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复方丹参片</w:t>
            </w:r>
          </w:p>
        </w:tc>
        <w:tc>
          <w:tcPr>
            <w:tcW w:w="1800" w:type="dxa"/>
            <w:noWrap w:val="0"/>
            <w:vAlign w:val="center"/>
          </w:tcPr>
          <w:p w14:paraId="2236B41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薄膜衣小片 每片重0.32g（相当于饮片0.6g）×100片/瓶</w:t>
            </w:r>
          </w:p>
        </w:tc>
        <w:tc>
          <w:tcPr>
            <w:tcW w:w="630" w:type="dxa"/>
            <w:noWrap w:val="0"/>
            <w:vAlign w:val="center"/>
          </w:tcPr>
          <w:p w14:paraId="120B48E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1FA41DA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200931C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甘肃陇神戎发药业股份有限公司</w:t>
            </w:r>
          </w:p>
        </w:tc>
        <w:tc>
          <w:tcPr>
            <w:tcW w:w="1060" w:type="dxa"/>
            <w:noWrap w:val="0"/>
            <w:vAlign w:val="center"/>
          </w:tcPr>
          <w:p w14:paraId="645670A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97857F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5E7C06A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w:t>
            </w:r>
          </w:p>
        </w:tc>
        <w:tc>
          <w:tcPr>
            <w:tcW w:w="1427" w:type="dxa"/>
            <w:noWrap w:val="0"/>
            <w:vAlign w:val="center"/>
          </w:tcPr>
          <w:p w14:paraId="3FB5291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茶陵县宝康医药有限公司</w:t>
            </w:r>
          </w:p>
        </w:tc>
        <w:tc>
          <w:tcPr>
            <w:tcW w:w="653" w:type="dxa"/>
            <w:noWrap w:val="0"/>
            <w:vAlign w:val="center"/>
          </w:tcPr>
          <w:p w14:paraId="6ACE607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9D17B9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A0D3DC7">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ZA12BAF0354010105865</w:t>
            </w:r>
          </w:p>
        </w:tc>
      </w:tr>
      <w:tr w14:paraId="097786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279160B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13</w:t>
            </w:r>
          </w:p>
        </w:tc>
        <w:tc>
          <w:tcPr>
            <w:tcW w:w="1322" w:type="dxa"/>
            <w:noWrap w:val="0"/>
            <w:vAlign w:val="center"/>
          </w:tcPr>
          <w:p w14:paraId="53F0F3EE">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感冒清热</w:t>
            </w:r>
          </w:p>
          <w:p w14:paraId="055D0B6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    粒</w:t>
            </w:r>
          </w:p>
        </w:tc>
        <w:tc>
          <w:tcPr>
            <w:tcW w:w="1800" w:type="dxa"/>
            <w:noWrap w:val="0"/>
            <w:vAlign w:val="center"/>
          </w:tcPr>
          <w:p w14:paraId="797AC88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每袋装6g（无糖型）；每袋装12g×10袋/盒</w:t>
            </w:r>
          </w:p>
        </w:tc>
        <w:tc>
          <w:tcPr>
            <w:tcW w:w="630" w:type="dxa"/>
            <w:noWrap w:val="0"/>
            <w:vAlign w:val="center"/>
          </w:tcPr>
          <w:p w14:paraId="54A7ED7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1A2905F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颗粒剂</w:t>
            </w:r>
          </w:p>
        </w:tc>
        <w:tc>
          <w:tcPr>
            <w:tcW w:w="1665" w:type="dxa"/>
            <w:noWrap w:val="0"/>
            <w:vAlign w:val="center"/>
          </w:tcPr>
          <w:p w14:paraId="36B167A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合肥华润神鹿药业有限公司</w:t>
            </w:r>
          </w:p>
        </w:tc>
        <w:tc>
          <w:tcPr>
            <w:tcW w:w="1060" w:type="dxa"/>
            <w:noWrap w:val="0"/>
            <w:vAlign w:val="center"/>
          </w:tcPr>
          <w:p w14:paraId="75AB175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4D5CD0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40C830E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11</w:t>
            </w:r>
          </w:p>
        </w:tc>
        <w:tc>
          <w:tcPr>
            <w:tcW w:w="1427" w:type="dxa"/>
            <w:noWrap w:val="0"/>
            <w:vAlign w:val="center"/>
          </w:tcPr>
          <w:p w14:paraId="7E7F681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774C167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F5DE54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826A548">
            <w:pPr>
              <w:overflowPunct w:val="0"/>
              <w:spacing w:line="260" w:lineRule="exact"/>
              <w:jc w:val="center"/>
              <w:textAlignment w:val="center"/>
              <w:rPr>
                <w:rFonts w:hint="default" w:ascii="Times New Roman" w:hAnsi="Times New Roman" w:cs="Times New Roman"/>
                <w:color w:val="000000"/>
                <w:kern w:val="0"/>
                <w:szCs w:val="21"/>
                <w:lang w:val="en-US" w:bidi="ar"/>
              </w:rPr>
            </w:pPr>
            <w:r>
              <w:rPr>
                <w:rFonts w:hint="default" w:ascii="Times New Roman" w:hAnsi="Times New Roman" w:cs="Times New Roman"/>
                <w:color w:val="000000"/>
                <w:kern w:val="0"/>
                <w:szCs w:val="21"/>
                <w:lang w:bidi="ar"/>
              </w:rPr>
              <w:t>ZA01AAG0120010104398</w:t>
            </w:r>
            <w:r>
              <w:rPr>
                <w:rFonts w:hint="default" w:ascii="Times New Roman" w:hAnsi="Times New Roman" w:cs="Times New Roman"/>
                <w:color w:val="000000"/>
                <w:kern w:val="0"/>
                <w:szCs w:val="21"/>
                <w:lang w:val="en-US" w:bidi="ar"/>
              </w:rPr>
              <w:t>;ZA01AAG0120010104155</w:t>
            </w:r>
          </w:p>
        </w:tc>
      </w:tr>
      <w:tr w14:paraId="5B5E8CE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5876726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14</w:t>
            </w:r>
          </w:p>
        </w:tc>
        <w:tc>
          <w:tcPr>
            <w:tcW w:w="1322" w:type="dxa"/>
            <w:noWrap w:val="0"/>
            <w:vAlign w:val="center"/>
          </w:tcPr>
          <w:p w14:paraId="1BB5927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格列美脲片</w:t>
            </w:r>
          </w:p>
        </w:tc>
        <w:tc>
          <w:tcPr>
            <w:tcW w:w="1800" w:type="dxa"/>
            <w:noWrap w:val="0"/>
            <w:vAlign w:val="center"/>
          </w:tcPr>
          <w:p w14:paraId="552C9DB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1mg×30片/盒</w:t>
            </w:r>
          </w:p>
        </w:tc>
        <w:tc>
          <w:tcPr>
            <w:tcW w:w="630" w:type="dxa"/>
            <w:noWrap w:val="0"/>
            <w:vAlign w:val="center"/>
          </w:tcPr>
          <w:p w14:paraId="68EE7FE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1433626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3C6309B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山东新华制药股份有限公司</w:t>
            </w:r>
          </w:p>
        </w:tc>
        <w:tc>
          <w:tcPr>
            <w:tcW w:w="1060" w:type="dxa"/>
            <w:noWrap w:val="0"/>
            <w:vAlign w:val="center"/>
          </w:tcPr>
          <w:p w14:paraId="4019278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A5F7D0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1615F65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1.61</w:t>
            </w:r>
          </w:p>
        </w:tc>
        <w:tc>
          <w:tcPr>
            <w:tcW w:w="1427" w:type="dxa"/>
            <w:noWrap w:val="0"/>
            <w:vAlign w:val="center"/>
          </w:tcPr>
          <w:p w14:paraId="6AC3746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77FEADB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358B4B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115B8533">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XA10BBG069A001010304187</w:t>
            </w:r>
          </w:p>
        </w:tc>
      </w:tr>
      <w:tr w14:paraId="1FCC37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34B2BCA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w:t>
            </w:r>
          </w:p>
        </w:tc>
        <w:tc>
          <w:tcPr>
            <w:tcW w:w="1322" w:type="dxa"/>
            <w:noWrap w:val="0"/>
            <w:vAlign w:val="center"/>
          </w:tcPr>
          <w:p w14:paraId="2DEA44FA">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格列齐特片</w:t>
            </w:r>
          </w:p>
          <w:p w14:paraId="63B327B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（Ⅱ）</w:t>
            </w:r>
          </w:p>
        </w:tc>
        <w:tc>
          <w:tcPr>
            <w:tcW w:w="1800" w:type="dxa"/>
            <w:noWrap w:val="0"/>
            <w:vAlign w:val="center"/>
          </w:tcPr>
          <w:p w14:paraId="1623726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80mg×60片/盒</w:t>
            </w:r>
          </w:p>
        </w:tc>
        <w:tc>
          <w:tcPr>
            <w:tcW w:w="630" w:type="dxa"/>
            <w:noWrap w:val="0"/>
            <w:vAlign w:val="center"/>
          </w:tcPr>
          <w:p w14:paraId="6CDDEC6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1A1555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2BBCBE2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山东鲁抗医药集团赛特有限责任公司</w:t>
            </w:r>
          </w:p>
        </w:tc>
        <w:tc>
          <w:tcPr>
            <w:tcW w:w="1060" w:type="dxa"/>
            <w:noWrap w:val="0"/>
            <w:vAlign w:val="center"/>
          </w:tcPr>
          <w:p w14:paraId="02B6CC6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7146106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5C4C251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w:t>
            </w:r>
          </w:p>
        </w:tc>
        <w:tc>
          <w:tcPr>
            <w:tcW w:w="1427" w:type="dxa"/>
            <w:noWrap w:val="0"/>
            <w:vAlign w:val="center"/>
          </w:tcPr>
          <w:p w14:paraId="797A2E8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湖南千金，华润，津湘</w:t>
            </w:r>
          </w:p>
        </w:tc>
        <w:tc>
          <w:tcPr>
            <w:tcW w:w="653" w:type="dxa"/>
            <w:noWrap w:val="0"/>
            <w:vAlign w:val="center"/>
          </w:tcPr>
          <w:p w14:paraId="551A3EE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7865F9F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7807D956">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XA10BBG163A001010304131</w:t>
            </w:r>
          </w:p>
        </w:tc>
      </w:tr>
      <w:tr w14:paraId="6FD8F92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144" w:hRule="atLeast"/>
          <w:jc w:val="center"/>
        </w:trPr>
        <w:tc>
          <w:tcPr>
            <w:tcW w:w="560" w:type="dxa"/>
            <w:noWrap w:val="0"/>
            <w:vAlign w:val="center"/>
          </w:tcPr>
          <w:p w14:paraId="1420EE8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16</w:t>
            </w:r>
          </w:p>
        </w:tc>
        <w:tc>
          <w:tcPr>
            <w:tcW w:w="1322" w:type="dxa"/>
            <w:noWrap w:val="0"/>
            <w:vAlign w:val="center"/>
          </w:tcPr>
          <w:p w14:paraId="7DD447A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黄连上清片</w:t>
            </w:r>
          </w:p>
        </w:tc>
        <w:tc>
          <w:tcPr>
            <w:tcW w:w="1800" w:type="dxa"/>
            <w:noWrap w:val="0"/>
            <w:vAlign w:val="center"/>
          </w:tcPr>
          <w:p w14:paraId="31EF0BA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糖衣片（片芯重0.3g）×48片/盒</w:t>
            </w:r>
          </w:p>
        </w:tc>
        <w:tc>
          <w:tcPr>
            <w:tcW w:w="630" w:type="dxa"/>
            <w:noWrap w:val="0"/>
            <w:vAlign w:val="center"/>
          </w:tcPr>
          <w:p w14:paraId="17F96A9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C23F7C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糖衣片</w:t>
            </w:r>
          </w:p>
        </w:tc>
        <w:tc>
          <w:tcPr>
            <w:tcW w:w="1665" w:type="dxa"/>
            <w:noWrap w:val="0"/>
            <w:vAlign w:val="center"/>
          </w:tcPr>
          <w:p w14:paraId="577897B5">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贵州百灵</w:t>
            </w:r>
          </w:p>
          <w:p w14:paraId="72393DA0">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企业集团</w:t>
            </w:r>
          </w:p>
          <w:p w14:paraId="48FFEAAB">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制药股份</w:t>
            </w:r>
          </w:p>
          <w:p w14:paraId="76B80D0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有限公司</w:t>
            </w:r>
          </w:p>
        </w:tc>
        <w:tc>
          <w:tcPr>
            <w:tcW w:w="1060" w:type="dxa"/>
            <w:noWrap w:val="0"/>
            <w:vAlign w:val="center"/>
          </w:tcPr>
          <w:p w14:paraId="17E5C7B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F8E348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01C8FCB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4.8</w:t>
            </w:r>
          </w:p>
        </w:tc>
        <w:tc>
          <w:tcPr>
            <w:tcW w:w="1427" w:type="dxa"/>
            <w:noWrap w:val="0"/>
            <w:vAlign w:val="center"/>
          </w:tcPr>
          <w:p w14:paraId="4418339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154C37A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0790F9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74801C96">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ZA04AAH0304010205437</w:t>
            </w:r>
          </w:p>
        </w:tc>
      </w:tr>
      <w:tr w14:paraId="04895B7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19" w:hRule="atLeast"/>
          <w:jc w:val="center"/>
        </w:trPr>
        <w:tc>
          <w:tcPr>
            <w:tcW w:w="560" w:type="dxa"/>
            <w:noWrap w:val="0"/>
            <w:vAlign w:val="center"/>
          </w:tcPr>
          <w:p w14:paraId="05F7182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17</w:t>
            </w:r>
          </w:p>
        </w:tc>
        <w:tc>
          <w:tcPr>
            <w:tcW w:w="1322" w:type="dxa"/>
            <w:noWrap w:val="0"/>
            <w:vAlign w:val="center"/>
          </w:tcPr>
          <w:p w14:paraId="2E3393F6">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活血止痛</w:t>
            </w:r>
          </w:p>
          <w:p w14:paraId="6FAB2CE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    囊</w:t>
            </w:r>
          </w:p>
        </w:tc>
        <w:tc>
          <w:tcPr>
            <w:tcW w:w="1800" w:type="dxa"/>
            <w:noWrap w:val="0"/>
            <w:vAlign w:val="center"/>
          </w:tcPr>
          <w:p w14:paraId="3FBFED7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每粒装0.5g×40粒/盒</w:t>
            </w:r>
          </w:p>
        </w:tc>
        <w:tc>
          <w:tcPr>
            <w:tcW w:w="630" w:type="dxa"/>
            <w:noWrap w:val="0"/>
            <w:vAlign w:val="center"/>
          </w:tcPr>
          <w:p w14:paraId="05EF0AB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4EA3BCF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胶囊剂</w:t>
            </w:r>
          </w:p>
        </w:tc>
        <w:tc>
          <w:tcPr>
            <w:tcW w:w="1665" w:type="dxa"/>
            <w:noWrap w:val="0"/>
            <w:vAlign w:val="center"/>
          </w:tcPr>
          <w:p w14:paraId="042AD7F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珠海安生凤凰制药有限公司</w:t>
            </w:r>
          </w:p>
        </w:tc>
        <w:tc>
          <w:tcPr>
            <w:tcW w:w="1060" w:type="dxa"/>
            <w:noWrap w:val="0"/>
            <w:vAlign w:val="center"/>
          </w:tcPr>
          <w:p w14:paraId="1270226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EBB7D3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1BC1D16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15.67</w:t>
            </w:r>
          </w:p>
        </w:tc>
        <w:tc>
          <w:tcPr>
            <w:tcW w:w="1427" w:type="dxa"/>
            <w:noWrap w:val="0"/>
            <w:vAlign w:val="center"/>
          </w:tcPr>
          <w:p w14:paraId="45AA15A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湖南津湘药业有限公司</w:t>
            </w:r>
          </w:p>
        </w:tc>
        <w:tc>
          <w:tcPr>
            <w:tcW w:w="653" w:type="dxa"/>
            <w:noWrap w:val="0"/>
            <w:vAlign w:val="center"/>
          </w:tcPr>
          <w:p w14:paraId="76DCC14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2B6580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58A93966">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ZG02AAH0408020300586</w:t>
            </w:r>
          </w:p>
        </w:tc>
      </w:tr>
      <w:tr w14:paraId="1711ED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4C31042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18</w:t>
            </w:r>
          </w:p>
        </w:tc>
        <w:tc>
          <w:tcPr>
            <w:tcW w:w="1322" w:type="dxa"/>
            <w:noWrap w:val="0"/>
            <w:vAlign w:val="center"/>
          </w:tcPr>
          <w:p w14:paraId="7A5448E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藿香正气水</w:t>
            </w:r>
          </w:p>
        </w:tc>
        <w:tc>
          <w:tcPr>
            <w:tcW w:w="1800" w:type="dxa"/>
            <w:noWrap w:val="0"/>
            <w:vAlign w:val="center"/>
          </w:tcPr>
          <w:p w14:paraId="0E0B92E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每支装10ml×10支/盒</w:t>
            </w:r>
          </w:p>
        </w:tc>
        <w:tc>
          <w:tcPr>
            <w:tcW w:w="630" w:type="dxa"/>
            <w:noWrap w:val="0"/>
            <w:vAlign w:val="center"/>
          </w:tcPr>
          <w:p w14:paraId="6D7C4F2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B8A981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酊剂</w:t>
            </w:r>
          </w:p>
        </w:tc>
        <w:tc>
          <w:tcPr>
            <w:tcW w:w="1665" w:type="dxa"/>
            <w:noWrap w:val="0"/>
            <w:vAlign w:val="center"/>
          </w:tcPr>
          <w:p w14:paraId="0B68733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四川彩虹制药有限公司</w:t>
            </w:r>
          </w:p>
        </w:tc>
        <w:tc>
          <w:tcPr>
            <w:tcW w:w="1060" w:type="dxa"/>
            <w:noWrap w:val="0"/>
            <w:vAlign w:val="center"/>
          </w:tcPr>
          <w:p w14:paraId="756675B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5B1B80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321F2D9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w:t>
            </w:r>
          </w:p>
        </w:tc>
        <w:tc>
          <w:tcPr>
            <w:tcW w:w="1427" w:type="dxa"/>
            <w:noWrap w:val="0"/>
            <w:vAlign w:val="center"/>
          </w:tcPr>
          <w:p w14:paraId="1BFD6D4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5CCAA3E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93FFA5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17C959C5">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ZA02AAH0441010102125</w:t>
            </w:r>
          </w:p>
        </w:tc>
      </w:tr>
      <w:tr w14:paraId="74F8B0A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31" w:hRule="atLeast"/>
          <w:jc w:val="center"/>
        </w:trPr>
        <w:tc>
          <w:tcPr>
            <w:tcW w:w="560" w:type="dxa"/>
            <w:noWrap w:val="0"/>
            <w:vAlign w:val="center"/>
          </w:tcPr>
          <w:p w14:paraId="534C3C9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19</w:t>
            </w:r>
          </w:p>
        </w:tc>
        <w:tc>
          <w:tcPr>
            <w:tcW w:w="1322" w:type="dxa"/>
            <w:noWrap w:val="0"/>
            <w:vAlign w:val="center"/>
          </w:tcPr>
          <w:p w14:paraId="3F6A303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甲硝唑氯化钠注射液</w:t>
            </w:r>
          </w:p>
        </w:tc>
        <w:tc>
          <w:tcPr>
            <w:tcW w:w="1800" w:type="dxa"/>
            <w:noWrap w:val="0"/>
            <w:vAlign w:val="center"/>
          </w:tcPr>
          <w:p w14:paraId="627708D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100ml</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甲硝唑0.5g与氯化钠0.8g×1袋/袋</w:t>
            </w:r>
          </w:p>
        </w:tc>
        <w:tc>
          <w:tcPr>
            <w:tcW w:w="630" w:type="dxa"/>
            <w:noWrap w:val="0"/>
            <w:vAlign w:val="center"/>
          </w:tcPr>
          <w:p w14:paraId="275B119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321A21C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注射液</w:t>
            </w:r>
          </w:p>
        </w:tc>
        <w:tc>
          <w:tcPr>
            <w:tcW w:w="1665" w:type="dxa"/>
            <w:noWrap w:val="0"/>
            <w:vAlign w:val="center"/>
          </w:tcPr>
          <w:p w14:paraId="4EEC175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东莞市普济药业有限公司</w:t>
            </w:r>
          </w:p>
        </w:tc>
        <w:tc>
          <w:tcPr>
            <w:tcW w:w="1060" w:type="dxa"/>
            <w:noWrap w:val="0"/>
            <w:vAlign w:val="center"/>
          </w:tcPr>
          <w:p w14:paraId="3D88C2F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3B3457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2F167A1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5.01</w:t>
            </w:r>
          </w:p>
        </w:tc>
        <w:tc>
          <w:tcPr>
            <w:tcW w:w="1427" w:type="dxa"/>
            <w:noWrap w:val="0"/>
            <w:vAlign w:val="center"/>
          </w:tcPr>
          <w:p w14:paraId="47B565B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37BF294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E18B84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39161F7">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XJ01XDJ185B002020100251</w:t>
            </w:r>
          </w:p>
        </w:tc>
      </w:tr>
      <w:tr w14:paraId="194CE0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5DE4295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w:t>
            </w:r>
          </w:p>
        </w:tc>
        <w:tc>
          <w:tcPr>
            <w:tcW w:w="1322" w:type="dxa"/>
            <w:noWrap w:val="0"/>
            <w:vAlign w:val="center"/>
          </w:tcPr>
          <w:p w14:paraId="270ABE1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甲硝唑片</w:t>
            </w:r>
          </w:p>
        </w:tc>
        <w:tc>
          <w:tcPr>
            <w:tcW w:w="1800" w:type="dxa"/>
            <w:noWrap w:val="0"/>
            <w:vAlign w:val="center"/>
          </w:tcPr>
          <w:p w14:paraId="0770EBE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0.2g×100片/瓶</w:t>
            </w:r>
          </w:p>
        </w:tc>
        <w:tc>
          <w:tcPr>
            <w:tcW w:w="630" w:type="dxa"/>
            <w:noWrap w:val="0"/>
            <w:vAlign w:val="center"/>
          </w:tcPr>
          <w:p w14:paraId="70336D4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0636696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5F01052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四川科伦药业股份有限公司</w:t>
            </w:r>
          </w:p>
        </w:tc>
        <w:tc>
          <w:tcPr>
            <w:tcW w:w="1060" w:type="dxa"/>
            <w:noWrap w:val="0"/>
            <w:vAlign w:val="center"/>
          </w:tcPr>
          <w:p w14:paraId="702765F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A5EDA1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33FD8F5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6.46</w:t>
            </w:r>
          </w:p>
        </w:tc>
        <w:tc>
          <w:tcPr>
            <w:tcW w:w="1427" w:type="dxa"/>
            <w:noWrap w:val="0"/>
            <w:vAlign w:val="center"/>
          </w:tcPr>
          <w:p w14:paraId="3C4E2D2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国药控股株洲有限公司</w:t>
            </w:r>
          </w:p>
        </w:tc>
        <w:tc>
          <w:tcPr>
            <w:tcW w:w="653" w:type="dxa"/>
            <w:noWrap w:val="0"/>
            <w:vAlign w:val="center"/>
          </w:tcPr>
          <w:p w14:paraId="2E4DA01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5E29CA1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318C1B08">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XP01ABJ070A001010202292</w:t>
            </w:r>
          </w:p>
        </w:tc>
      </w:tr>
      <w:tr w14:paraId="6CA74EE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30F2A24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21</w:t>
            </w:r>
          </w:p>
        </w:tc>
        <w:tc>
          <w:tcPr>
            <w:tcW w:w="1322" w:type="dxa"/>
            <w:noWrap w:val="0"/>
            <w:vAlign w:val="center"/>
          </w:tcPr>
          <w:p w14:paraId="3188F891">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酒石酸美</w:t>
            </w:r>
          </w:p>
          <w:p w14:paraId="66FDBD7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托洛尔片</w:t>
            </w:r>
          </w:p>
        </w:tc>
        <w:tc>
          <w:tcPr>
            <w:tcW w:w="1800" w:type="dxa"/>
            <w:noWrap w:val="0"/>
            <w:vAlign w:val="center"/>
          </w:tcPr>
          <w:p w14:paraId="7376ACC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50mg×24片/盒</w:t>
            </w:r>
          </w:p>
        </w:tc>
        <w:tc>
          <w:tcPr>
            <w:tcW w:w="630" w:type="dxa"/>
            <w:noWrap w:val="0"/>
            <w:vAlign w:val="center"/>
          </w:tcPr>
          <w:p w14:paraId="0DC4AE0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D3AC9A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7326714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烟台巨先药业有限公司</w:t>
            </w:r>
          </w:p>
        </w:tc>
        <w:tc>
          <w:tcPr>
            <w:tcW w:w="1060" w:type="dxa"/>
            <w:noWrap w:val="0"/>
            <w:vAlign w:val="center"/>
          </w:tcPr>
          <w:p w14:paraId="7E3461D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1DC9CE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79801A9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2.4</w:t>
            </w:r>
          </w:p>
        </w:tc>
        <w:tc>
          <w:tcPr>
            <w:tcW w:w="1427" w:type="dxa"/>
            <w:noWrap w:val="0"/>
            <w:vAlign w:val="center"/>
          </w:tcPr>
          <w:p w14:paraId="41A8CC8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湖南千金，国控，华润，津湘</w:t>
            </w:r>
          </w:p>
        </w:tc>
        <w:tc>
          <w:tcPr>
            <w:tcW w:w="653" w:type="dxa"/>
            <w:noWrap w:val="0"/>
            <w:vAlign w:val="center"/>
          </w:tcPr>
          <w:p w14:paraId="12F89BA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BB0EC4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07825709">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XC07ABM062A001020204190</w:t>
            </w:r>
          </w:p>
        </w:tc>
      </w:tr>
      <w:tr w14:paraId="6AA2A45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93" w:hRule="atLeast"/>
          <w:jc w:val="center"/>
        </w:trPr>
        <w:tc>
          <w:tcPr>
            <w:tcW w:w="560" w:type="dxa"/>
            <w:noWrap w:val="0"/>
            <w:vAlign w:val="center"/>
          </w:tcPr>
          <w:p w14:paraId="5CBE7891">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22</w:t>
            </w:r>
          </w:p>
        </w:tc>
        <w:tc>
          <w:tcPr>
            <w:tcW w:w="1322" w:type="dxa"/>
            <w:noWrap w:val="0"/>
            <w:vAlign w:val="center"/>
          </w:tcPr>
          <w:p w14:paraId="38BDAC1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橘红颗粒</w:t>
            </w:r>
          </w:p>
        </w:tc>
        <w:tc>
          <w:tcPr>
            <w:tcW w:w="1800" w:type="dxa"/>
            <w:noWrap w:val="0"/>
            <w:vAlign w:val="center"/>
          </w:tcPr>
          <w:p w14:paraId="4C10151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每袋装6g（无糖型）</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每袋相当于饮片7g×12袋/盒</w:t>
            </w:r>
          </w:p>
        </w:tc>
        <w:tc>
          <w:tcPr>
            <w:tcW w:w="630" w:type="dxa"/>
            <w:noWrap w:val="0"/>
            <w:vAlign w:val="center"/>
          </w:tcPr>
          <w:p w14:paraId="1FCDB84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0D11DA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颗粒剂</w:t>
            </w:r>
          </w:p>
        </w:tc>
        <w:tc>
          <w:tcPr>
            <w:tcW w:w="1665" w:type="dxa"/>
            <w:noWrap w:val="0"/>
            <w:vAlign w:val="center"/>
          </w:tcPr>
          <w:p w14:paraId="1ED1654E">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云南海沣药业有限公司</w:t>
            </w:r>
          </w:p>
        </w:tc>
        <w:tc>
          <w:tcPr>
            <w:tcW w:w="1060" w:type="dxa"/>
            <w:noWrap w:val="0"/>
            <w:vAlign w:val="center"/>
          </w:tcPr>
          <w:p w14:paraId="2C7763D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167262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79329127">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21.4</w:t>
            </w:r>
          </w:p>
        </w:tc>
        <w:tc>
          <w:tcPr>
            <w:tcW w:w="1427" w:type="dxa"/>
            <w:noWrap w:val="0"/>
            <w:vAlign w:val="center"/>
          </w:tcPr>
          <w:p w14:paraId="56357BC1">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0DB0450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718E6BC7">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679E557E">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ZA06CAJ0683010205704</w:t>
            </w:r>
          </w:p>
        </w:tc>
      </w:tr>
      <w:tr w14:paraId="29F02A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5502E5A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23</w:t>
            </w:r>
          </w:p>
        </w:tc>
        <w:tc>
          <w:tcPr>
            <w:tcW w:w="1322" w:type="dxa"/>
            <w:noWrap w:val="0"/>
            <w:vAlign w:val="center"/>
          </w:tcPr>
          <w:p w14:paraId="7167B1A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六味地黄丸（浓缩丸）</w:t>
            </w:r>
          </w:p>
        </w:tc>
        <w:tc>
          <w:tcPr>
            <w:tcW w:w="1800" w:type="dxa"/>
            <w:noWrap w:val="0"/>
            <w:vAlign w:val="center"/>
          </w:tcPr>
          <w:p w14:paraId="4E8EB54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每8丸重1.44g（每8丸相当于饮片3g）×200丸/瓶</w:t>
            </w:r>
          </w:p>
        </w:tc>
        <w:tc>
          <w:tcPr>
            <w:tcW w:w="630" w:type="dxa"/>
            <w:noWrap w:val="0"/>
            <w:vAlign w:val="center"/>
          </w:tcPr>
          <w:p w14:paraId="4D6A90B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114B6C2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浓缩丸</w:t>
            </w:r>
          </w:p>
        </w:tc>
        <w:tc>
          <w:tcPr>
            <w:tcW w:w="1665" w:type="dxa"/>
            <w:noWrap w:val="0"/>
            <w:vAlign w:val="center"/>
          </w:tcPr>
          <w:p w14:paraId="17B8A4B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九芝堂股份有限公司</w:t>
            </w:r>
          </w:p>
        </w:tc>
        <w:tc>
          <w:tcPr>
            <w:tcW w:w="1060" w:type="dxa"/>
            <w:noWrap w:val="0"/>
            <w:vAlign w:val="center"/>
          </w:tcPr>
          <w:p w14:paraId="37C0E2F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DEBD51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3FCA7D7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15.8</w:t>
            </w:r>
          </w:p>
        </w:tc>
        <w:tc>
          <w:tcPr>
            <w:tcW w:w="1427" w:type="dxa"/>
            <w:noWrap w:val="0"/>
            <w:vAlign w:val="center"/>
          </w:tcPr>
          <w:p w14:paraId="177A3A6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茶陵县宝康医药有限公司</w:t>
            </w:r>
          </w:p>
        </w:tc>
        <w:tc>
          <w:tcPr>
            <w:tcW w:w="653" w:type="dxa"/>
            <w:noWrap w:val="0"/>
            <w:vAlign w:val="center"/>
          </w:tcPr>
          <w:p w14:paraId="7E110D8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1495E18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1A881F41">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ZA09CAL0264020105015</w:t>
            </w:r>
          </w:p>
        </w:tc>
      </w:tr>
      <w:tr w14:paraId="74D7BDB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17" w:hRule="atLeast"/>
          <w:jc w:val="center"/>
        </w:trPr>
        <w:tc>
          <w:tcPr>
            <w:tcW w:w="560" w:type="dxa"/>
            <w:noWrap w:val="0"/>
            <w:vAlign w:val="center"/>
          </w:tcPr>
          <w:p w14:paraId="337F72F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24</w:t>
            </w:r>
          </w:p>
        </w:tc>
        <w:tc>
          <w:tcPr>
            <w:tcW w:w="1322" w:type="dxa"/>
            <w:noWrap w:val="0"/>
            <w:vAlign w:val="center"/>
          </w:tcPr>
          <w:p w14:paraId="4F8A56D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氯雷他定片</w:t>
            </w:r>
          </w:p>
        </w:tc>
        <w:tc>
          <w:tcPr>
            <w:tcW w:w="1800" w:type="dxa"/>
            <w:noWrap w:val="0"/>
            <w:vAlign w:val="center"/>
          </w:tcPr>
          <w:p w14:paraId="100A1AA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10mg×6片/盒</w:t>
            </w:r>
          </w:p>
        </w:tc>
        <w:tc>
          <w:tcPr>
            <w:tcW w:w="630" w:type="dxa"/>
            <w:noWrap w:val="0"/>
            <w:vAlign w:val="center"/>
          </w:tcPr>
          <w:p w14:paraId="584FE4A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7252CE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311A8F7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三门峡赛诺维制药有限公司</w:t>
            </w:r>
          </w:p>
        </w:tc>
        <w:tc>
          <w:tcPr>
            <w:tcW w:w="1060" w:type="dxa"/>
            <w:noWrap w:val="0"/>
            <w:vAlign w:val="center"/>
          </w:tcPr>
          <w:p w14:paraId="71829BA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2F57945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2CFA137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1.22</w:t>
            </w:r>
          </w:p>
        </w:tc>
        <w:tc>
          <w:tcPr>
            <w:tcW w:w="1427" w:type="dxa"/>
            <w:noWrap w:val="0"/>
            <w:vAlign w:val="center"/>
          </w:tcPr>
          <w:p w14:paraId="381E074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15957EB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549724C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76A0A3B2">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XR06AXL226A001010203190</w:t>
            </w:r>
          </w:p>
        </w:tc>
      </w:tr>
      <w:tr w14:paraId="60A0063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99" w:hRule="atLeast"/>
          <w:jc w:val="center"/>
        </w:trPr>
        <w:tc>
          <w:tcPr>
            <w:tcW w:w="560" w:type="dxa"/>
            <w:noWrap w:val="0"/>
            <w:vAlign w:val="center"/>
          </w:tcPr>
          <w:p w14:paraId="23E86C9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25</w:t>
            </w:r>
          </w:p>
        </w:tc>
        <w:tc>
          <w:tcPr>
            <w:tcW w:w="1322" w:type="dxa"/>
            <w:noWrap w:val="0"/>
            <w:vAlign w:val="center"/>
          </w:tcPr>
          <w:p w14:paraId="7E5E75D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麻仁润肠丸</w:t>
            </w:r>
          </w:p>
        </w:tc>
        <w:tc>
          <w:tcPr>
            <w:tcW w:w="1800" w:type="dxa"/>
            <w:noWrap w:val="0"/>
            <w:vAlign w:val="center"/>
          </w:tcPr>
          <w:p w14:paraId="4F10D98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每丸重6克×10丸/盒</w:t>
            </w:r>
          </w:p>
        </w:tc>
        <w:tc>
          <w:tcPr>
            <w:tcW w:w="630" w:type="dxa"/>
            <w:noWrap w:val="0"/>
            <w:vAlign w:val="center"/>
          </w:tcPr>
          <w:p w14:paraId="720976D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D0BBCE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丸剂（大蜜丸）</w:t>
            </w:r>
          </w:p>
        </w:tc>
        <w:tc>
          <w:tcPr>
            <w:tcW w:w="1665" w:type="dxa"/>
            <w:noWrap w:val="0"/>
            <w:vAlign w:val="center"/>
          </w:tcPr>
          <w:p w14:paraId="1336F0F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江西青春康源制药有限公司</w:t>
            </w:r>
          </w:p>
        </w:tc>
        <w:tc>
          <w:tcPr>
            <w:tcW w:w="1060" w:type="dxa"/>
            <w:noWrap w:val="0"/>
            <w:vAlign w:val="center"/>
          </w:tcPr>
          <w:p w14:paraId="7CE2BDB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3A6056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66C1ED8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9.8</w:t>
            </w:r>
          </w:p>
        </w:tc>
        <w:tc>
          <w:tcPr>
            <w:tcW w:w="1427" w:type="dxa"/>
            <w:noWrap w:val="0"/>
            <w:vAlign w:val="center"/>
          </w:tcPr>
          <w:p w14:paraId="363BB91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3D3B07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6ED6DB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326E2659">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ZA03BAM0012020105336</w:t>
            </w:r>
          </w:p>
        </w:tc>
      </w:tr>
      <w:tr w14:paraId="43DD279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192" w:hRule="atLeast"/>
          <w:jc w:val="center"/>
        </w:trPr>
        <w:tc>
          <w:tcPr>
            <w:tcW w:w="560" w:type="dxa"/>
            <w:noWrap w:val="0"/>
            <w:vAlign w:val="center"/>
          </w:tcPr>
          <w:p w14:paraId="56CEA83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26</w:t>
            </w:r>
          </w:p>
        </w:tc>
        <w:tc>
          <w:tcPr>
            <w:tcW w:w="1322" w:type="dxa"/>
            <w:noWrap w:val="0"/>
            <w:vAlign w:val="center"/>
          </w:tcPr>
          <w:p w14:paraId="534A2146">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马来酸依</w:t>
            </w:r>
          </w:p>
          <w:p w14:paraId="0798ABC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那普利片</w:t>
            </w:r>
          </w:p>
        </w:tc>
        <w:tc>
          <w:tcPr>
            <w:tcW w:w="1800" w:type="dxa"/>
            <w:noWrap w:val="0"/>
            <w:vAlign w:val="center"/>
          </w:tcPr>
          <w:p w14:paraId="310074A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10mg×16片/盒</w:t>
            </w:r>
          </w:p>
        </w:tc>
        <w:tc>
          <w:tcPr>
            <w:tcW w:w="630" w:type="dxa"/>
            <w:noWrap w:val="0"/>
            <w:vAlign w:val="center"/>
          </w:tcPr>
          <w:p w14:paraId="284CEEB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14950A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29DBC3F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扬子江药业集团江苏制药股份有限公司</w:t>
            </w:r>
          </w:p>
        </w:tc>
        <w:tc>
          <w:tcPr>
            <w:tcW w:w="1060" w:type="dxa"/>
            <w:noWrap w:val="0"/>
            <w:vAlign w:val="center"/>
          </w:tcPr>
          <w:p w14:paraId="5498FD7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EA44D3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511B5B6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5.44</w:t>
            </w:r>
          </w:p>
        </w:tc>
        <w:tc>
          <w:tcPr>
            <w:tcW w:w="1427" w:type="dxa"/>
            <w:noWrap w:val="0"/>
            <w:vAlign w:val="center"/>
          </w:tcPr>
          <w:p w14:paraId="0DF258D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29A0BE4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206A95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3B45056D">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XC09AAY074A001010101747</w:t>
            </w:r>
          </w:p>
        </w:tc>
      </w:tr>
      <w:tr w14:paraId="5D0D9BE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6E8925F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27</w:t>
            </w:r>
          </w:p>
        </w:tc>
        <w:tc>
          <w:tcPr>
            <w:tcW w:w="1322" w:type="dxa"/>
            <w:noWrap w:val="0"/>
            <w:vAlign w:val="center"/>
          </w:tcPr>
          <w:p w14:paraId="4886588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蒙脱石散</w:t>
            </w:r>
          </w:p>
        </w:tc>
        <w:tc>
          <w:tcPr>
            <w:tcW w:w="1800" w:type="dxa"/>
            <w:noWrap w:val="0"/>
            <w:vAlign w:val="center"/>
          </w:tcPr>
          <w:p w14:paraId="3D915C0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每袋含蒙脱石3g×12袋/盒</w:t>
            </w:r>
          </w:p>
        </w:tc>
        <w:tc>
          <w:tcPr>
            <w:tcW w:w="630" w:type="dxa"/>
            <w:noWrap w:val="0"/>
            <w:vAlign w:val="center"/>
          </w:tcPr>
          <w:p w14:paraId="6297DF9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49C8A6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散剂</w:t>
            </w:r>
          </w:p>
        </w:tc>
        <w:tc>
          <w:tcPr>
            <w:tcW w:w="1665" w:type="dxa"/>
            <w:noWrap w:val="0"/>
            <w:vAlign w:val="center"/>
          </w:tcPr>
          <w:p w14:paraId="6DFF82E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哈药集团中药二厂</w:t>
            </w:r>
          </w:p>
        </w:tc>
        <w:tc>
          <w:tcPr>
            <w:tcW w:w="1060" w:type="dxa"/>
            <w:noWrap w:val="0"/>
            <w:vAlign w:val="center"/>
          </w:tcPr>
          <w:p w14:paraId="56832FD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2C7215B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3A78B69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3.56</w:t>
            </w:r>
          </w:p>
        </w:tc>
        <w:tc>
          <w:tcPr>
            <w:tcW w:w="1427" w:type="dxa"/>
            <w:noWrap w:val="0"/>
            <w:vAlign w:val="center"/>
          </w:tcPr>
          <w:p w14:paraId="03F7D6C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39A334E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A7DC9CE">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23CE81A7">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XA07BCM081P001010203714</w:t>
            </w:r>
          </w:p>
        </w:tc>
      </w:tr>
      <w:tr w14:paraId="4D29B67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19C6AC1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28</w:t>
            </w:r>
          </w:p>
        </w:tc>
        <w:tc>
          <w:tcPr>
            <w:tcW w:w="1322" w:type="dxa"/>
            <w:noWrap w:val="0"/>
            <w:vAlign w:val="center"/>
          </w:tcPr>
          <w:p w14:paraId="79DC3AA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脑心通胶囊</w:t>
            </w:r>
          </w:p>
        </w:tc>
        <w:tc>
          <w:tcPr>
            <w:tcW w:w="1800" w:type="dxa"/>
            <w:noWrap w:val="0"/>
            <w:vAlign w:val="center"/>
          </w:tcPr>
          <w:p w14:paraId="40E6676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每粒装0.4g×48粒/盒</w:t>
            </w:r>
          </w:p>
        </w:tc>
        <w:tc>
          <w:tcPr>
            <w:tcW w:w="630" w:type="dxa"/>
            <w:noWrap w:val="0"/>
            <w:vAlign w:val="center"/>
          </w:tcPr>
          <w:p w14:paraId="6BFAC92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DB83C6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胶囊剂</w:t>
            </w:r>
          </w:p>
        </w:tc>
        <w:tc>
          <w:tcPr>
            <w:tcW w:w="1665" w:type="dxa"/>
            <w:noWrap w:val="0"/>
            <w:vAlign w:val="center"/>
          </w:tcPr>
          <w:p w14:paraId="322DE09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陕西步长制药有限公司</w:t>
            </w:r>
          </w:p>
        </w:tc>
        <w:tc>
          <w:tcPr>
            <w:tcW w:w="1060" w:type="dxa"/>
            <w:noWrap w:val="0"/>
            <w:vAlign w:val="center"/>
          </w:tcPr>
          <w:p w14:paraId="17F38EE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66F9059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28D8E9F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26.26</w:t>
            </w:r>
          </w:p>
        </w:tc>
        <w:tc>
          <w:tcPr>
            <w:tcW w:w="1427" w:type="dxa"/>
            <w:noWrap w:val="0"/>
            <w:vAlign w:val="center"/>
          </w:tcPr>
          <w:p w14:paraId="1FD025A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7B3BA16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5813673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47BA33B0">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ZA12AAN0052020202547</w:t>
            </w:r>
          </w:p>
        </w:tc>
      </w:tr>
      <w:tr w14:paraId="5D5D5BE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6E6B273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29</w:t>
            </w:r>
          </w:p>
        </w:tc>
        <w:tc>
          <w:tcPr>
            <w:tcW w:w="1322" w:type="dxa"/>
            <w:noWrap w:val="0"/>
            <w:vAlign w:val="center"/>
          </w:tcPr>
          <w:p w14:paraId="5F0C8BB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尼群地平片</w:t>
            </w:r>
          </w:p>
        </w:tc>
        <w:tc>
          <w:tcPr>
            <w:tcW w:w="1800" w:type="dxa"/>
            <w:noWrap w:val="0"/>
            <w:vAlign w:val="center"/>
          </w:tcPr>
          <w:p w14:paraId="3C144C8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10mg×100片/瓶</w:t>
            </w:r>
          </w:p>
        </w:tc>
        <w:tc>
          <w:tcPr>
            <w:tcW w:w="630" w:type="dxa"/>
            <w:noWrap w:val="0"/>
            <w:vAlign w:val="center"/>
          </w:tcPr>
          <w:p w14:paraId="3F26362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B4B93B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01DBD20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湖南千金协力药业有限公司</w:t>
            </w:r>
          </w:p>
        </w:tc>
        <w:tc>
          <w:tcPr>
            <w:tcW w:w="1060" w:type="dxa"/>
            <w:noWrap w:val="0"/>
            <w:vAlign w:val="center"/>
          </w:tcPr>
          <w:p w14:paraId="75109F4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4F2A0C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44F9DC2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8.4</w:t>
            </w:r>
          </w:p>
        </w:tc>
        <w:tc>
          <w:tcPr>
            <w:tcW w:w="1427" w:type="dxa"/>
            <w:noWrap w:val="0"/>
            <w:vAlign w:val="center"/>
          </w:tcPr>
          <w:p w14:paraId="65E7ADB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5F34971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7C54FB89">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32BA9A1D">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XC08CAN045A001010104989</w:t>
            </w:r>
          </w:p>
        </w:tc>
      </w:tr>
      <w:tr w14:paraId="3C717CD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0FD9D40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30</w:t>
            </w:r>
          </w:p>
        </w:tc>
        <w:tc>
          <w:tcPr>
            <w:tcW w:w="1322" w:type="dxa"/>
            <w:noWrap w:val="0"/>
            <w:vAlign w:val="center"/>
          </w:tcPr>
          <w:p w14:paraId="5FE1759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强力枇杷露</w:t>
            </w:r>
          </w:p>
        </w:tc>
        <w:tc>
          <w:tcPr>
            <w:tcW w:w="1800" w:type="dxa"/>
            <w:noWrap w:val="0"/>
            <w:vAlign w:val="center"/>
          </w:tcPr>
          <w:p w14:paraId="0186146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每瓶装150ml（无糖型）×1瓶/盒</w:t>
            </w:r>
          </w:p>
        </w:tc>
        <w:tc>
          <w:tcPr>
            <w:tcW w:w="630" w:type="dxa"/>
            <w:noWrap w:val="0"/>
            <w:vAlign w:val="center"/>
          </w:tcPr>
          <w:p w14:paraId="090269D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48C7064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糖浆剂</w:t>
            </w:r>
          </w:p>
        </w:tc>
        <w:tc>
          <w:tcPr>
            <w:tcW w:w="1665" w:type="dxa"/>
            <w:noWrap w:val="0"/>
            <w:vAlign w:val="center"/>
          </w:tcPr>
          <w:p w14:paraId="5FB3653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哈尔滨市康隆药业有限责任公司</w:t>
            </w:r>
          </w:p>
        </w:tc>
        <w:tc>
          <w:tcPr>
            <w:tcW w:w="1060" w:type="dxa"/>
            <w:noWrap w:val="0"/>
            <w:vAlign w:val="center"/>
          </w:tcPr>
          <w:p w14:paraId="28FB7D9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C8179B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005CF8A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26.3</w:t>
            </w:r>
          </w:p>
        </w:tc>
        <w:tc>
          <w:tcPr>
            <w:tcW w:w="1427" w:type="dxa"/>
            <w:noWrap w:val="0"/>
            <w:vAlign w:val="center"/>
          </w:tcPr>
          <w:p w14:paraId="2FBCF34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761447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7B899C3F">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7BB7DCA5">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ZA06BBQ0240030103670</w:t>
            </w:r>
          </w:p>
        </w:tc>
      </w:tr>
      <w:tr w14:paraId="454E67A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4973606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31</w:t>
            </w:r>
          </w:p>
        </w:tc>
        <w:tc>
          <w:tcPr>
            <w:tcW w:w="1322" w:type="dxa"/>
            <w:noWrap w:val="0"/>
            <w:vAlign w:val="center"/>
          </w:tcPr>
          <w:p w14:paraId="13E558F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蛇胆川贝液</w:t>
            </w:r>
          </w:p>
        </w:tc>
        <w:tc>
          <w:tcPr>
            <w:tcW w:w="1800" w:type="dxa"/>
            <w:noWrap w:val="0"/>
            <w:vAlign w:val="center"/>
          </w:tcPr>
          <w:p w14:paraId="5795842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每支装10ml×6支/盒</w:t>
            </w:r>
          </w:p>
        </w:tc>
        <w:tc>
          <w:tcPr>
            <w:tcW w:w="630" w:type="dxa"/>
            <w:noWrap w:val="0"/>
            <w:vAlign w:val="center"/>
          </w:tcPr>
          <w:p w14:paraId="26E6594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AF0471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糖浆剂</w:t>
            </w:r>
          </w:p>
        </w:tc>
        <w:tc>
          <w:tcPr>
            <w:tcW w:w="1665" w:type="dxa"/>
            <w:noWrap w:val="0"/>
            <w:vAlign w:val="center"/>
          </w:tcPr>
          <w:p w14:paraId="3748E7D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湖北东信药业有限公司</w:t>
            </w:r>
          </w:p>
        </w:tc>
        <w:tc>
          <w:tcPr>
            <w:tcW w:w="1060" w:type="dxa"/>
            <w:noWrap w:val="0"/>
            <w:vAlign w:val="center"/>
          </w:tcPr>
          <w:p w14:paraId="2153C7C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0D2C48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72D851D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7.05</w:t>
            </w:r>
          </w:p>
        </w:tc>
        <w:tc>
          <w:tcPr>
            <w:tcW w:w="1427" w:type="dxa"/>
            <w:noWrap w:val="0"/>
            <w:vAlign w:val="center"/>
          </w:tcPr>
          <w:p w14:paraId="0B32D5A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2E2F2AD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2B2308E">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577EDDAA">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ZA06CAS0325010101851</w:t>
            </w:r>
          </w:p>
        </w:tc>
      </w:tr>
      <w:tr w14:paraId="446D029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17155121">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32</w:t>
            </w:r>
          </w:p>
        </w:tc>
        <w:tc>
          <w:tcPr>
            <w:tcW w:w="1322" w:type="dxa"/>
            <w:noWrap w:val="0"/>
            <w:vAlign w:val="center"/>
          </w:tcPr>
          <w:p w14:paraId="6AC7294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舒筋活血片</w:t>
            </w:r>
          </w:p>
        </w:tc>
        <w:tc>
          <w:tcPr>
            <w:tcW w:w="1800" w:type="dxa"/>
            <w:noWrap w:val="0"/>
            <w:vAlign w:val="center"/>
          </w:tcPr>
          <w:p w14:paraId="5C9A241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每片重0.3g×48片/盒</w:t>
            </w:r>
          </w:p>
        </w:tc>
        <w:tc>
          <w:tcPr>
            <w:tcW w:w="630" w:type="dxa"/>
            <w:noWrap w:val="0"/>
            <w:vAlign w:val="center"/>
          </w:tcPr>
          <w:p w14:paraId="460CDB2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6F9BB88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2CD1EA6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库尔勒龙之源药业有限责任公司</w:t>
            </w:r>
          </w:p>
        </w:tc>
        <w:tc>
          <w:tcPr>
            <w:tcW w:w="1060" w:type="dxa"/>
            <w:noWrap w:val="0"/>
            <w:vAlign w:val="center"/>
          </w:tcPr>
          <w:p w14:paraId="3A42768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BC7280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4F84E68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12.34</w:t>
            </w:r>
          </w:p>
        </w:tc>
        <w:tc>
          <w:tcPr>
            <w:tcW w:w="1427" w:type="dxa"/>
            <w:noWrap w:val="0"/>
            <w:vAlign w:val="center"/>
          </w:tcPr>
          <w:p w14:paraId="574009B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9480D7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4C47EC94">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64115DFF">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ZG02AAS0733010105966</w:t>
            </w:r>
          </w:p>
        </w:tc>
      </w:tr>
      <w:tr w14:paraId="2A11558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54" w:hRule="atLeast"/>
          <w:jc w:val="center"/>
        </w:trPr>
        <w:tc>
          <w:tcPr>
            <w:tcW w:w="560" w:type="dxa"/>
            <w:noWrap w:val="0"/>
            <w:vAlign w:val="center"/>
          </w:tcPr>
          <w:p w14:paraId="1B2F571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33</w:t>
            </w:r>
          </w:p>
        </w:tc>
        <w:tc>
          <w:tcPr>
            <w:tcW w:w="1322" w:type="dxa"/>
            <w:noWrap w:val="0"/>
            <w:vAlign w:val="center"/>
          </w:tcPr>
          <w:p w14:paraId="7B4E619E">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双黄连</w:t>
            </w:r>
          </w:p>
          <w:p w14:paraId="4919A6B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口服液</w:t>
            </w:r>
          </w:p>
        </w:tc>
        <w:tc>
          <w:tcPr>
            <w:tcW w:w="1800" w:type="dxa"/>
            <w:noWrap w:val="0"/>
            <w:vAlign w:val="center"/>
          </w:tcPr>
          <w:p w14:paraId="5AC4834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10ml（相当于饮片7.5g）（儿童型）×12支/盒</w:t>
            </w:r>
          </w:p>
        </w:tc>
        <w:tc>
          <w:tcPr>
            <w:tcW w:w="630" w:type="dxa"/>
            <w:noWrap w:val="0"/>
            <w:vAlign w:val="center"/>
          </w:tcPr>
          <w:p w14:paraId="1C5A1DF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0F8381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合剂</w:t>
            </w:r>
          </w:p>
        </w:tc>
        <w:tc>
          <w:tcPr>
            <w:tcW w:w="1665" w:type="dxa"/>
            <w:noWrap w:val="0"/>
            <w:vAlign w:val="center"/>
          </w:tcPr>
          <w:p w14:paraId="1A7D3A8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河南太龙药业股份有限公司</w:t>
            </w:r>
          </w:p>
        </w:tc>
        <w:tc>
          <w:tcPr>
            <w:tcW w:w="1060" w:type="dxa"/>
            <w:noWrap w:val="0"/>
            <w:vAlign w:val="center"/>
          </w:tcPr>
          <w:p w14:paraId="09F2489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720DBD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5EFD41F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11.25</w:t>
            </w:r>
          </w:p>
        </w:tc>
        <w:tc>
          <w:tcPr>
            <w:tcW w:w="1427" w:type="dxa"/>
            <w:noWrap w:val="0"/>
            <w:vAlign w:val="center"/>
          </w:tcPr>
          <w:p w14:paraId="24B57F1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04970B1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3FAFECC">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69429BD5">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rPr>
              <w:t>ZA01BAS0839010403095</w:t>
            </w:r>
          </w:p>
        </w:tc>
      </w:tr>
      <w:tr w14:paraId="027D134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21FD8C7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34</w:t>
            </w:r>
          </w:p>
        </w:tc>
        <w:tc>
          <w:tcPr>
            <w:tcW w:w="1322" w:type="dxa"/>
            <w:noWrap w:val="0"/>
            <w:vAlign w:val="center"/>
          </w:tcPr>
          <w:p w14:paraId="28A05E0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双氯芬酸钠缓释胶囊</w:t>
            </w:r>
          </w:p>
        </w:tc>
        <w:tc>
          <w:tcPr>
            <w:tcW w:w="1800" w:type="dxa"/>
            <w:noWrap w:val="0"/>
            <w:vAlign w:val="center"/>
          </w:tcPr>
          <w:p w14:paraId="61D62E6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0.1g×20粒/盒</w:t>
            </w:r>
          </w:p>
        </w:tc>
        <w:tc>
          <w:tcPr>
            <w:tcW w:w="630" w:type="dxa"/>
            <w:noWrap w:val="0"/>
            <w:vAlign w:val="center"/>
          </w:tcPr>
          <w:p w14:paraId="212E3A3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653B1EF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缓释控释剂型</w:t>
            </w:r>
          </w:p>
        </w:tc>
        <w:tc>
          <w:tcPr>
            <w:tcW w:w="1665" w:type="dxa"/>
            <w:noWrap w:val="0"/>
            <w:vAlign w:val="center"/>
          </w:tcPr>
          <w:p w14:paraId="4E665F3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珠海润都制药股份有限公司</w:t>
            </w:r>
          </w:p>
        </w:tc>
        <w:tc>
          <w:tcPr>
            <w:tcW w:w="1060" w:type="dxa"/>
            <w:noWrap w:val="0"/>
            <w:vAlign w:val="center"/>
          </w:tcPr>
          <w:p w14:paraId="3F5CFA3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82BF12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7C2C983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12.6</w:t>
            </w:r>
          </w:p>
        </w:tc>
        <w:tc>
          <w:tcPr>
            <w:tcW w:w="1427" w:type="dxa"/>
            <w:noWrap w:val="0"/>
            <w:vAlign w:val="center"/>
          </w:tcPr>
          <w:p w14:paraId="614C348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1950337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1D003B3">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4CEECE8F">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XM01ABS120E003010300601</w:t>
            </w:r>
          </w:p>
        </w:tc>
      </w:tr>
      <w:tr w14:paraId="2C4E97F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75" w:hRule="atLeast"/>
          <w:jc w:val="center"/>
        </w:trPr>
        <w:tc>
          <w:tcPr>
            <w:tcW w:w="560" w:type="dxa"/>
            <w:noWrap w:val="0"/>
            <w:vAlign w:val="center"/>
          </w:tcPr>
          <w:p w14:paraId="2A653CC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35</w:t>
            </w:r>
          </w:p>
        </w:tc>
        <w:tc>
          <w:tcPr>
            <w:tcW w:w="1322" w:type="dxa"/>
            <w:noWrap w:val="0"/>
            <w:vAlign w:val="center"/>
          </w:tcPr>
          <w:p w14:paraId="6C89887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通宣理肺片</w:t>
            </w:r>
          </w:p>
        </w:tc>
        <w:tc>
          <w:tcPr>
            <w:tcW w:w="1800" w:type="dxa"/>
            <w:noWrap w:val="0"/>
            <w:vAlign w:val="center"/>
          </w:tcPr>
          <w:p w14:paraId="170B107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每片重0.3g×24片/盒</w:t>
            </w:r>
          </w:p>
        </w:tc>
        <w:tc>
          <w:tcPr>
            <w:tcW w:w="630" w:type="dxa"/>
            <w:noWrap w:val="0"/>
            <w:vAlign w:val="center"/>
          </w:tcPr>
          <w:p w14:paraId="6BC5750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A12D58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薄膜衣片</w:t>
            </w:r>
          </w:p>
        </w:tc>
        <w:tc>
          <w:tcPr>
            <w:tcW w:w="1665" w:type="dxa"/>
            <w:noWrap w:val="0"/>
            <w:vAlign w:val="center"/>
          </w:tcPr>
          <w:p w14:paraId="3816415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广东新峰药业股份有限公司</w:t>
            </w:r>
          </w:p>
        </w:tc>
        <w:tc>
          <w:tcPr>
            <w:tcW w:w="1060" w:type="dxa"/>
            <w:noWrap w:val="0"/>
            <w:vAlign w:val="center"/>
          </w:tcPr>
          <w:p w14:paraId="564C187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715B8CB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3660A84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7.5</w:t>
            </w:r>
          </w:p>
        </w:tc>
        <w:tc>
          <w:tcPr>
            <w:tcW w:w="1427" w:type="dxa"/>
            <w:noWrap w:val="0"/>
            <w:vAlign w:val="center"/>
          </w:tcPr>
          <w:p w14:paraId="2FA05BE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2765B3F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1F5BF0F">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02A5D14B">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ZA06AAT0246010100326</w:t>
            </w:r>
          </w:p>
        </w:tc>
      </w:tr>
      <w:tr w14:paraId="3E97287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17" w:hRule="atLeast"/>
          <w:jc w:val="center"/>
        </w:trPr>
        <w:tc>
          <w:tcPr>
            <w:tcW w:w="560" w:type="dxa"/>
            <w:noWrap w:val="0"/>
            <w:vAlign w:val="center"/>
          </w:tcPr>
          <w:p w14:paraId="3E23170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36</w:t>
            </w:r>
          </w:p>
        </w:tc>
        <w:tc>
          <w:tcPr>
            <w:tcW w:w="1322" w:type="dxa"/>
            <w:noWrap w:val="0"/>
            <w:vAlign w:val="center"/>
          </w:tcPr>
          <w:p w14:paraId="7D8F8032">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头孢拉定</w:t>
            </w:r>
          </w:p>
          <w:p w14:paraId="6B19FD8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    囊</w:t>
            </w:r>
          </w:p>
        </w:tc>
        <w:tc>
          <w:tcPr>
            <w:tcW w:w="1800" w:type="dxa"/>
            <w:noWrap w:val="0"/>
            <w:vAlign w:val="center"/>
          </w:tcPr>
          <w:p w14:paraId="6A2A085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0.25g×24粒/盒</w:t>
            </w:r>
          </w:p>
        </w:tc>
        <w:tc>
          <w:tcPr>
            <w:tcW w:w="630" w:type="dxa"/>
            <w:noWrap w:val="0"/>
            <w:vAlign w:val="center"/>
          </w:tcPr>
          <w:p w14:paraId="3B74920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BE8CB5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436DAAB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湖南科伦制药有限公司</w:t>
            </w:r>
          </w:p>
        </w:tc>
        <w:tc>
          <w:tcPr>
            <w:tcW w:w="1060" w:type="dxa"/>
            <w:noWrap w:val="0"/>
            <w:vAlign w:val="center"/>
          </w:tcPr>
          <w:p w14:paraId="05DB39C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2545D7A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2CD5D96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5.3</w:t>
            </w:r>
          </w:p>
        </w:tc>
        <w:tc>
          <w:tcPr>
            <w:tcW w:w="1427" w:type="dxa"/>
            <w:noWrap w:val="0"/>
            <w:vAlign w:val="center"/>
          </w:tcPr>
          <w:p w14:paraId="52CA670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308DD4A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139E5262">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3BFCDFCE">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XJ01DBT074E001010105006</w:t>
            </w:r>
          </w:p>
        </w:tc>
      </w:tr>
      <w:tr w14:paraId="2819E09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262BB51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37</w:t>
            </w:r>
          </w:p>
        </w:tc>
        <w:tc>
          <w:tcPr>
            <w:tcW w:w="1322" w:type="dxa"/>
            <w:noWrap w:val="0"/>
            <w:vAlign w:val="center"/>
          </w:tcPr>
          <w:p w14:paraId="25CD37C3">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维生素B6</w:t>
            </w:r>
          </w:p>
          <w:p w14:paraId="6C3DCFF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注射液</w:t>
            </w:r>
          </w:p>
        </w:tc>
        <w:tc>
          <w:tcPr>
            <w:tcW w:w="1800" w:type="dxa"/>
            <w:noWrap w:val="0"/>
            <w:vAlign w:val="center"/>
          </w:tcPr>
          <w:p w14:paraId="400A1C5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2ml:0.1g×1支/支</w:t>
            </w:r>
          </w:p>
        </w:tc>
        <w:tc>
          <w:tcPr>
            <w:tcW w:w="630" w:type="dxa"/>
            <w:noWrap w:val="0"/>
            <w:vAlign w:val="center"/>
          </w:tcPr>
          <w:p w14:paraId="1495338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支</w:t>
            </w:r>
          </w:p>
        </w:tc>
        <w:tc>
          <w:tcPr>
            <w:tcW w:w="1545" w:type="dxa"/>
            <w:noWrap w:val="0"/>
            <w:vAlign w:val="center"/>
          </w:tcPr>
          <w:p w14:paraId="0BABCEE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注射剂</w:t>
            </w:r>
          </w:p>
        </w:tc>
        <w:tc>
          <w:tcPr>
            <w:tcW w:w="1665" w:type="dxa"/>
            <w:noWrap w:val="0"/>
            <w:vAlign w:val="center"/>
          </w:tcPr>
          <w:p w14:paraId="64EBC9D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河南润弘制药股份有限公司</w:t>
            </w:r>
          </w:p>
        </w:tc>
        <w:tc>
          <w:tcPr>
            <w:tcW w:w="1060" w:type="dxa"/>
            <w:noWrap w:val="0"/>
            <w:vAlign w:val="center"/>
          </w:tcPr>
          <w:p w14:paraId="0BAFCB7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0E0ED4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66D2032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0.55</w:t>
            </w:r>
          </w:p>
        </w:tc>
        <w:tc>
          <w:tcPr>
            <w:tcW w:w="1427" w:type="dxa"/>
            <w:noWrap w:val="0"/>
            <w:vAlign w:val="center"/>
          </w:tcPr>
          <w:p w14:paraId="6BABBEA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湖南千金，津湘</w:t>
            </w:r>
          </w:p>
        </w:tc>
        <w:tc>
          <w:tcPr>
            <w:tcW w:w="653" w:type="dxa"/>
            <w:noWrap w:val="0"/>
            <w:vAlign w:val="center"/>
          </w:tcPr>
          <w:p w14:paraId="30C0D40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4CADE5F">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13C1B5C0">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XA11HAW041B002010203257</w:t>
            </w:r>
          </w:p>
        </w:tc>
      </w:tr>
      <w:tr w14:paraId="670A824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31" w:hRule="atLeast"/>
          <w:jc w:val="center"/>
        </w:trPr>
        <w:tc>
          <w:tcPr>
            <w:tcW w:w="560" w:type="dxa"/>
            <w:noWrap w:val="0"/>
            <w:vAlign w:val="center"/>
          </w:tcPr>
          <w:p w14:paraId="122EBC9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38</w:t>
            </w:r>
          </w:p>
        </w:tc>
        <w:tc>
          <w:tcPr>
            <w:tcW w:w="1322" w:type="dxa"/>
            <w:noWrap w:val="0"/>
            <w:vAlign w:val="center"/>
          </w:tcPr>
          <w:p w14:paraId="7272467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吸入用布地奈德混悬液</w:t>
            </w:r>
          </w:p>
        </w:tc>
        <w:tc>
          <w:tcPr>
            <w:tcW w:w="1800" w:type="dxa"/>
            <w:noWrap w:val="0"/>
            <w:vAlign w:val="center"/>
          </w:tcPr>
          <w:p w14:paraId="4B90171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2ml:1mg×30支/盒</w:t>
            </w:r>
          </w:p>
        </w:tc>
        <w:tc>
          <w:tcPr>
            <w:tcW w:w="630" w:type="dxa"/>
            <w:noWrap w:val="0"/>
            <w:vAlign w:val="center"/>
          </w:tcPr>
          <w:p w14:paraId="0F6DA9E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支</w:t>
            </w:r>
          </w:p>
        </w:tc>
        <w:tc>
          <w:tcPr>
            <w:tcW w:w="1545" w:type="dxa"/>
            <w:noWrap w:val="0"/>
            <w:vAlign w:val="center"/>
          </w:tcPr>
          <w:p w14:paraId="2DB0A28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吸入制剂</w:t>
            </w:r>
          </w:p>
        </w:tc>
        <w:tc>
          <w:tcPr>
            <w:tcW w:w="1665" w:type="dxa"/>
            <w:noWrap w:val="0"/>
            <w:vAlign w:val="center"/>
          </w:tcPr>
          <w:p w14:paraId="6730808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四川普锐特药业有限公司</w:t>
            </w:r>
          </w:p>
        </w:tc>
        <w:tc>
          <w:tcPr>
            <w:tcW w:w="1060" w:type="dxa"/>
            <w:noWrap w:val="0"/>
            <w:vAlign w:val="center"/>
          </w:tcPr>
          <w:p w14:paraId="17F32B1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F45A8D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232F490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2.79</w:t>
            </w:r>
          </w:p>
        </w:tc>
        <w:tc>
          <w:tcPr>
            <w:tcW w:w="1427" w:type="dxa"/>
            <w:noWrap w:val="0"/>
            <w:vAlign w:val="center"/>
          </w:tcPr>
          <w:p w14:paraId="20DCBD5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5B10BDC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E53B767">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0.05</w:t>
            </w:r>
          </w:p>
        </w:tc>
        <w:tc>
          <w:tcPr>
            <w:tcW w:w="1005" w:type="dxa"/>
            <w:noWrap w:val="0"/>
            <w:vAlign w:val="center"/>
          </w:tcPr>
          <w:p w14:paraId="7C80A6B6">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XR03BAB165L023010281590</w:t>
            </w:r>
          </w:p>
        </w:tc>
      </w:tr>
      <w:tr w14:paraId="6BE2D5A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29" w:hRule="atLeast"/>
          <w:jc w:val="center"/>
        </w:trPr>
        <w:tc>
          <w:tcPr>
            <w:tcW w:w="560" w:type="dxa"/>
            <w:noWrap w:val="0"/>
            <w:vAlign w:val="center"/>
          </w:tcPr>
          <w:p w14:paraId="48C8A83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39</w:t>
            </w:r>
          </w:p>
        </w:tc>
        <w:tc>
          <w:tcPr>
            <w:tcW w:w="1322" w:type="dxa"/>
            <w:noWrap w:val="0"/>
            <w:vAlign w:val="center"/>
          </w:tcPr>
          <w:p w14:paraId="45EB8CD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消炎利胆片</w:t>
            </w:r>
          </w:p>
        </w:tc>
        <w:tc>
          <w:tcPr>
            <w:tcW w:w="1800" w:type="dxa"/>
            <w:noWrap w:val="0"/>
            <w:vAlign w:val="center"/>
          </w:tcPr>
          <w:p w14:paraId="356A958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糖衣片（片芯重0.25g</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相当于饮片2.6g）×100片/瓶</w:t>
            </w:r>
          </w:p>
        </w:tc>
        <w:tc>
          <w:tcPr>
            <w:tcW w:w="630" w:type="dxa"/>
            <w:noWrap w:val="0"/>
            <w:vAlign w:val="center"/>
          </w:tcPr>
          <w:p w14:paraId="7596255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0A266BE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片剂（糖衣）</w:t>
            </w:r>
          </w:p>
        </w:tc>
        <w:tc>
          <w:tcPr>
            <w:tcW w:w="1665" w:type="dxa"/>
            <w:noWrap w:val="0"/>
            <w:vAlign w:val="center"/>
          </w:tcPr>
          <w:p w14:paraId="3673534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广东省罗浮山白鹤制药厂</w:t>
            </w:r>
          </w:p>
        </w:tc>
        <w:tc>
          <w:tcPr>
            <w:tcW w:w="1060" w:type="dxa"/>
            <w:noWrap w:val="0"/>
            <w:vAlign w:val="center"/>
          </w:tcPr>
          <w:p w14:paraId="3A130A6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2AF525F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2DC9B0F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7.14</w:t>
            </w:r>
          </w:p>
        </w:tc>
        <w:tc>
          <w:tcPr>
            <w:tcW w:w="1427" w:type="dxa"/>
            <w:noWrap w:val="0"/>
            <w:vAlign w:val="center"/>
          </w:tcPr>
          <w:p w14:paraId="312A12E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3490FC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23255A5">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6B684562">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ZB01AAX0289010100332</w:t>
            </w:r>
          </w:p>
        </w:tc>
      </w:tr>
      <w:tr w14:paraId="7196C02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5C3BCB4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40</w:t>
            </w:r>
          </w:p>
        </w:tc>
        <w:tc>
          <w:tcPr>
            <w:tcW w:w="1322" w:type="dxa"/>
            <w:noWrap w:val="0"/>
            <w:vAlign w:val="center"/>
          </w:tcPr>
          <w:p w14:paraId="58695DAD">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硝苯地平</w:t>
            </w:r>
          </w:p>
          <w:p w14:paraId="146CEAE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控 释 片</w:t>
            </w:r>
          </w:p>
        </w:tc>
        <w:tc>
          <w:tcPr>
            <w:tcW w:w="1800" w:type="dxa"/>
            <w:noWrap w:val="0"/>
            <w:vAlign w:val="center"/>
          </w:tcPr>
          <w:p w14:paraId="5B0C286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30mg×14片/盒</w:t>
            </w:r>
          </w:p>
        </w:tc>
        <w:tc>
          <w:tcPr>
            <w:tcW w:w="630" w:type="dxa"/>
            <w:noWrap w:val="0"/>
            <w:vAlign w:val="center"/>
          </w:tcPr>
          <w:p w14:paraId="6B4992F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FDFE34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31A0350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南京易亨制药有限公司</w:t>
            </w:r>
          </w:p>
        </w:tc>
        <w:tc>
          <w:tcPr>
            <w:tcW w:w="1060" w:type="dxa"/>
            <w:noWrap w:val="0"/>
            <w:vAlign w:val="center"/>
          </w:tcPr>
          <w:p w14:paraId="48EAE97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121048F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07B7C2A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11.19</w:t>
            </w:r>
          </w:p>
        </w:tc>
        <w:tc>
          <w:tcPr>
            <w:tcW w:w="1427" w:type="dxa"/>
            <w:noWrap w:val="0"/>
            <w:vAlign w:val="center"/>
          </w:tcPr>
          <w:p w14:paraId="11F193D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568E603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506038FC">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7AAA2AC3">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XC08CAX066A011010101605</w:t>
            </w:r>
          </w:p>
        </w:tc>
      </w:tr>
      <w:tr w14:paraId="46B2AC7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4DE4DC4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41</w:t>
            </w:r>
          </w:p>
        </w:tc>
        <w:tc>
          <w:tcPr>
            <w:tcW w:w="1322" w:type="dxa"/>
            <w:noWrap w:val="0"/>
            <w:vAlign w:val="center"/>
          </w:tcPr>
          <w:p w14:paraId="0C9BFCA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小活络丸</w:t>
            </w:r>
          </w:p>
        </w:tc>
        <w:tc>
          <w:tcPr>
            <w:tcW w:w="1800" w:type="dxa"/>
            <w:noWrap w:val="0"/>
            <w:vAlign w:val="center"/>
          </w:tcPr>
          <w:p w14:paraId="31B00A5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3g×10丸/盒</w:t>
            </w:r>
          </w:p>
        </w:tc>
        <w:tc>
          <w:tcPr>
            <w:tcW w:w="630" w:type="dxa"/>
            <w:noWrap w:val="0"/>
            <w:vAlign w:val="center"/>
          </w:tcPr>
          <w:p w14:paraId="40BC56A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2313604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丸剂（大蜜丸）</w:t>
            </w:r>
          </w:p>
        </w:tc>
        <w:tc>
          <w:tcPr>
            <w:tcW w:w="1665" w:type="dxa"/>
            <w:noWrap w:val="0"/>
            <w:vAlign w:val="center"/>
          </w:tcPr>
          <w:p w14:paraId="4828D5C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河南润弘本草制药有限公司</w:t>
            </w:r>
          </w:p>
        </w:tc>
        <w:tc>
          <w:tcPr>
            <w:tcW w:w="1060" w:type="dxa"/>
            <w:noWrap w:val="0"/>
            <w:vAlign w:val="center"/>
          </w:tcPr>
          <w:p w14:paraId="3ED84AF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BDCAA4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6ACC8E3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20.64</w:t>
            </w:r>
          </w:p>
        </w:tc>
        <w:tc>
          <w:tcPr>
            <w:tcW w:w="1427" w:type="dxa"/>
            <w:noWrap w:val="0"/>
            <w:vAlign w:val="center"/>
          </w:tcPr>
          <w:p w14:paraId="244EDDD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0E796DA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D9B98FC">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408B873C">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ZA15GAX0565010103109</w:t>
            </w:r>
          </w:p>
        </w:tc>
      </w:tr>
      <w:tr w14:paraId="437E3A7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52AB1A3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42</w:t>
            </w:r>
          </w:p>
        </w:tc>
        <w:tc>
          <w:tcPr>
            <w:tcW w:w="1322" w:type="dxa"/>
            <w:noWrap w:val="0"/>
            <w:vAlign w:val="center"/>
          </w:tcPr>
          <w:p w14:paraId="6A07BA0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缬沙坦胶囊</w:t>
            </w:r>
          </w:p>
        </w:tc>
        <w:tc>
          <w:tcPr>
            <w:tcW w:w="1800" w:type="dxa"/>
            <w:noWrap w:val="0"/>
            <w:vAlign w:val="center"/>
          </w:tcPr>
          <w:p w14:paraId="38BC107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80mg×36粒/盒</w:t>
            </w:r>
          </w:p>
        </w:tc>
        <w:tc>
          <w:tcPr>
            <w:tcW w:w="630" w:type="dxa"/>
            <w:noWrap w:val="0"/>
            <w:vAlign w:val="center"/>
          </w:tcPr>
          <w:p w14:paraId="2839D84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7EE61A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1267794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湖南千金湘江药业股份有限公司</w:t>
            </w:r>
          </w:p>
        </w:tc>
        <w:tc>
          <w:tcPr>
            <w:tcW w:w="1060" w:type="dxa"/>
            <w:noWrap w:val="0"/>
            <w:vAlign w:val="center"/>
          </w:tcPr>
          <w:p w14:paraId="2FEC70E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D15DED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0A84D69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8.63</w:t>
            </w:r>
          </w:p>
        </w:tc>
        <w:tc>
          <w:tcPr>
            <w:tcW w:w="1427" w:type="dxa"/>
            <w:noWrap w:val="0"/>
            <w:vAlign w:val="center"/>
          </w:tcPr>
          <w:p w14:paraId="1D96D0E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0E626A0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4E70FA42">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0579588D">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XC09CAX143E001010504960</w:t>
            </w:r>
          </w:p>
        </w:tc>
      </w:tr>
      <w:tr w14:paraId="6E36032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6C9E3AF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43</w:t>
            </w:r>
          </w:p>
        </w:tc>
        <w:tc>
          <w:tcPr>
            <w:tcW w:w="1322" w:type="dxa"/>
            <w:noWrap w:val="0"/>
            <w:vAlign w:val="center"/>
          </w:tcPr>
          <w:p w14:paraId="00BC7BBE">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盐酸氨</w:t>
            </w:r>
          </w:p>
          <w:p w14:paraId="1B1BFF6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溴索片</w:t>
            </w:r>
          </w:p>
        </w:tc>
        <w:tc>
          <w:tcPr>
            <w:tcW w:w="1800" w:type="dxa"/>
            <w:noWrap w:val="0"/>
            <w:vAlign w:val="center"/>
          </w:tcPr>
          <w:p w14:paraId="525A5DA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30mg×20片/盒</w:t>
            </w:r>
          </w:p>
        </w:tc>
        <w:tc>
          <w:tcPr>
            <w:tcW w:w="630" w:type="dxa"/>
            <w:noWrap w:val="0"/>
            <w:vAlign w:val="center"/>
          </w:tcPr>
          <w:p w14:paraId="5091AC5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359EA6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5B2F496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山东裕欣药业有限公司</w:t>
            </w:r>
          </w:p>
        </w:tc>
        <w:tc>
          <w:tcPr>
            <w:tcW w:w="1060" w:type="dxa"/>
            <w:noWrap w:val="0"/>
            <w:vAlign w:val="center"/>
          </w:tcPr>
          <w:p w14:paraId="7B954D3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14053D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4329890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w:t>
            </w:r>
          </w:p>
        </w:tc>
        <w:tc>
          <w:tcPr>
            <w:tcW w:w="1427" w:type="dxa"/>
            <w:noWrap w:val="0"/>
            <w:vAlign w:val="center"/>
          </w:tcPr>
          <w:p w14:paraId="0196382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0256DF9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75E011F">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2C6B2602">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XR05CBA198A001010109703</w:t>
            </w:r>
          </w:p>
        </w:tc>
      </w:tr>
      <w:tr w14:paraId="512B08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40" w:hRule="atLeast"/>
          <w:jc w:val="center"/>
        </w:trPr>
        <w:tc>
          <w:tcPr>
            <w:tcW w:w="560" w:type="dxa"/>
            <w:noWrap w:val="0"/>
            <w:vAlign w:val="center"/>
          </w:tcPr>
          <w:p w14:paraId="2964A7E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44</w:t>
            </w:r>
          </w:p>
        </w:tc>
        <w:tc>
          <w:tcPr>
            <w:tcW w:w="1322" w:type="dxa"/>
            <w:noWrap w:val="0"/>
            <w:vAlign w:val="center"/>
          </w:tcPr>
          <w:p w14:paraId="15643EC8">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盐酸吡格</w:t>
            </w:r>
          </w:p>
          <w:p w14:paraId="73C24CC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列酮胶囊</w:t>
            </w:r>
          </w:p>
        </w:tc>
        <w:tc>
          <w:tcPr>
            <w:tcW w:w="1800" w:type="dxa"/>
            <w:noWrap w:val="0"/>
            <w:vAlign w:val="center"/>
          </w:tcPr>
          <w:p w14:paraId="45E9E6A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15mg×60粒/盒</w:t>
            </w:r>
          </w:p>
        </w:tc>
        <w:tc>
          <w:tcPr>
            <w:tcW w:w="630" w:type="dxa"/>
            <w:noWrap w:val="0"/>
            <w:vAlign w:val="center"/>
          </w:tcPr>
          <w:p w14:paraId="58D8FD6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F99CC9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硬胶囊</w:t>
            </w:r>
          </w:p>
        </w:tc>
        <w:tc>
          <w:tcPr>
            <w:tcW w:w="1665" w:type="dxa"/>
            <w:noWrap w:val="0"/>
            <w:vAlign w:val="center"/>
          </w:tcPr>
          <w:p w14:paraId="1F3FD3B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山东淄博新达制药有限公司</w:t>
            </w:r>
          </w:p>
        </w:tc>
        <w:tc>
          <w:tcPr>
            <w:tcW w:w="1060" w:type="dxa"/>
            <w:noWrap w:val="0"/>
            <w:vAlign w:val="center"/>
          </w:tcPr>
          <w:p w14:paraId="1522D98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DBB4FD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367950B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16.17</w:t>
            </w:r>
          </w:p>
        </w:tc>
        <w:tc>
          <w:tcPr>
            <w:tcW w:w="1427" w:type="dxa"/>
            <w:noWrap w:val="0"/>
            <w:vAlign w:val="center"/>
          </w:tcPr>
          <w:p w14:paraId="37858B5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3BD8C95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F828A83">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0.05</w:t>
            </w:r>
          </w:p>
        </w:tc>
        <w:tc>
          <w:tcPr>
            <w:tcW w:w="1005" w:type="dxa"/>
            <w:noWrap w:val="0"/>
            <w:vAlign w:val="center"/>
          </w:tcPr>
          <w:p w14:paraId="0C560DD7">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XA10BGB091E001010604203</w:t>
            </w:r>
          </w:p>
        </w:tc>
      </w:tr>
      <w:tr w14:paraId="4F361E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616" w:hRule="atLeast"/>
          <w:jc w:val="center"/>
        </w:trPr>
        <w:tc>
          <w:tcPr>
            <w:tcW w:w="560" w:type="dxa"/>
            <w:noWrap w:val="0"/>
            <w:vAlign w:val="center"/>
          </w:tcPr>
          <w:p w14:paraId="31225B5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45</w:t>
            </w:r>
          </w:p>
        </w:tc>
        <w:tc>
          <w:tcPr>
            <w:tcW w:w="1322" w:type="dxa"/>
            <w:noWrap w:val="0"/>
            <w:vAlign w:val="center"/>
          </w:tcPr>
          <w:p w14:paraId="33028198">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盐酸二甲</w:t>
            </w:r>
          </w:p>
          <w:p w14:paraId="26D1029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双胍缓释片</w:t>
            </w:r>
          </w:p>
        </w:tc>
        <w:tc>
          <w:tcPr>
            <w:tcW w:w="1800" w:type="dxa"/>
            <w:noWrap w:val="0"/>
            <w:vAlign w:val="center"/>
          </w:tcPr>
          <w:p w14:paraId="6EAAB7E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0.5g×30片/盒</w:t>
            </w:r>
          </w:p>
        </w:tc>
        <w:tc>
          <w:tcPr>
            <w:tcW w:w="630" w:type="dxa"/>
            <w:noWrap w:val="0"/>
            <w:vAlign w:val="center"/>
          </w:tcPr>
          <w:p w14:paraId="2F9FB60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2923785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缓释控释剂型</w:t>
            </w:r>
          </w:p>
        </w:tc>
        <w:tc>
          <w:tcPr>
            <w:tcW w:w="1665" w:type="dxa"/>
            <w:noWrap w:val="0"/>
            <w:vAlign w:val="center"/>
          </w:tcPr>
          <w:p w14:paraId="6BC819C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北京万辉双鹤药业有限责任公司</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华润双鹤药业股份有限公司</w:t>
            </w:r>
          </w:p>
        </w:tc>
        <w:tc>
          <w:tcPr>
            <w:tcW w:w="1060" w:type="dxa"/>
            <w:noWrap w:val="0"/>
            <w:vAlign w:val="center"/>
          </w:tcPr>
          <w:p w14:paraId="07D5700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915A15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1D9B747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2.25</w:t>
            </w:r>
          </w:p>
        </w:tc>
        <w:tc>
          <w:tcPr>
            <w:tcW w:w="1427" w:type="dxa"/>
            <w:noWrap w:val="0"/>
            <w:vAlign w:val="center"/>
          </w:tcPr>
          <w:p w14:paraId="5165DB1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国控，华润，津湘</w:t>
            </w:r>
          </w:p>
        </w:tc>
        <w:tc>
          <w:tcPr>
            <w:tcW w:w="653" w:type="dxa"/>
            <w:noWrap w:val="0"/>
            <w:vAlign w:val="center"/>
          </w:tcPr>
          <w:p w14:paraId="5C7076A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3C38592D">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0.05</w:t>
            </w:r>
          </w:p>
        </w:tc>
        <w:tc>
          <w:tcPr>
            <w:tcW w:w="1005" w:type="dxa"/>
            <w:noWrap w:val="0"/>
            <w:vAlign w:val="center"/>
          </w:tcPr>
          <w:p w14:paraId="75D670FE">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XA10BAE021A010010300176</w:t>
            </w:r>
          </w:p>
        </w:tc>
      </w:tr>
      <w:tr w14:paraId="118310F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560" w:type="dxa"/>
            <w:noWrap w:val="0"/>
            <w:vAlign w:val="center"/>
          </w:tcPr>
          <w:p w14:paraId="36270877">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46</w:t>
            </w:r>
          </w:p>
        </w:tc>
        <w:tc>
          <w:tcPr>
            <w:tcW w:w="1322" w:type="dxa"/>
            <w:noWrap w:val="0"/>
            <w:vAlign w:val="center"/>
          </w:tcPr>
          <w:p w14:paraId="221F0D7A">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盐酸二甲</w:t>
            </w:r>
          </w:p>
          <w:p w14:paraId="0ADCAF37">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双胍缓释片</w:t>
            </w:r>
          </w:p>
          <w:p w14:paraId="1E94E32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（Ⅲ）</w:t>
            </w:r>
          </w:p>
        </w:tc>
        <w:tc>
          <w:tcPr>
            <w:tcW w:w="1800" w:type="dxa"/>
            <w:noWrap w:val="0"/>
            <w:vAlign w:val="center"/>
          </w:tcPr>
          <w:p w14:paraId="375430C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0.5g×28片/瓶</w:t>
            </w:r>
          </w:p>
        </w:tc>
        <w:tc>
          <w:tcPr>
            <w:tcW w:w="630" w:type="dxa"/>
            <w:noWrap w:val="0"/>
            <w:vAlign w:val="center"/>
          </w:tcPr>
          <w:p w14:paraId="0B392B7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385EBCD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缓释片</w:t>
            </w:r>
          </w:p>
        </w:tc>
        <w:tc>
          <w:tcPr>
            <w:tcW w:w="1665" w:type="dxa"/>
            <w:noWrap w:val="0"/>
            <w:vAlign w:val="center"/>
          </w:tcPr>
          <w:p w14:paraId="0314C32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福建东瑞制药有限公司</w:t>
            </w:r>
          </w:p>
        </w:tc>
        <w:tc>
          <w:tcPr>
            <w:tcW w:w="1060" w:type="dxa"/>
            <w:noWrap w:val="0"/>
            <w:vAlign w:val="center"/>
          </w:tcPr>
          <w:p w14:paraId="4719563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62F000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24FEAB6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18.43</w:t>
            </w:r>
          </w:p>
        </w:tc>
        <w:tc>
          <w:tcPr>
            <w:tcW w:w="1427" w:type="dxa"/>
            <w:noWrap w:val="0"/>
            <w:vAlign w:val="center"/>
          </w:tcPr>
          <w:p w14:paraId="27BE97D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5B9A31A7">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5E5D497A">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0.05</w:t>
            </w:r>
          </w:p>
        </w:tc>
        <w:tc>
          <w:tcPr>
            <w:tcW w:w="1005" w:type="dxa"/>
            <w:noWrap w:val="0"/>
            <w:vAlign w:val="center"/>
          </w:tcPr>
          <w:p w14:paraId="7976C7E2">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XA10BAE089A010010204876</w:t>
            </w:r>
          </w:p>
        </w:tc>
      </w:tr>
      <w:tr w14:paraId="5A979DA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31" w:hRule="atLeast"/>
          <w:jc w:val="center"/>
        </w:trPr>
        <w:tc>
          <w:tcPr>
            <w:tcW w:w="560" w:type="dxa"/>
            <w:noWrap w:val="0"/>
            <w:vAlign w:val="center"/>
          </w:tcPr>
          <w:p w14:paraId="7FBA452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47</w:t>
            </w:r>
          </w:p>
        </w:tc>
        <w:tc>
          <w:tcPr>
            <w:tcW w:w="1322" w:type="dxa"/>
            <w:noWrap w:val="0"/>
            <w:vAlign w:val="center"/>
          </w:tcPr>
          <w:p w14:paraId="474BA747">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盐酸二甲</w:t>
            </w:r>
          </w:p>
          <w:p w14:paraId="1B1F0BB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双 胍 片</w:t>
            </w:r>
          </w:p>
        </w:tc>
        <w:tc>
          <w:tcPr>
            <w:tcW w:w="1800" w:type="dxa"/>
            <w:noWrap w:val="0"/>
            <w:vAlign w:val="center"/>
          </w:tcPr>
          <w:p w14:paraId="420F230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0.25g×100片/瓶</w:t>
            </w:r>
          </w:p>
        </w:tc>
        <w:tc>
          <w:tcPr>
            <w:tcW w:w="630" w:type="dxa"/>
            <w:noWrap w:val="0"/>
            <w:vAlign w:val="center"/>
          </w:tcPr>
          <w:p w14:paraId="7F2C220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瓶</w:t>
            </w:r>
          </w:p>
        </w:tc>
        <w:tc>
          <w:tcPr>
            <w:tcW w:w="1545" w:type="dxa"/>
            <w:noWrap w:val="0"/>
            <w:vAlign w:val="center"/>
          </w:tcPr>
          <w:p w14:paraId="1AEAD3A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29C67C3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石家庄以岭药业股份有限公司</w:t>
            </w:r>
          </w:p>
        </w:tc>
        <w:tc>
          <w:tcPr>
            <w:tcW w:w="1060" w:type="dxa"/>
            <w:noWrap w:val="0"/>
            <w:vAlign w:val="center"/>
          </w:tcPr>
          <w:p w14:paraId="7EC1328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B21D7E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4DFA075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3.57</w:t>
            </w:r>
          </w:p>
        </w:tc>
        <w:tc>
          <w:tcPr>
            <w:tcW w:w="1427" w:type="dxa"/>
            <w:noWrap w:val="0"/>
            <w:vAlign w:val="center"/>
          </w:tcPr>
          <w:p w14:paraId="308B815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国控，华润，津湘</w:t>
            </w:r>
          </w:p>
        </w:tc>
        <w:tc>
          <w:tcPr>
            <w:tcW w:w="653" w:type="dxa"/>
            <w:noWrap w:val="0"/>
            <w:vAlign w:val="center"/>
          </w:tcPr>
          <w:p w14:paraId="4B1569E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D56136C">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40571381">
            <w:pPr>
              <w:overflowPunct w:val="0"/>
              <w:spacing w:line="260" w:lineRule="exact"/>
              <w:jc w:val="center"/>
              <w:textAlignment w:val="center"/>
              <w:rPr>
                <w:rFonts w:hint="default" w:ascii="Times New Roman" w:hAnsi="Times New Roman" w:cs="Times New Roman"/>
                <w:color w:val="606266"/>
                <w:kern w:val="0"/>
                <w:szCs w:val="21"/>
                <w:lang w:bidi="ar"/>
              </w:rPr>
            </w:pPr>
          </w:p>
        </w:tc>
      </w:tr>
      <w:tr w14:paraId="1E5758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29" w:hRule="atLeast"/>
          <w:jc w:val="center"/>
        </w:trPr>
        <w:tc>
          <w:tcPr>
            <w:tcW w:w="560" w:type="dxa"/>
            <w:noWrap w:val="0"/>
            <w:vAlign w:val="center"/>
          </w:tcPr>
          <w:p w14:paraId="6DD8632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48</w:t>
            </w:r>
          </w:p>
        </w:tc>
        <w:tc>
          <w:tcPr>
            <w:tcW w:w="1322" w:type="dxa"/>
            <w:noWrap w:val="0"/>
            <w:vAlign w:val="center"/>
          </w:tcPr>
          <w:p w14:paraId="4C5891C8">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盐酸氟桂</w:t>
            </w:r>
          </w:p>
          <w:p w14:paraId="13C9CED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利嗪胶囊</w:t>
            </w:r>
          </w:p>
        </w:tc>
        <w:tc>
          <w:tcPr>
            <w:tcW w:w="1800" w:type="dxa"/>
            <w:noWrap w:val="0"/>
            <w:vAlign w:val="center"/>
          </w:tcPr>
          <w:p w14:paraId="0D2E838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5mg按C26H26F2N2计×40粒/盒</w:t>
            </w:r>
          </w:p>
        </w:tc>
        <w:tc>
          <w:tcPr>
            <w:tcW w:w="630" w:type="dxa"/>
            <w:noWrap w:val="0"/>
            <w:vAlign w:val="center"/>
          </w:tcPr>
          <w:p w14:paraId="72DE6F4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4931A8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胶囊剂</w:t>
            </w:r>
          </w:p>
        </w:tc>
        <w:tc>
          <w:tcPr>
            <w:tcW w:w="1665" w:type="dxa"/>
            <w:noWrap w:val="0"/>
            <w:vAlign w:val="center"/>
          </w:tcPr>
          <w:p w14:paraId="00B2F4E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湖南迪诺制药股份有限公司</w:t>
            </w:r>
          </w:p>
        </w:tc>
        <w:tc>
          <w:tcPr>
            <w:tcW w:w="1060" w:type="dxa"/>
            <w:noWrap w:val="0"/>
            <w:vAlign w:val="center"/>
          </w:tcPr>
          <w:p w14:paraId="3966925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D3655B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74D95B4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4.19</w:t>
            </w:r>
          </w:p>
        </w:tc>
        <w:tc>
          <w:tcPr>
            <w:tcW w:w="1427" w:type="dxa"/>
            <w:noWrap w:val="0"/>
            <w:vAlign w:val="center"/>
          </w:tcPr>
          <w:p w14:paraId="3A0A36B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676439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5BF9A4B">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14A4565F">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XN07CAF072E001010204914</w:t>
            </w:r>
          </w:p>
        </w:tc>
      </w:tr>
      <w:tr w14:paraId="597F34E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95" w:hRule="atLeast"/>
          <w:jc w:val="center"/>
        </w:trPr>
        <w:tc>
          <w:tcPr>
            <w:tcW w:w="560" w:type="dxa"/>
            <w:noWrap w:val="0"/>
            <w:vAlign w:val="center"/>
          </w:tcPr>
          <w:p w14:paraId="1B98279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49</w:t>
            </w:r>
          </w:p>
        </w:tc>
        <w:tc>
          <w:tcPr>
            <w:tcW w:w="1322" w:type="dxa"/>
            <w:noWrap w:val="0"/>
            <w:vAlign w:val="center"/>
          </w:tcPr>
          <w:p w14:paraId="540E7F8C">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盐酸克林</w:t>
            </w:r>
          </w:p>
          <w:p w14:paraId="4D8E37C5">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霉素棕榈</w:t>
            </w:r>
          </w:p>
          <w:p w14:paraId="268671C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酸酯分散片</w:t>
            </w:r>
          </w:p>
        </w:tc>
        <w:tc>
          <w:tcPr>
            <w:tcW w:w="1800" w:type="dxa"/>
            <w:noWrap w:val="0"/>
            <w:vAlign w:val="center"/>
          </w:tcPr>
          <w:p w14:paraId="6114454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75mg（以C18H33ClN205S计）×24片/盒</w:t>
            </w:r>
          </w:p>
        </w:tc>
        <w:tc>
          <w:tcPr>
            <w:tcW w:w="630" w:type="dxa"/>
            <w:noWrap w:val="0"/>
            <w:vAlign w:val="center"/>
          </w:tcPr>
          <w:p w14:paraId="5CAE75DA">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579A40F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口服常释剂型</w:t>
            </w:r>
          </w:p>
        </w:tc>
        <w:tc>
          <w:tcPr>
            <w:tcW w:w="1665" w:type="dxa"/>
            <w:noWrap w:val="0"/>
            <w:vAlign w:val="center"/>
          </w:tcPr>
          <w:p w14:paraId="585A2F0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广州一品红制药有限公司</w:t>
            </w:r>
          </w:p>
        </w:tc>
        <w:tc>
          <w:tcPr>
            <w:tcW w:w="1060" w:type="dxa"/>
            <w:noWrap w:val="0"/>
            <w:vAlign w:val="center"/>
          </w:tcPr>
          <w:p w14:paraId="42BF0A3B">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6A4AF5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4F21428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36.97</w:t>
            </w:r>
          </w:p>
        </w:tc>
        <w:tc>
          <w:tcPr>
            <w:tcW w:w="1427" w:type="dxa"/>
            <w:noWrap w:val="0"/>
            <w:vAlign w:val="center"/>
          </w:tcPr>
          <w:p w14:paraId="42B6F2C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150F0339">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602C9227">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1D713459">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XJ01FFK120A006030601012</w:t>
            </w:r>
          </w:p>
        </w:tc>
      </w:tr>
      <w:tr w14:paraId="7D52B9C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21" w:hRule="atLeast"/>
          <w:jc w:val="center"/>
        </w:trPr>
        <w:tc>
          <w:tcPr>
            <w:tcW w:w="560" w:type="dxa"/>
            <w:noWrap w:val="0"/>
            <w:vAlign w:val="center"/>
          </w:tcPr>
          <w:p w14:paraId="6BFE5926">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50</w:t>
            </w:r>
          </w:p>
        </w:tc>
        <w:tc>
          <w:tcPr>
            <w:tcW w:w="1322" w:type="dxa"/>
            <w:noWrap w:val="0"/>
            <w:vAlign w:val="center"/>
          </w:tcPr>
          <w:p w14:paraId="51CF77F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银黄颗粒</w:t>
            </w:r>
          </w:p>
        </w:tc>
        <w:tc>
          <w:tcPr>
            <w:tcW w:w="1800" w:type="dxa"/>
            <w:noWrap w:val="0"/>
            <w:vAlign w:val="center"/>
          </w:tcPr>
          <w:p w14:paraId="535663B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每袋装4g×10袋/盒</w:t>
            </w:r>
          </w:p>
        </w:tc>
        <w:tc>
          <w:tcPr>
            <w:tcW w:w="630" w:type="dxa"/>
            <w:noWrap w:val="0"/>
            <w:vAlign w:val="center"/>
          </w:tcPr>
          <w:p w14:paraId="1F8BF75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4EB0BE0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颗粒剂</w:t>
            </w:r>
          </w:p>
        </w:tc>
        <w:tc>
          <w:tcPr>
            <w:tcW w:w="1665" w:type="dxa"/>
            <w:noWrap w:val="0"/>
            <w:vAlign w:val="center"/>
          </w:tcPr>
          <w:p w14:paraId="5245CDB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湖南华宝通制药有限公司</w:t>
            </w:r>
          </w:p>
        </w:tc>
        <w:tc>
          <w:tcPr>
            <w:tcW w:w="1060" w:type="dxa"/>
            <w:noWrap w:val="0"/>
            <w:vAlign w:val="center"/>
          </w:tcPr>
          <w:p w14:paraId="7DCB001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B6F308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6FF4A9A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w:t>
            </w:r>
          </w:p>
        </w:tc>
        <w:tc>
          <w:tcPr>
            <w:tcW w:w="1427" w:type="dxa"/>
            <w:noWrap w:val="0"/>
            <w:vAlign w:val="center"/>
          </w:tcPr>
          <w:p w14:paraId="20AC602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6710634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4B1C3834">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19485D0F">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ZA04CAY0499010104956</w:t>
            </w:r>
          </w:p>
        </w:tc>
      </w:tr>
      <w:tr w14:paraId="45CABA1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698" w:hRule="atLeast"/>
          <w:jc w:val="center"/>
        </w:trPr>
        <w:tc>
          <w:tcPr>
            <w:tcW w:w="560" w:type="dxa"/>
            <w:noWrap w:val="0"/>
            <w:vAlign w:val="center"/>
          </w:tcPr>
          <w:p w14:paraId="36B71A7C">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51</w:t>
            </w:r>
          </w:p>
        </w:tc>
        <w:tc>
          <w:tcPr>
            <w:tcW w:w="1322" w:type="dxa"/>
            <w:noWrap w:val="0"/>
            <w:vAlign w:val="center"/>
          </w:tcPr>
          <w:p w14:paraId="380D7699">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银黄口服液</w:t>
            </w:r>
          </w:p>
        </w:tc>
        <w:tc>
          <w:tcPr>
            <w:tcW w:w="1800" w:type="dxa"/>
            <w:noWrap w:val="0"/>
            <w:vAlign w:val="center"/>
          </w:tcPr>
          <w:p w14:paraId="23C98A2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每1ml含金银花提取物（以绿原酸计）2.4mg、含黄芩提取物（以黄芩苷计）24mg×6支/盒</w:t>
            </w:r>
          </w:p>
        </w:tc>
        <w:tc>
          <w:tcPr>
            <w:tcW w:w="630" w:type="dxa"/>
            <w:noWrap w:val="0"/>
            <w:vAlign w:val="center"/>
          </w:tcPr>
          <w:p w14:paraId="2279678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744F8C0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合剂</w:t>
            </w:r>
          </w:p>
        </w:tc>
        <w:tc>
          <w:tcPr>
            <w:tcW w:w="1665" w:type="dxa"/>
            <w:noWrap w:val="0"/>
            <w:vAlign w:val="center"/>
          </w:tcPr>
          <w:p w14:paraId="07D2DCD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广州一品红制药有限公司</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广州市联瑞制药有限公司</w:t>
            </w:r>
          </w:p>
        </w:tc>
        <w:tc>
          <w:tcPr>
            <w:tcW w:w="1060" w:type="dxa"/>
            <w:noWrap w:val="0"/>
            <w:vAlign w:val="center"/>
          </w:tcPr>
          <w:p w14:paraId="350F5598">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3F91294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449412B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45</w:t>
            </w:r>
          </w:p>
        </w:tc>
        <w:tc>
          <w:tcPr>
            <w:tcW w:w="1427" w:type="dxa"/>
            <w:noWrap w:val="0"/>
            <w:vAlign w:val="center"/>
          </w:tcPr>
          <w:p w14:paraId="5560A042">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72BFD2C1">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D84E21A">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569A1267">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ZA04CAY0500010105718</w:t>
            </w:r>
          </w:p>
        </w:tc>
      </w:tr>
      <w:tr w14:paraId="4D0694A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27" w:hRule="atLeast"/>
          <w:jc w:val="center"/>
        </w:trPr>
        <w:tc>
          <w:tcPr>
            <w:tcW w:w="560" w:type="dxa"/>
            <w:noWrap w:val="0"/>
            <w:vAlign w:val="center"/>
          </w:tcPr>
          <w:p w14:paraId="57309D75">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52</w:t>
            </w:r>
          </w:p>
        </w:tc>
        <w:tc>
          <w:tcPr>
            <w:tcW w:w="1322" w:type="dxa"/>
            <w:noWrap w:val="0"/>
            <w:vAlign w:val="center"/>
          </w:tcPr>
          <w:p w14:paraId="5882FB95">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银翘解毒</w:t>
            </w:r>
          </w:p>
          <w:p w14:paraId="7DD465C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    粒</w:t>
            </w:r>
          </w:p>
        </w:tc>
        <w:tc>
          <w:tcPr>
            <w:tcW w:w="1800" w:type="dxa"/>
            <w:noWrap w:val="0"/>
            <w:vAlign w:val="center"/>
          </w:tcPr>
          <w:p w14:paraId="59C1948E">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每袋装15g×10袋/包</w:t>
            </w:r>
          </w:p>
        </w:tc>
        <w:tc>
          <w:tcPr>
            <w:tcW w:w="630" w:type="dxa"/>
            <w:noWrap w:val="0"/>
            <w:vAlign w:val="center"/>
          </w:tcPr>
          <w:p w14:paraId="54476D9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01D9F48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颗粒剂</w:t>
            </w:r>
          </w:p>
        </w:tc>
        <w:tc>
          <w:tcPr>
            <w:tcW w:w="1665" w:type="dxa"/>
            <w:noWrap w:val="0"/>
            <w:vAlign w:val="center"/>
          </w:tcPr>
          <w:p w14:paraId="46D3CDB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广东在田药业股份有限公司</w:t>
            </w:r>
          </w:p>
        </w:tc>
        <w:tc>
          <w:tcPr>
            <w:tcW w:w="1060" w:type="dxa"/>
            <w:noWrap w:val="0"/>
            <w:vAlign w:val="center"/>
          </w:tcPr>
          <w:p w14:paraId="5916C439">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72E5ECC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联动目录</w:t>
            </w:r>
          </w:p>
        </w:tc>
        <w:tc>
          <w:tcPr>
            <w:tcW w:w="944" w:type="dxa"/>
            <w:noWrap w:val="0"/>
            <w:vAlign w:val="center"/>
          </w:tcPr>
          <w:p w14:paraId="2330D0A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12.8</w:t>
            </w:r>
          </w:p>
        </w:tc>
        <w:tc>
          <w:tcPr>
            <w:tcW w:w="1427" w:type="dxa"/>
            <w:noWrap w:val="0"/>
            <w:vAlign w:val="center"/>
          </w:tcPr>
          <w:p w14:paraId="5438DA8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30A3E9E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8ECF63F">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533598B2">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ZA01BAY0521010100368</w:t>
            </w:r>
          </w:p>
        </w:tc>
      </w:tr>
      <w:tr w14:paraId="38382E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222" w:hRule="atLeast"/>
          <w:jc w:val="center"/>
        </w:trPr>
        <w:tc>
          <w:tcPr>
            <w:tcW w:w="560" w:type="dxa"/>
            <w:noWrap w:val="0"/>
            <w:vAlign w:val="center"/>
          </w:tcPr>
          <w:p w14:paraId="29F13B69">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53</w:t>
            </w:r>
          </w:p>
        </w:tc>
        <w:tc>
          <w:tcPr>
            <w:tcW w:w="1322" w:type="dxa"/>
            <w:noWrap w:val="0"/>
            <w:vAlign w:val="center"/>
          </w:tcPr>
          <w:p w14:paraId="0A28A95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银杏叶片</w:t>
            </w:r>
          </w:p>
        </w:tc>
        <w:tc>
          <w:tcPr>
            <w:tcW w:w="1800" w:type="dxa"/>
            <w:noWrap w:val="0"/>
            <w:vAlign w:val="center"/>
          </w:tcPr>
          <w:p w14:paraId="0251C79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每片含总黄酮醇苷9.6mg</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萜类内酯2.4mg×24片/盒</w:t>
            </w:r>
          </w:p>
        </w:tc>
        <w:tc>
          <w:tcPr>
            <w:tcW w:w="630" w:type="dxa"/>
            <w:noWrap w:val="0"/>
            <w:vAlign w:val="center"/>
          </w:tcPr>
          <w:p w14:paraId="5A45181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2BD114D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薄膜衣片</w:t>
            </w:r>
          </w:p>
        </w:tc>
        <w:tc>
          <w:tcPr>
            <w:tcW w:w="1665" w:type="dxa"/>
            <w:noWrap w:val="0"/>
            <w:vAlign w:val="center"/>
          </w:tcPr>
          <w:p w14:paraId="080D3DE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健民集团叶开泰国药（随州）有限公司</w:t>
            </w:r>
          </w:p>
        </w:tc>
        <w:tc>
          <w:tcPr>
            <w:tcW w:w="1060" w:type="dxa"/>
            <w:noWrap w:val="0"/>
            <w:vAlign w:val="center"/>
          </w:tcPr>
          <w:p w14:paraId="213B5945">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017AAB3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1EBE5C3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9.62</w:t>
            </w:r>
          </w:p>
        </w:tc>
        <w:tc>
          <w:tcPr>
            <w:tcW w:w="1427" w:type="dxa"/>
            <w:noWrap w:val="0"/>
            <w:vAlign w:val="center"/>
          </w:tcPr>
          <w:p w14:paraId="23EBD29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147A0ED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8534DCD">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0.05</w:t>
            </w:r>
          </w:p>
        </w:tc>
        <w:tc>
          <w:tcPr>
            <w:tcW w:w="1005" w:type="dxa"/>
            <w:noWrap w:val="0"/>
            <w:vAlign w:val="center"/>
          </w:tcPr>
          <w:p w14:paraId="33DF39E4">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ZA12HAY0555020101945</w:t>
            </w:r>
          </w:p>
        </w:tc>
      </w:tr>
      <w:tr w14:paraId="3B9178E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560" w:type="dxa"/>
            <w:noWrap w:val="0"/>
            <w:vAlign w:val="center"/>
          </w:tcPr>
          <w:p w14:paraId="7F005773">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54</w:t>
            </w:r>
          </w:p>
        </w:tc>
        <w:tc>
          <w:tcPr>
            <w:tcW w:w="1322" w:type="dxa"/>
            <w:noWrap w:val="0"/>
            <w:vAlign w:val="center"/>
          </w:tcPr>
          <w:p w14:paraId="2DD174D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吲达帕胺片</w:t>
            </w:r>
          </w:p>
        </w:tc>
        <w:tc>
          <w:tcPr>
            <w:tcW w:w="1800" w:type="dxa"/>
            <w:noWrap w:val="0"/>
            <w:vAlign w:val="center"/>
          </w:tcPr>
          <w:p w14:paraId="789E638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2.5mg×30片/盒</w:t>
            </w:r>
          </w:p>
        </w:tc>
        <w:tc>
          <w:tcPr>
            <w:tcW w:w="630" w:type="dxa"/>
            <w:noWrap w:val="0"/>
            <w:vAlign w:val="center"/>
          </w:tcPr>
          <w:p w14:paraId="63A92EC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盒</w:t>
            </w:r>
          </w:p>
        </w:tc>
        <w:tc>
          <w:tcPr>
            <w:tcW w:w="1545" w:type="dxa"/>
            <w:noWrap w:val="0"/>
            <w:vAlign w:val="center"/>
          </w:tcPr>
          <w:p w14:paraId="4EC3D3C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片剂</w:t>
            </w:r>
          </w:p>
        </w:tc>
        <w:tc>
          <w:tcPr>
            <w:tcW w:w="1665" w:type="dxa"/>
            <w:noWrap w:val="0"/>
            <w:vAlign w:val="center"/>
          </w:tcPr>
          <w:p w14:paraId="30C847B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烟台巨先药业有限公司</w:t>
            </w:r>
          </w:p>
        </w:tc>
        <w:tc>
          <w:tcPr>
            <w:tcW w:w="1060" w:type="dxa"/>
            <w:noWrap w:val="0"/>
            <w:vAlign w:val="center"/>
          </w:tcPr>
          <w:p w14:paraId="5F5CA38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695715D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6BB88F9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1.5</w:t>
            </w:r>
          </w:p>
        </w:tc>
        <w:tc>
          <w:tcPr>
            <w:tcW w:w="1427" w:type="dxa"/>
            <w:noWrap w:val="0"/>
            <w:vAlign w:val="center"/>
          </w:tcPr>
          <w:p w14:paraId="7B56160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湖南千金，华润</w:t>
            </w:r>
          </w:p>
        </w:tc>
        <w:tc>
          <w:tcPr>
            <w:tcW w:w="653" w:type="dxa"/>
            <w:noWrap w:val="0"/>
            <w:vAlign w:val="center"/>
          </w:tcPr>
          <w:p w14:paraId="5054A84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9864FD1">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246EC711">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XC03BAY169A001010304190</w:t>
            </w:r>
          </w:p>
        </w:tc>
      </w:tr>
      <w:tr w14:paraId="621720B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540" w:hRule="atLeast"/>
          <w:jc w:val="center"/>
        </w:trPr>
        <w:tc>
          <w:tcPr>
            <w:tcW w:w="560" w:type="dxa"/>
            <w:noWrap w:val="0"/>
            <w:vAlign w:val="center"/>
          </w:tcPr>
          <w:p w14:paraId="211D4B5D">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55</w:t>
            </w:r>
          </w:p>
        </w:tc>
        <w:tc>
          <w:tcPr>
            <w:tcW w:w="1322" w:type="dxa"/>
            <w:noWrap w:val="0"/>
            <w:vAlign w:val="center"/>
          </w:tcPr>
          <w:p w14:paraId="299F6B7B">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注  射  用</w:t>
            </w:r>
          </w:p>
          <w:p w14:paraId="099E574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奥美拉唑钠</w:t>
            </w:r>
          </w:p>
        </w:tc>
        <w:tc>
          <w:tcPr>
            <w:tcW w:w="1800" w:type="dxa"/>
            <w:noWrap w:val="0"/>
            <w:vAlign w:val="center"/>
          </w:tcPr>
          <w:p w14:paraId="6151B15C">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按C17H19N3O3S计40mg×1瓶</w:t>
            </w:r>
          </w:p>
        </w:tc>
        <w:tc>
          <w:tcPr>
            <w:tcW w:w="630" w:type="dxa"/>
            <w:noWrap w:val="0"/>
            <w:vAlign w:val="center"/>
          </w:tcPr>
          <w:p w14:paraId="19918F8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支</w:t>
            </w:r>
          </w:p>
        </w:tc>
        <w:tc>
          <w:tcPr>
            <w:tcW w:w="1545" w:type="dxa"/>
            <w:noWrap w:val="0"/>
            <w:vAlign w:val="center"/>
          </w:tcPr>
          <w:p w14:paraId="5C3376F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注射剂</w:t>
            </w:r>
          </w:p>
        </w:tc>
        <w:tc>
          <w:tcPr>
            <w:tcW w:w="1665" w:type="dxa"/>
            <w:noWrap w:val="0"/>
            <w:vAlign w:val="center"/>
          </w:tcPr>
          <w:p w14:paraId="5C6B339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宜昌人福药业有限责任公司</w:t>
            </w:r>
            <w:r>
              <w:rPr>
                <w:rFonts w:hint="eastAsia" w:ascii="Times New Roman" w:hAnsi="Times New Roman" w:cs="Times New Roman"/>
                <w:color w:val="000000"/>
                <w:kern w:val="0"/>
                <w:szCs w:val="21"/>
                <w:lang w:eastAsia="zh-CN" w:bidi="ar"/>
              </w:rPr>
              <w:t>，</w:t>
            </w:r>
            <w:r>
              <w:rPr>
                <w:rFonts w:hint="default" w:ascii="Times New Roman" w:hAnsi="Times New Roman" w:cs="Times New Roman"/>
                <w:color w:val="000000"/>
                <w:kern w:val="0"/>
                <w:szCs w:val="21"/>
                <w:lang w:bidi="ar"/>
              </w:rPr>
              <w:t xml:space="preserve"> 国药集团国瑞药业有限公司</w:t>
            </w:r>
          </w:p>
        </w:tc>
        <w:tc>
          <w:tcPr>
            <w:tcW w:w="1060" w:type="dxa"/>
            <w:noWrap w:val="0"/>
            <w:vAlign w:val="center"/>
          </w:tcPr>
          <w:p w14:paraId="588A2B8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42764BD0">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0C7BBCF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1.12</w:t>
            </w:r>
          </w:p>
        </w:tc>
        <w:tc>
          <w:tcPr>
            <w:tcW w:w="1427" w:type="dxa"/>
            <w:noWrap w:val="0"/>
            <w:vAlign w:val="center"/>
          </w:tcPr>
          <w:p w14:paraId="5B3B9E1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湖南千金，华润，津湘</w:t>
            </w:r>
          </w:p>
        </w:tc>
        <w:tc>
          <w:tcPr>
            <w:tcW w:w="653" w:type="dxa"/>
            <w:noWrap w:val="0"/>
            <w:vAlign w:val="center"/>
          </w:tcPr>
          <w:p w14:paraId="4373539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41FC31C5">
            <w:pPr>
              <w:overflowPunct w:val="0"/>
              <w:spacing w:line="260" w:lineRule="exact"/>
              <w:jc w:val="center"/>
              <w:textAlignment w:val="center"/>
              <w:rPr>
                <w:rFonts w:hint="default" w:ascii="Times New Roman" w:hAnsi="Times New Roman" w:cs="Times New Roman"/>
                <w:color w:val="606266"/>
                <w:szCs w:val="21"/>
              </w:rPr>
            </w:pPr>
            <w:r>
              <w:rPr>
                <w:rFonts w:hint="default" w:ascii="Times New Roman" w:hAnsi="Times New Roman" w:cs="Times New Roman"/>
                <w:color w:val="606266"/>
                <w:kern w:val="0"/>
                <w:szCs w:val="21"/>
                <w:lang w:bidi="ar"/>
              </w:rPr>
              <w:t>0</w:t>
            </w:r>
          </w:p>
        </w:tc>
        <w:tc>
          <w:tcPr>
            <w:tcW w:w="1005" w:type="dxa"/>
            <w:noWrap w:val="0"/>
            <w:vAlign w:val="center"/>
          </w:tcPr>
          <w:p w14:paraId="1F21DC39">
            <w:pPr>
              <w:overflowPunct w:val="0"/>
              <w:spacing w:line="260" w:lineRule="exact"/>
              <w:jc w:val="center"/>
              <w:textAlignment w:val="center"/>
              <w:rPr>
                <w:rFonts w:hint="default" w:ascii="Times New Roman" w:hAnsi="Times New Roman" w:cs="Times New Roman"/>
                <w:color w:val="606266"/>
                <w:kern w:val="0"/>
                <w:szCs w:val="21"/>
                <w:lang w:bidi="ar"/>
              </w:rPr>
            </w:pPr>
            <w:r>
              <w:rPr>
                <w:rFonts w:hint="default" w:ascii="Times New Roman" w:hAnsi="Times New Roman" w:cs="Times New Roman"/>
                <w:color w:val="606266"/>
                <w:kern w:val="0"/>
                <w:szCs w:val="21"/>
                <w:lang w:bidi="ar"/>
              </w:rPr>
              <w:t>XA02BCA211B001010202000</w:t>
            </w:r>
          </w:p>
        </w:tc>
      </w:tr>
      <w:tr w14:paraId="2729BB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937" w:hRule="atLeast"/>
          <w:jc w:val="center"/>
        </w:trPr>
        <w:tc>
          <w:tcPr>
            <w:tcW w:w="560" w:type="dxa"/>
            <w:noWrap w:val="0"/>
            <w:vAlign w:val="center"/>
          </w:tcPr>
          <w:p w14:paraId="0FDE099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56</w:t>
            </w:r>
          </w:p>
        </w:tc>
        <w:tc>
          <w:tcPr>
            <w:tcW w:w="1322" w:type="dxa"/>
            <w:noWrap w:val="0"/>
            <w:vAlign w:val="center"/>
          </w:tcPr>
          <w:p w14:paraId="26B7B6A6">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注  射  用</w:t>
            </w:r>
          </w:p>
          <w:p w14:paraId="2696F72A">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头孢曲松钠</w:t>
            </w:r>
          </w:p>
        </w:tc>
        <w:tc>
          <w:tcPr>
            <w:tcW w:w="1800" w:type="dxa"/>
            <w:noWrap w:val="0"/>
            <w:vAlign w:val="center"/>
          </w:tcPr>
          <w:p w14:paraId="310A2BD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1.0g（按C18H18N8O7S3计）×1瓶/盒</w:t>
            </w:r>
          </w:p>
        </w:tc>
        <w:tc>
          <w:tcPr>
            <w:tcW w:w="630" w:type="dxa"/>
            <w:noWrap w:val="0"/>
            <w:vAlign w:val="center"/>
          </w:tcPr>
          <w:p w14:paraId="399C87C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支</w:t>
            </w:r>
          </w:p>
        </w:tc>
        <w:tc>
          <w:tcPr>
            <w:tcW w:w="1545" w:type="dxa"/>
            <w:noWrap w:val="0"/>
            <w:vAlign w:val="center"/>
          </w:tcPr>
          <w:p w14:paraId="6A3E5106">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注射剂</w:t>
            </w:r>
          </w:p>
        </w:tc>
        <w:tc>
          <w:tcPr>
            <w:tcW w:w="1665" w:type="dxa"/>
            <w:noWrap w:val="0"/>
            <w:vAlign w:val="center"/>
          </w:tcPr>
          <w:p w14:paraId="4DE8612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上海欣峰制药有限公司</w:t>
            </w:r>
          </w:p>
        </w:tc>
        <w:tc>
          <w:tcPr>
            <w:tcW w:w="1060" w:type="dxa"/>
            <w:noWrap w:val="0"/>
            <w:vAlign w:val="center"/>
          </w:tcPr>
          <w:p w14:paraId="23144293">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7C4EE534">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6F72D51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2.9</w:t>
            </w:r>
          </w:p>
        </w:tc>
        <w:tc>
          <w:tcPr>
            <w:tcW w:w="1427" w:type="dxa"/>
            <w:noWrap w:val="0"/>
            <w:vAlign w:val="center"/>
          </w:tcPr>
          <w:p w14:paraId="0D578E9F">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湖南千金医药股份有限公司</w:t>
            </w:r>
          </w:p>
        </w:tc>
        <w:tc>
          <w:tcPr>
            <w:tcW w:w="653" w:type="dxa"/>
            <w:noWrap w:val="0"/>
            <w:vAlign w:val="center"/>
          </w:tcPr>
          <w:p w14:paraId="283E0BB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084F34C0">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692AA66E">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XJ01DDT088B001010180532</w:t>
            </w:r>
          </w:p>
        </w:tc>
      </w:tr>
      <w:tr w14:paraId="0224069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1063" w:hRule="atLeast"/>
          <w:jc w:val="center"/>
        </w:trPr>
        <w:tc>
          <w:tcPr>
            <w:tcW w:w="560" w:type="dxa"/>
            <w:noWrap w:val="0"/>
            <w:vAlign w:val="center"/>
          </w:tcPr>
          <w:p w14:paraId="16710904">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57</w:t>
            </w:r>
          </w:p>
        </w:tc>
        <w:tc>
          <w:tcPr>
            <w:tcW w:w="1322" w:type="dxa"/>
            <w:noWrap w:val="0"/>
            <w:vAlign w:val="center"/>
          </w:tcPr>
          <w:p w14:paraId="155644AA">
            <w:pPr>
              <w:overflowPunct w:val="0"/>
              <w:spacing w:line="260" w:lineRule="exact"/>
              <w:jc w:val="center"/>
              <w:textAlignment w:val="bottom"/>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注 射 用</w:t>
            </w:r>
          </w:p>
          <w:p w14:paraId="79D6A858">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头孢他啶</w:t>
            </w:r>
          </w:p>
        </w:tc>
        <w:tc>
          <w:tcPr>
            <w:tcW w:w="1800" w:type="dxa"/>
            <w:noWrap w:val="0"/>
            <w:vAlign w:val="center"/>
          </w:tcPr>
          <w:p w14:paraId="00F7F23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按C22H22N607S2计1.0g×1瓶</w:t>
            </w:r>
          </w:p>
        </w:tc>
        <w:tc>
          <w:tcPr>
            <w:tcW w:w="630" w:type="dxa"/>
            <w:noWrap w:val="0"/>
            <w:vAlign w:val="center"/>
          </w:tcPr>
          <w:p w14:paraId="16D6E08B">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支</w:t>
            </w:r>
          </w:p>
        </w:tc>
        <w:tc>
          <w:tcPr>
            <w:tcW w:w="1545" w:type="dxa"/>
            <w:noWrap w:val="0"/>
            <w:vAlign w:val="center"/>
          </w:tcPr>
          <w:p w14:paraId="6AE72CCD">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注射剂</w:t>
            </w:r>
          </w:p>
        </w:tc>
        <w:tc>
          <w:tcPr>
            <w:tcW w:w="1665" w:type="dxa"/>
            <w:noWrap w:val="0"/>
            <w:vAlign w:val="center"/>
          </w:tcPr>
          <w:p w14:paraId="3B185142">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福安药业集团庆余堂制药有限公司</w:t>
            </w:r>
          </w:p>
        </w:tc>
        <w:tc>
          <w:tcPr>
            <w:tcW w:w="1060" w:type="dxa"/>
            <w:noWrap w:val="0"/>
            <w:vAlign w:val="center"/>
          </w:tcPr>
          <w:p w14:paraId="1F57621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是</w:t>
            </w:r>
          </w:p>
        </w:tc>
        <w:tc>
          <w:tcPr>
            <w:tcW w:w="797" w:type="dxa"/>
            <w:noWrap w:val="0"/>
            <w:vAlign w:val="center"/>
          </w:tcPr>
          <w:p w14:paraId="564CEE4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中选目录</w:t>
            </w:r>
          </w:p>
        </w:tc>
        <w:tc>
          <w:tcPr>
            <w:tcW w:w="944" w:type="dxa"/>
            <w:noWrap w:val="0"/>
            <w:vAlign w:val="center"/>
          </w:tcPr>
          <w:p w14:paraId="3C6580E1">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9.94</w:t>
            </w:r>
          </w:p>
        </w:tc>
        <w:tc>
          <w:tcPr>
            <w:tcW w:w="1427" w:type="dxa"/>
            <w:noWrap w:val="0"/>
            <w:vAlign w:val="center"/>
          </w:tcPr>
          <w:p w14:paraId="45F78D1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华润湖南医药有限公司株洲分公司</w:t>
            </w:r>
          </w:p>
        </w:tc>
        <w:tc>
          <w:tcPr>
            <w:tcW w:w="653" w:type="dxa"/>
            <w:noWrap w:val="0"/>
            <w:vAlign w:val="center"/>
          </w:tcPr>
          <w:p w14:paraId="6471A2C7">
            <w:pPr>
              <w:overflowPunct w:val="0"/>
              <w:spacing w:line="260" w:lineRule="exact"/>
              <w:jc w:val="center"/>
              <w:textAlignment w:val="bottom"/>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基药</w:t>
            </w:r>
          </w:p>
        </w:tc>
        <w:tc>
          <w:tcPr>
            <w:tcW w:w="900" w:type="dxa"/>
            <w:noWrap w:val="0"/>
            <w:vAlign w:val="center"/>
          </w:tcPr>
          <w:p w14:paraId="2EAD4A5F">
            <w:pPr>
              <w:overflowPunct w:val="0"/>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0</w:t>
            </w:r>
          </w:p>
        </w:tc>
        <w:tc>
          <w:tcPr>
            <w:tcW w:w="1005" w:type="dxa"/>
            <w:noWrap w:val="0"/>
            <w:vAlign w:val="center"/>
          </w:tcPr>
          <w:p w14:paraId="3F4F2D37">
            <w:pPr>
              <w:overflowPunct w:val="0"/>
              <w:spacing w:line="260" w:lineRule="exact"/>
              <w:jc w:val="center"/>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XJ01DDT094B001020101041</w:t>
            </w:r>
          </w:p>
        </w:tc>
      </w:tr>
    </w:tbl>
    <w:p w14:paraId="1A23FA0E">
      <w:pPr>
        <w:rPr>
          <w:rFonts w:hint="default" w:ascii="Times New Roman" w:hAnsi="Times New Roman" w:eastAsia="黑体" w:cs="Times New Roman"/>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15527F3B">
      <w:pPr>
        <w:numPr>
          <w:ilvl w:val="0"/>
          <w:numId w:val="0"/>
        </w:numPr>
        <w:jc w:val="both"/>
        <w:rPr>
          <w:rFonts w:hint="default" w:ascii="Times New Roman" w:hAnsi="Times New Roman" w:eastAsia="仿宋" w:cs="Times New Roman"/>
          <w:sz w:val="32"/>
          <w:szCs w:val="32"/>
          <w:lang w:val="en-US" w:eastAsia="zh-CN"/>
        </w:rPr>
      </w:pPr>
    </w:p>
    <w:sectPr>
      <w:pgSz w:w="11906" w:h="16838"/>
      <w:pgMar w:top="2098" w:right="1474" w:bottom="1984" w:left="1587" w:header="851" w:footer="992"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FE7C">
    <w:pPr>
      <w:pStyle w:val="8"/>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7880" cy="3219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7880" cy="321945"/>
                      </a:xfrm>
                      <a:prstGeom prst="rect">
                        <a:avLst/>
                      </a:prstGeom>
                      <a:noFill/>
                      <a:ln w="9525">
                        <a:noFill/>
                        <a:miter/>
                      </a:ln>
                      <a:effectLst/>
                    </wps:spPr>
                    <wps:txbx>
                      <w:txbxContent>
                        <w:p w14:paraId="6AE27CC7">
                          <w:pPr>
                            <w:pStyle w:val="8"/>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r>
                            <w:rPr>
                              <w:sz w:val="24"/>
                              <w:szCs w:val="24"/>
                            </w:rPr>
                            <w:t xml:space="preserve"> </w:t>
                          </w:r>
                          <w:r>
                            <w:t>—</w:t>
                          </w:r>
                        </w:p>
                      </w:txbxContent>
                    </wps:txbx>
                    <wps:bodyPr vert="horz" wrap="square" lIns="0" tIns="0" rIns="0" bIns="0" anchor="t" anchorCtr="0"/>
                  </wps:wsp>
                </a:graphicData>
              </a:graphic>
            </wp:anchor>
          </w:drawing>
        </mc:Choice>
        <mc:Fallback>
          <w:pict>
            <v:shape id="_x0000_s1026" o:spid="_x0000_s1026" o:spt="202" type="#_x0000_t202" style="position:absolute;left:0pt;margin-top:0pt;height:25.35pt;width:64.4pt;mso-position-horizontal:outside;mso-position-horizontal-relative:margin;z-index:251659264;mso-width-relative:page;mso-height-relative:page;" filled="f" stroked="f" coordsize="21600,21600" o:gfxdata="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iEmY1AAAAAQBAAAP&#10;AAAAAAAAAAEAIAAAACIAAABkcnMvZG93bnJldi54bWxQSwECFAAUAAAACACHTuJAVJIz/+MBAAC5&#10;AwAADgAAAAAAAAABACAAAAAjAQAAZHJzL2Uyb0RvYy54bWxQSwUGAAAAAAYABgBZAQAAeAUAAAAA&#10;">
              <v:fill on="f" focussize="0,0"/>
              <v:stroke on="f" joinstyle="miter"/>
              <v:imagedata o:title=""/>
              <o:lock v:ext="edit" aspectratio="f"/>
              <v:textbox inset="0mm,0mm,0mm,0mm">
                <w:txbxContent>
                  <w:p w14:paraId="6AE27CC7">
                    <w:pPr>
                      <w:pStyle w:val="8"/>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E190D"/>
    <w:multiLevelType w:val="singleLevel"/>
    <w:tmpl w:val="B61E190D"/>
    <w:lvl w:ilvl="0" w:tentative="0">
      <w:start w:val="1"/>
      <w:numFmt w:val="chineseCounting"/>
      <w:suff w:val="nothing"/>
      <w:lvlText w:val="%1、"/>
      <w:lvlJc w:val="left"/>
      <w:rPr>
        <w:rFonts w:hint="eastAsia"/>
      </w:rPr>
    </w:lvl>
  </w:abstractNum>
  <w:abstractNum w:abstractNumId="1">
    <w:nsid w:val="00349407"/>
    <w:multiLevelType w:val="singleLevel"/>
    <w:tmpl w:val="00349407"/>
    <w:lvl w:ilvl="0" w:tentative="0">
      <w:start w:val="1"/>
      <w:numFmt w:val="decimal"/>
      <w:suff w:val="nothing"/>
      <w:lvlText w:val="（%1）"/>
      <w:lvlJc w:val="left"/>
      <w:pPr>
        <w:ind w:left="-13"/>
      </w:pPr>
    </w:lvl>
  </w:abstractNum>
  <w:abstractNum w:abstractNumId="2">
    <w:nsid w:val="0AC1287B"/>
    <w:multiLevelType w:val="singleLevel"/>
    <w:tmpl w:val="0AC1287B"/>
    <w:lvl w:ilvl="0" w:tentative="0">
      <w:start w:val="1"/>
      <w:numFmt w:val="decimal"/>
      <w:suff w:val="nothing"/>
      <w:lvlText w:val="（%1）"/>
      <w:lvlJc w:val="left"/>
    </w:lvl>
  </w:abstractNum>
  <w:abstractNum w:abstractNumId="3">
    <w:nsid w:val="20933B2F"/>
    <w:multiLevelType w:val="singleLevel"/>
    <w:tmpl w:val="20933B2F"/>
    <w:lvl w:ilvl="0" w:tentative="0">
      <w:start w:val="1"/>
      <w:numFmt w:val="decimal"/>
      <w:suff w:val="nothing"/>
      <w:lvlText w:val="%1、"/>
      <w:lvlJc w:val="left"/>
      <w:pPr>
        <w:ind w:left="-10"/>
      </w:pPr>
    </w:lvl>
  </w:abstractNum>
  <w:abstractNum w:abstractNumId="4">
    <w:nsid w:val="452C393F"/>
    <w:multiLevelType w:val="singleLevel"/>
    <w:tmpl w:val="452C393F"/>
    <w:lvl w:ilvl="0" w:tentative="0">
      <w:start w:val="1"/>
      <w:numFmt w:val="chineseCounting"/>
      <w:suff w:val="nothing"/>
      <w:lvlText w:val="（%1）"/>
      <w:lvlJc w:val="left"/>
      <w:rPr>
        <w:rFonts w:hint="eastAsia"/>
      </w:rPr>
    </w:lvl>
  </w:abstractNum>
  <w:abstractNum w:abstractNumId="5">
    <w:nsid w:val="653028B5"/>
    <w:multiLevelType w:val="singleLevel"/>
    <w:tmpl w:val="653028B5"/>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N2ExMDUxYWRhZmExMzdlZmUzZWY1ZWFhN2VkMjMifQ=="/>
  </w:docVars>
  <w:rsids>
    <w:rsidRoot w:val="00000000"/>
    <w:rsid w:val="07F3097D"/>
    <w:rsid w:val="17B34538"/>
    <w:rsid w:val="1C37598E"/>
    <w:rsid w:val="270B2978"/>
    <w:rsid w:val="2D7F8F4B"/>
    <w:rsid w:val="37AFAAAB"/>
    <w:rsid w:val="3B191D2F"/>
    <w:rsid w:val="3F9F2443"/>
    <w:rsid w:val="3FD75F5D"/>
    <w:rsid w:val="4603720B"/>
    <w:rsid w:val="480067AB"/>
    <w:rsid w:val="4A8E20AA"/>
    <w:rsid w:val="4FED3841"/>
    <w:rsid w:val="5FA42CCA"/>
    <w:rsid w:val="5FF26ACB"/>
    <w:rsid w:val="71D74622"/>
    <w:rsid w:val="758F0A4E"/>
    <w:rsid w:val="7D7701F7"/>
    <w:rsid w:val="7FAF746A"/>
    <w:rsid w:val="B4DFBB31"/>
    <w:rsid w:val="BEFF9173"/>
    <w:rsid w:val="C17FF148"/>
    <w:rsid w:val="CFF3032A"/>
    <w:rsid w:val="DB75ED61"/>
    <w:rsid w:val="DFBD2B43"/>
    <w:rsid w:val="DFF6AAAE"/>
    <w:rsid w:val="EFEB908D"/>
    <w:rsid w:val="F68EBE61"/>
    <w:rsid w:val="FBFEB5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方正小标宋_GBK"/>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ascii="Calibri" w:hAnsi="Calibri" w:eastAsia="楷体_GB2312"/>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_GB2312"/>
      <w:b/>
      <w:sz w:val="32"/>
    </w:rPr>
  </w:style>
  <w:style w:type="character" w:default="1" w:styleId="11">
    <w:name w:val="Default Paragraph Font"/>
    <w:semiHidden/>
    <w:qForma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6">
    <w:name w:val="index 5"/>
    <w:basedOn w:val="1"/>
    <w:next w:val="1"/>
    <w:qFormat/>
    <w:uiPriority w:val="0"/>
    <w:pPr>
      <w:ind w:left="1680"/>
    </w:pPr>
    <w:rPr>
      <w:rFonts w:eastAsia="方正仿宋简体"/>
      <w:sz w:val="32"/>
    </w:rPr>
  </w:style>
  <w:style w:type="paragraph" w:styleId="7">
    <w:name w:val="Body Text"/>
    <w:basedOn w:val="1"/>
    <w:qFormat/>
    <w:uiPriority w:val="0"/>
    <w:pPr>
      <w:ind w:left="111"/>
    </w:pPr>
    <w:rPr>
      <w:rFonts w:ascii="宋体" w:hAnsi="宋体" w:cs="宋体"/>
      <w:sz w:val="32"/>
      <w:szCs w:val="32"/>
      <w:lang w:val="zh-CN"/>
    </w:rPr>
  </w:style>
  <w:style w:type="paragraph" w:styleId="8">
    <w:name w:val="footer"/>
    <w:basedOn w:val="1"/>
    <w:next w:val="1"/>
    <w:qFormat/>
    <w:uiPriority w:val="0"/>
    <w:pPr>
      <w:tabs>
        <w:tab w:val="center" w:pos="4153"/>
        <w:tab w:val="right" w:pos="8306"/>
      </w:tabs>
      <w:snapToGrid w:val="0"/>
      <w:jc w:val="left"/>
    </w:pPr>
    <w:rPr>
      <w:sz w:val="18"/>
      <w:szCs w:val="18"/>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1"/>
    <w:basedOn w:val="1"/>
    <w:qFormat/>
    <w:uiPriority w:val="0"/>
    <w:rPr>
      <w:rFonts w:eastAsia="仿宋_GB2312"/>
      <w:sz w:val="32"/>
      <w:szCs w:val="20"/>
    </w:rPr>
  </w:style>
  <w:style w:type="paragraph" w:customStyle="1" w:styleId="13">
    <w:name w:val="Heading #1|1"/>
    <w:basedOn w:val="1"/>
    <w:qFormat/>
    <w:uiPriority w:val="0"/>
    <w:pPr>
      <w:spacing w:after="360"/>
      <w:jc w:val="center"/>
      <w:outlineLvl w:val="0"/>
    </w:pPr>
    <w:rPr>
      <w:rFonts w:ascii="宋体" w:hAnsi="宋体"/>
      <w:sz w:val="42"/>
      <w:szCs w:val="42"/>
      <w:lang w:val="zh-CN" w:bidi="zh-CN"/>
    </w:rPr>
  </w:style>
  <w:style w:type="paragraph" w:customStyle="1" w:styleId="14">
    <w:name w:val="Other|1"/>
    <w:basedOn w:val="1"/>
    <w:qFormat/>
    <w:uiPriority w:val="0"/>
    <w:pPr>
      <w:spacing w:line="442" w:lineRule="auto"/>
      <w:ind w:firstLine="400"/>
    </w:pPr>
    <w:rPr>
      <w:rFonts w:ascii="宋体" w:hAnsi="宋体"/>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4685</Words>
  <Characters>4792</Characters>
  <Lines>0</Lines>
  <Paragraphs>0</Paragraphs>
  <TotalTime>4</TotalTime>
  <ScaleCrop>false</ScaleCrop>
  <LinksUpToDate>false</LinksUpToDate>
  <CharactersWithSpaces>4836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2024-09-26T16:43:00Z</dcterms:created>
  <dc:creator>Administrator</dc:creator>
  <cp:lastModifiedBy>Administrator</cp:lastModifiedBy>
  <cp:lastPrinted>2025-09-18T03:33:46Z</cp:lastPrinted>
  <dcterms:modified xsi:type="dcterms:W3CDTF">2026-02-10T02:33:31Z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128E1CB94D104A8EA0A3230D3FCBB380_13</vt:lpwstr>
  </property>
  <property fmtid="{D5CDD505-2E9C-101B-9397-08002B2CF9AE}" pid="4" name="KSOTemplateDocerSaveRecord">
    <vt:lpwstr>eyJoZGlkIjoiNGFiYTc1YjA5NGZlNjFlYjBhNmE1MDM1OTA0MGI3NjgiLCJ1c2VySWQiOiIxMzE0MjYzMTY0In0=</vt:lpwstr>
  </property>
</Properties>
</file>