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D9E3">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bookmarkStart w:id="0" w:name="_GoBack"/>
      <w:r>
        <w:rPr>
          <w:rFonts w:hint="eastAsia" w:eastAsia="方正小标宋_GBK"/>
          <w:sz w:val="48"/>
          <w:szCs w:val="48"/>
          <w:lang w:val="en-US" w:eastAsia="zh-CN"/>
        </w:rPr>
        <w:t>株洲市芦淞区人力资源和社会保障局</w:t>
      </w:r>
      <w:r>
        <w:rPr>
          <w:rFonts w:hint="eastAsia" w:eastAsia="方正小标宋_GBK"/>
          <w:sz w:val="48"/>
          <w:szCs w:val="48"/>
          <w:lang w:eastAsia="zh-CN"/>
        </w:rPr>
        <w:t>整体</w:t>
      </w:r>
      <w:r>
        <w:rPr>
          <w:rFonts w:eastAsia="方正小标宋_GBK"/>
          <w:sz w:val="48"/>
          <w:szCs w:val="48"/>
        </w:rPr>
        <w:t>支出绩效自评报告</w:t>
      </w:r>
      <w:bookmarkEnd w:id="0"/>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01598E02">
      <w:pPr>
        <w:ind w:firstLine="880" w:firstLineChars="200"/>
        <w:jc w:val="center"/>
        <w:rPr>
          <w:rFonts w:eastAsia="黑体"/>
          <w:sz w:val="44"/>
          <w:szCs w:val="44"/>
        </w:rPr>
      </w:pPr>
    </w:p>
    <w:p w14:paraId="47511607">
      <w:pPr>
        <w:ind w:firstLine="880" w:firstLineChars="200"/>
        <w:jc w:val="center"/>
        <w:rPr>
          <w:rFonts w:eastAsia="黑体"/>
          <w:sz w:val="44"/>
          <w:szCs w:val="44"/>
        </w:rPr>
      </w:pPr>
    </w:p>
    <w:p w14:paraId="31FCC135">
      <w:pPr>
        <w:ind w:firstLine="880" w:firstLineChars="200"/>
        <w:jc w:val="center"/>
        <w:rPr>
          <w:rFonts w:eastAsia="黑体"/>
          <w:sz w:val="44"/>
          <w:szCs w:val="44"/>
        </w:rPr>
      </w:pPr>
    </w:p>
    <w:p w14:paraId="6DD5B779">
      <w:pPr>
        <w:ind w:firstLine="880" w:firstLineChars="200"/>
        <w:jc w:val="center"/>
        <w:rPr>
          <w:rFonts w:eastAsia="黑体"/>
          <w:sz w:val="44"/>
          <w:szCs w:val="44"/>
        </w:rPr>
      </w:pPr>
    </w:p>
    <w:p w14:paraId="5E89A8B7">
      <w:pPr>
        <w:ind w:firstLine="880" w:firstLineChars="200"/>
        <w:jc w:val="center"/>
        <w:rPr>
          <w:rFonts w:eastAsia="黑体"/>
          <w:sz w:val="44"/>
          <w:szCs w:val="44"/>
        </w:rPr>
      </w:pPr>
    </w:p>
    <w:p w14:paraId="78755730">
      <w:pPr>
        <w:ind w:firstLine="880" w:firstLineChars="200"/>
        <w:jc w:val="center"/>
        <w:rPr>
          <w:rFonts w:eastAsia="黑体"/>
          <w:sz w:val="44"/>
          <w:szCs w:val="44"/>
        </w:rPr>
      </w:pPr>
    </w:p>
    <w:p w14:paraId="1E2E0573">
      <w:pPr>
        <w:ind w:firstLine="880" w:firstLineChars="200"/>
        <w:jc w:val="both"/>
        <w:rPr>
          <w:rFonts w:eastAsia="黑体"/>
          <w:sz w:val="44"/>
          <w:szCs w:val="44"/>
        </w:rPr>
      </w:pPr>
    </w:p>
    <w:p w14:paraId="6D476D5C">
      <w:pPr>
        <w:ind w:firstLine="880" w:firstLineChars="200"/>
        <w:jc w:val="both"/>
        <w:rPr>
          <w:rFonts w:eastAsia="黑体"/>
          <w:sz w:val="44"/>
          <w:szCs w:val="44"/>
        </w:rPr>
      </w:pPr>
    </w:p>
    <w:p w14:paraId="2304FDD0">
      <w:pPr>
        <w:jc w:val="both"/>
        <w:rPr>
          <w:rFonts w:hint="eastAsia" w:ascii="方正楷体_GB2312" w:hAnsi="方正楷体_GB2312" w:eastAsia="方正楷体_GB2312" w:cs="方正楷体_GB2312"/>
          <w:sz w:val="32"/>
          <w:szCs w:val="32"/>
          <w:lang w:val="en-US" w:eastAsia="zh-CN"/>
        </w:rPr>
      </w:pPr>
      <w:r>
        <w:rPr>
          <w:rFonts w:hint="eastAsia" w:ascii="方正仿宋_GB2312" w:hAnsi="方正仿宋_GB2312" w:eastAsia="方正仿宋_GB2312" w:cs="方正仿宋_GB2312"/>
          <w:sz w:val="32"/>
          <w:szCs w:val="32"/>
        </w:rPr>
        <w:t>单位名称（盖章）：</w:t>
      </w:r>
      <w:r>
        <w:rPr>
          <w:rFonts w:hint="eastAsia" w:ascii="方正仿宋_GB2312" w:hAnsi="方正仿宋_GB2312" w:eastAsia="方正仿宋_GB2312" w:cs="方正仿宋_GB2312"/>
          <w:sz w:val="32"/>
          <w:szCs w:val="32"/>
          <w:lang w:val="en-US" w:eastAsia="zh-CN"/>
        </w:rPr>
        <w:t>株洲市芦淞区人力资源和社会保障局</w:t>
      </w:r>
    </w:p>
    <w:p w14:paraId="6F92C1D1">
      <w:pPr>
        <w:jc w:val="center"/>
        <w:rPr>
          <w:rFonts w:eastAsia="黑体"/>
          <w:sz w:val="36"/>
          <w:szCs w:val="36"/>
        </w:rPr>
      </w:pPr>
    </w:p>
    <w:p w14:paraId="7505B1A1">
      <w:pPr>
        <w:spacing w:line="600" w:lineRule="exact"/>
        <w:rPr>
          <w:rFonts w:eastAsia="黑体"/>
          <w:sz w:val="32"/>
          <w:szCs w:val="32"/>
        </w:rPr>
      </w:pPr>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（一）部门（单位）基本情况</w:t>
      </w:r>
    </w:p>
    <w:p w14:paraId="44182825">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株洲市芦淞区人力资源和社会保障局是区政府工作部门，为正科级。共有编制人数37人，</w:t>
      </w:r>
      <w:r>
        <w:rPr>
          <w:rFonts w:hint="default" w:ascii="Times New Roman" w:hAnsi="Times New Roman" w:eastAsia="方正仿宋_GB2312" w:cs="Times New Roman"/>
          <w:sz w:val="32"/>
          <w:szCs w:val="32"/>
          <w:lang w:val="en-US" w:eastAsia="zh-CN"/>
        </w:rPr>
        <w:t>截至12月底，</w:t>
      </w:r>
      <w:r>
        <w:rPr>
          <w:rFonts w:hint="default" w:ascii="Times New Roman" w:hAnsi="Times New Roman" w:eastAsia="方正仿宋_GB2312" w:cs="Times New Roman"/>
          <w:sz w:val="32"/>
          <w:szCs w:val="32"/>
        </w:rPr>
        <w:t>实有在职在编人数3</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人。</w:t>
      </w:r>
      <w:r>
        <w:rPr>
          <w:rFonts w:hint="default" w:ascii="Times New Roman" w:hAnsi="Times New Roman" w:eastAsia="方正仿宋_GB2312" w:cs="Times New Roman"/>
          <w:color w:val="auto"/>
          <w:sz w:val="32"/>
          <w:szCs w:val="32"/>
        </w:rPr>
        <w:t>内设</w:t>
      </w:r>
      <w:r>
        <w:rPr>
          <w:rFonts w:hint="default" w:ascii="Times New Roman" w:hAnsi="Times New Roman" w:eastAsia="方正仿宋_GB2312" w:cs="Times New Roman"/>
          <w:color w:val="auto"/>
          <w:sz w:val="32"/>
          <w:szCs w:val="32"/>
          <w:lang w:val="en-US" w:eastAsia="zh-CN"/>
        </w:rPr>
        <w:t>股</w:t>
      </w:r>
      <w:r>
        <w:rPr>
          <w:rFonts w:hint="default" w:ascii="Times New Roman" w:hAnsi="Times New Roman" w:eastAsia="方正仿宋_GB2312" w:cs="Times New Roman"/>
          <w:color w:val="auto"/>
          <w:sz w:val="32"/>
          <w:szCs w:val="32"/>
        </w:rPr>
        <w:t>室</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个</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sz w:val="32"/>
          <w:szCs w:val="32"/>
        </w:rPr>
        <w:t>分别为：办公室、人事股、社会保障与基金监督股、人力资源与就业促进股、劳动关系股。所属事业单位</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个（非独立核算），分别为：区就业服务中心、区社会保险服务中心、区人力资源服务中心。</w:t>
      </w:r>
    </w:p>
    <w:p w14:paraId="2FD2A1E5">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（一）贯彻执行国家、省、市有关人力资源和社会保障工作的法律、法规和方针、政策，拟定全区人力资源和社会保障事业的总体规划和实施办法，并组织实施和监督检查。</w:t>
      </w:r>
    </w:p>
    <w:p w14:paraId="25B2232D">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（二）落实全区事业单位人事制度改革，按照管理权限负责规范事业单位岗位设置、公开招聘、聘用合同、考核奖励等人事综合管理工作。</w:t>
      </w:r>
    </w:p>
    <w:p w14:paraId="3D6F14A9">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（三）负责全区事业单位工作人员和机关工勤人员的管理，落实工资福利和离退休政策。</w:t>
      </w:r>
    </w:p>
    <w:p w14:paraId="136BBB12">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（四）负责全区专业技术人员职称评审等管理工作。</w:t>
      </w:r>
    </w:p>
    <w:p w14:paraId="173B9235">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（五）宣传和贯彻劳动保障法律、法规和规章，负责全区劳动监察行政执法工作，承办各类劳动用工的录用备案手续，审批全区特殊工时制，审查集体合同及专项集体合同，监督企业执行最低工资标准。</w:t>
      </w:r>
    </w:p>
    <w:p w14:paraId="348FC349">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（六）负责劳动关系的协调，加强对辖区用人单位的监督和检查，依法查处劳动保障案件。会同有关部门统筹做好全区农民工工资支付保障工作，维护农民工合法权益。</w:t>
      </w:r>
    </w:p>
    <w:p w14:paraId="0591E56C">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（七）负责全区劳动人事争议调解仲裁工作。</w:t>
      </w:r>
    </w:p>
    <w:p w14:paraId="5D1927A6">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（八）负责辖区人力资源市场和经营性人力资源服务机构的指导和监管工作。</w:t>
      </w:r>
    </w:p>
    <w:p w14:paraId="3BB3D60A">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（九）负责指导全区就业工作，认定就业困难人员并给予就业援助，核发《就业创业证》；开发并认定公益性岗位；审核灵活就业人员社保补贴；核发就业专项资金。</w:t>
      </w:r>
    </w:p>
    <w:p w14:paraId="58BF96F8">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统筹推进建立全区覆盖城乡的多层次社会保障体系。负责企业职工工龄认定和企业职工退休审批工作;负责芦淞区企业退休人员丧葬待遇审批工作；负责芦淞区城乡居民基本养老保险、企业职工基本养老保险、失地农民养老保险、失业保险的待遇核定工作；负责机关事业单位退休人员视同缴费年限审核。</w:t>
      </w:r>
    </w:p>
    <w:p w14:paraId="19621134">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（十一）制定全区社会保险基金及专项资金的监督管理制度并组织实施，依法查处基金及专项资金管理的违规违纪案件。</w:t>
      </w:r>
    </w:p>
    <w:p w14:paraId="4BBDA169">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（十二）承担区为民办实事考核办公室的日常工作，组织民生实事考核。</w:t>
      </w:r>
    </w:p>
    <w:p w14:paraId="6747041B">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（十三）负责改制企业档案移交及管理工作；指导企业单位退休人员档案的服务与管理。</w:t>
      </w:r>
    </w:p>
    <w:p w14:paraId="63D2E14A">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（十四）负责指导基层劳动保障工作。</w:t>
      </w:r>
    </w:p>
    <w:p w14:paraId="43767EFC">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（十五）完成区委、区政府交办的其他任务。</w:t>
      </w:r>
    </w:p>
    <w:p w14:paraId="4F33C014">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（十六）职能转变。</w:t>
      </w:r>
    </w:p>
    <w:p w14:paraId="570A769A">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1.公务员管理职责划入区委组织部。</w:t>
      </w:r>
    </w:p>
    <w:p w14:paraId="1F749984">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2.将军官转业安置职责划入区退役军人事务局。</w:t>
      </w:r>
    </w:p>
    <w:p w14:paraId="0B6DC61D">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3.将城镇职工和城镇居民基本医疗保险、生育保险、新型农村合作医疗职责划入区医疗保障局。</w:t>
      </w:r>
    </w:p>
    <w:p w14:paraId="6B18CC62">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4.将外国专家管理职责划入区科技和工业信息化局。</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4"/>
        <w:spacing w:line="600" w:lineRule="exact"/>
        <w:ind w:firstLine="643"/>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b/>
          <w:sz w:val="32"/>
          <w:szCs w:val="32"/>
          <w:lang w:val="en-US" w:eastAsia="zh-CN"/>
        </w:rPr>
        <w:t>1、</w:t>
      </w:r>
      <w:r>
        <w:rPr>
          <w:rFonts w:hint="default" w:ascii="Times New Roman" w:hAnsi="Times New Roman" w:eastAsia="方正仿宋_GB2312" w:cs="Times New Roman"/>
          <w:color w:val="000000"/>
          <w:sz w:val="32"/>
          <w:szCs w:val="32"/>
        </w:rPr>
        <w:t>202</w:t>
      </w:r>
      <w:r>
        <w:rPr>
          <w:rFonts w:hint="default"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年预算资金</w:t>
      </w:r>
    </w:p>
    <w:p w14:paraId="632F2458">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b w:val="0"/>
          <w:bCs w:val="0"/>
          <w:sz w:val="32"/>
          <w:szCs w:val="32"/>
          <w:highlight w:val="none"/>
        </w:rPr>
      </w:pPr>
      <w:r>
        <w:rPr>
          <w:rFonts w:hint="default" w:ascii="Times New Roman" w:hAnsi="Times New Roman" w:eastAsia="方正仿宋_GB2312" w:cs="Times New Roman"/>
          <w:b w:val="0"/>
          <w:bCs w:val="0"/>
          <w:sz w:val="32"/>
          <w:szCs w:val="32"/>
          <w:highlight w:val="none"/>
        </w:rPr>
        <w:t>（1）收入预算：2024年年初部门收入预算2175.98万元，其中，一般公共预算拨款2175.98万元。</w:t>
      </w:r>
    </w:p>
    <w:p w14:paraId="05E4CA10">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b w:val="0"/>
          <w:bCs w:val="0"/>
          <w:sz w:val="32"/>
          <w:szCs w:val="32"/>
          <w:highlight w:val="none"/>
        </w:rPr>
        <w:t>（2）支出预算：2024年年初部门支出预算2175.98万元，其中，社会保障和就业支出2105.25万元，卫生健康支出32.75万元，住房保障支出37.98万元</w:t>
      </w:r>
      <w:r>
        <w:rPr>
          <w:rFonts w:hint="default" w:ascii="Times New Roman" w:hAnsi="Times New Roman" w:eastAsia="方正仿宋_GB2312" w:cs="Times New Roman"/>
          <w:b w:val="0"/>
          <w:bCs w:val="0"/>
          <w:sz w:val="32"/>
          <w:szCs w:val="32"/>
          <w:highlight w:val="none"/>
          <w:lang w:eastAsia="zh-CN"/>
        </w:rPr>
        <w:t>。</w:t>
      </w:r>
    </w:p>
    <w:p w14:paraId="36097CFC">
      <w:pPr>
        <w:pStyle w:val="4"/>
        <w:spacing w:line="600" w:lineRule="exact"/>
        <w:ind w:firstLine="643"/>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2、2024年度</w:t>
      </w:r>
      <w:r>
        <w:rPr>
          <w:rFonts w:hint="default" w:ascii="Times New Roman" w:hAnsi="Times New Roman" w:eastAsia="方正仿宋_GB2312" w:cs="Times New Roman"/>
          <w:color w:val="auto"/>
          <w:sz w:val="32"/>
          <w:szCs w:val="32"/>
        </w:rPr>
        <w:t>单位一般公共预算财政拨款收入</w:t>
      </w:r>
      <w:r>
        <w:rPr>
          <w:rFonts w:hint="default" w:ascii="Times New Roman" w:hAnsi="Times New Roman" w:eastAsia="方正仿宋_GB2312" w:cs="Times New Roman"/>
          <w:color w:val="auto"/>
          <w:sz w:val="32"/>
          <w:szCs w:val="32"/>
          <w:lang w:eastAsia="zh-CN"/>
        </w:rPr>
        <w:t>1761.29</w:t>
      </w:r>
      <w:r>
        <w:rPr>
          <w:rFonts w:hint="default" w:ascii="Times New Roman" w:hAnsi="Times New Roman" w:eastAsia="方正仿宋_GB2312" w:cs="Times New Roman"/>
          <w:color w:val="auto"/>
          <w:sz w:val="32"/>
          <w:szCs w:val="32"/>
          <w:lang w:val="en-US" w:eastAsia="zh-CN"/>
        </w:rPr>
        <w:t>万元。</w:t>
      </w:r>
    </w:p>
    <w:p w14:paraId="65368BC4">
      <w:pPr>
        <w:pStyle w:val="4"/>
        <w:spacing w:line="600" w:lineRule="exact"/>
        <w:ind w:firstLine="643"/>
        <w:rPr>
          <w:rFonts w:hint="default" w:ascii="Times New Roman" w:hAnsi="Times New Roman" w:eastAsia="方正仿宋_GB2312" w:cs="Times New Roman"/>
          <w:color w:val="0000FF"/>
          <w:sz w:val="32"/>
          <w:szCs w:val="32"/>
          <w:lang w:val="en-US" w:eastAsia="zh-CN"/>
        </w:rPr>
      </w:pPr>
      <w:r>
        <w:rPr>
          <w:rFonts w:hint="default" w:ascii="Times New Roman" w:hAnsi="Times New Roman" w:eastAsia="方正仿宋_GB2312" w:cs="Times New Roman"/>
          <w:color w:val="auto"/>
          <w:sz w:val="32"/>
          <w:szCs w:val="32"/>
        </w:rPr>
        <w:t>3</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2024年度</w:t>
      </w:r>
      <w:r>
        <w:rPr>
          <w:rFonts w:hint="default" w:ascii="Times New Roman" w:hAnsi="Times New Roman" w:eastAsia="方正仿宋_GB2312" w:cs="Times New Roman"/>
          <w:color w:val="auto"/>
          <w:sz w:val="32"/>
          <w:szCs w:val="32"/>
        </w:rPr>
        <w:t>单位一般公共预算财政拨款</w:t>
      </w:r>
      <w:r>
        <w:rPr>
          <w:rFonts w:hint="default" w:ascii="Times New Roman" w:hAnsi="Times New Roman" w:eastAsia="方正仿宋_GB2312" w:cs="Times New Roman"/>
          <w:color w:val="auto"/>
          <w:sz w:val="32"/>
          <w:szCs w:val="32"/>
          <w:lang w:eastAsia="zh-CN"/>
        </w:rPr>
        <w:t>支出1761.29</w:t>
      </w:r>
      <w:r>
        <w:rPr>
          <w:rFonts w:hint="default" w:ascii="Times New Roman" w:hAnsi="Times New Roman" w:eastAsia="方正仿宋_GB2312" w:cs="Times New Roman"/>
          <w:color w:val="auto"/>
          <w:sz w:val="32"/>
          <w:szCs w:val="32"/>
          <w:lang w:val="en-US" w:eastAsia="zh-CN"/>
        </w:rPr>
        <w:t>万元，</w:t>
      </w:r>
      <w:r>
        <w:rPr>
          <w:rFonts w:hint="default" w:ascii="Times New Roman" w:hAnsi="Times New Roman" w:eastAsia="方正仿宋_GB2312" w:cs="Times New Roman"/>
          <w:color w:val="auto"/>
          <w:sz w:val="32"/>
          <w:szCs w:val="32"/>
        </w:rPr>
        <w:t>其中：项目支出</w:t>
      </w:r>
      <w:r>
        <w:rPr>
          <w:rFonts w:hint="default" w:ascii="Times New Roman" w:hAnsi="Times New Roman" w:eastAsia="方正仿宋_GB2312" w:cs="Times New Roman"/>
          <w:color w:val="auto"/>
          <w:sz w:val="32"/>
          <w:szCs w:val="32"/>
          <w:lang w:val="en-US" w:eastAsia="zh-CN"/>
        </w:rPr>
        <w:t>1058.02</w:t>
      </w:r>
      <w:r>
        <w:rPr>
          <w:rFonts w:hint="default" w:ascii="Times New Roman" w:hAnsi="Times New Roman" w:eastAsia="方正仿宋_GB2312" w:cs="Times New Roman"/>
          <w:color w:val="auto"/>
          <w:sz w:val="32"/>
          <w:szCs w:val="32"/>
        </w:rPr>
        <w:t>万元，基本支出</w:t>
      </w:r>
      <w:r>
        <w:rPr>
          <w:rFonts w:hint="default" w:ascii="Times New Roman" w:hAnsi="Times New Roman" w:eastAsia="方正仿宋_GB2312" w:cs="Times New Roman"/>
          <w:color w:val="auto"/>
          <w:sz w:val="32"/>
          <w:szCs w:val="32"/>
          <w:lang w:val="en-US" w:eastAsia="zh-CN"/>
        </w:rPr>
        <w:t>703.27</w:t>
      </w:r>
      <w:r>
        <w:rPr>
          <w:rFonts w:hint="default" w:ascii="Times New Roman" w:hAnsi="Times New Roman" w:eastAsia="方正仿宋_GB2312" w:cs="Times New Roman"/>
          <w:color w:val="auto"/>
          <w:sz w:val="32"/>
          <w:szCs w:val="32"/>
        </w:rPr>
        <w:t>万元，其中：人员经费</w:t>
      </w:r>
      <w:r>
        <w:rPr>
          <w:rFonts w:hint="default" w:ascii="Times New Roman" w:hAnsi="Times New Roman" w:eastAsia="方正仿宋_GB2312" w:cs="Times New Roman"/>
          <w:color w:val="auto"/>
          <w:sz w:val="32"/>
          <w:szCs w:val="32"/>
          <w:lang w:val="en-US" w:eastAsia="zh-CN"/>
        </w:rPr>
        <w:t>647.93</w:t>
      </w:r>
      <w:r>
        <w:rPr>
          <w:rFonts w:hint="default" w:ascii="Times New Roman" w:hAnsi="Times New Roman" w:eastAsia="方正仿宋_GB2312" w:cs="Times New Roman"/>
          <w:color w:val="auto"/>
          <w:sz w:val="32"/>
          <w:szCs w:val="32"/>
        </w:rPr>
        <w:t>万元，公用经费</w:t>
      </w:r>
      <w:r>
        <w:rPr>
          <w:rFonts w:hint="default" w:ascii="Times New Roman" w:hAnsi="Times New Roman" w:eastAsia="方正仿宋_GB2312" w:cs="Times New Roman"/>
          <w:color w:val="auto"/>
          <w:sz w:val="32"/>
          <w:szCs w:val="32"/>
          <w:lang w:val="en-US" w:eastAsia="zh-CN"/>
        </w:rPr>
        <w:t>55.34万</w:t>
      </w:r>
      <w:r>
        <w:rPr>
          <w:rFonts w:hint="default" w:ascii="Times New Roman" w:hAnsi="Times New Roman" w:eastAsia="方正仿宋_GB2312" w:cs="Times New Roman"/>
          <w:color w:val="auto"/>
          <w:sz w:val="32"/>
          <w:szCs w:val="32"/>
        </w:rPr>
        <w:t>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2BE6FABA">
      <w:pPr>
        <w:keepNext w:val="0"/>
        <w:keepLines w:val="0"/>
        <w:pageBreakBefore w:val="0"/>
        <w:widowControl w:val="0"/>
        <w:numPr>
          <w:ilvl w:val="0"/>
          <w:numId w:val="2"/>
        </w:numPr>
        <w:kinsoku/>
        <w:wordWrap/>
        <w:overflowPunct/>
        <w:topLinePunct w:val="0"/>
        <w:autoSpaceDE/>
        <w:autoSpaceDN/>
        <w:bidi w:val="0"/>
        <w:adjustRightInd/>
        <w:spacing w:line="540" w:lineRule="exact"/>
        <w:ind w:left="0" w:firstLine="640" w:firstLineChars="200"/>
        <w:jc w:val="both"/>
        <w:textAlignment w:val="auto"/>
        <w:rPr>
          <w:rFonts w:hint="eastAsia"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人社综合业务项目支出60.09万元。</w:t>
      </w:r>
    </w:p>
    <w:p w14:paraId="0D3CABAC">
      <w:pPr>
        <w:keepNext w:val="0"/>
        <w:keepLines w:val="0"/>
        <w:pageBreakBefore w:val="0"/>
        <w:widowControl w:val="0"/>
        <w:numPr>
          <w:ilvl w:val="0"/>
          <w:numId w:val="2"/>
        </w:numPr>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就业见习补贴项目支出52.17万元。</w:t>
      </w:r>
    </w:p>
    <w:p w14:paraId="7D11CB47">
      <w:pPr>
        <w:keepNext w:val="0"/>
        <w:keepLines w:val="0"/>
        <w:pageBreakBefore w:val="0"/>
        <w:widowControl w:val="0"/>
        <w:numPr>
          <w:ilvl w:val="0"/>
          <w:numId w:val="2"/>
        </w:numPr>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就业专项支出790.76万元。</w:t>
      </w:r>
    </w:p>
    <w:p w14:paraId="3CA96EF1">
      <w:pPr>
        <w:keepNext w:val="0"/>
        <w:keepLines w:val="0"/>
        <w:pageBreakBefore w:val="0"/>
        <w:widowControl w:val="0"/>
        <w:numPr>
          <w:ilvl w:val="0"/>
          <w:numId w:val="2"/>
        </w:numPr>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上级人才经费155万元。</w:t>
      </w:r>
    </w:p>
    <w:p w14:paraId="7FAE22B4">
      <w:pPr>
        <w:pStyle w:val="4"/>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14:paraId="33A72F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无。</w:t>
      </w:r>
    </w:p>
    <w:p w14:paraId="4247B698">
      <w:pPr>
        <w:pStyle w:val="4"/>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14:paraId="39434C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ascii="Times New Roman" w:hAnsi="Times New Roman" w:eastAsia="黑体"/>
          <w:sz w:val="32"/>
          <w:szCs w:val="32"/>
        </w:rPr>
      </w:pPr>
      <w:r>
        <w:rPr>
          <w:rFonts w:hint="eastAsia" w:ascii="Times New Roman" w:hAnsi="Times New Roman" w:eastAsia="方正仿宋_GB2312" w:cs="Times New Roman"/>
          <w:b w:val="0"/>
          <w:bCs w:val="0"/>
          <w:sz w:val="32"/>
          <w:szCs w:val="32"/>
          <w:highlight w:val="none"/>
          <w:lang w:val="en-US" w:eastAsia="zh-CN"/>
        </w:rPr>
        <w:t>无。</w:t>
      </w:r>
    </w:p>
    <w:p w14:paraId="69913414">
      <w:pPr>
        <w:pStyle w:val="4"/>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0603BB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ascii="Times New Roman" w:hAnsi="Times New Roman" w:eastAsia="黑体"/>
          <w:sz w:val="32"/>
          <w:szCs w:val="32"/>
        </w:rPr>
      </w:pPr>
      <w:r>
        <w:rPr>
          <w:rFonts w:hint="eastAsia" w:ascii="Times New Roman" w:hAnsi="Times New Roman" w:eastAsia="方正仿宋_GB2312" w:cs="Times New Roman"/>
          <w:b w:val="0"/>
          <w:bCs w:val="0"/>
          <w:sz w:val="32"/>
          <w:szCs w:val="32"/>
          <w:highlight w:val="none"/>
          <w:lang w:val="en-US" w:eastAsia="zh-CN"/>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031889D3">
      <w:pPr>
        <w:tabs>
          <w:tab w:val="left" w:pos="312"/>
        </w:tabs>
        <w:snapToGrid w:val="0"/>
        <w:spacing w:line="560" w:lineRule="exact"/>
        <w:ind w:firstLine="640" w:firstLineChars="200"/>
        <w:rPr>
          <w:rFonts w:ascii="Times New Roman" w:hAnsi="Times New Roman" w:eastAsia="仿宋_GB2312" w:cs="Times New Roman"/>
          <w:b w:val="0"/>
          <w:bCs w:val="0"/>
          <w:sz w:val="32"/>
          <w:szCs w:val="32"/>
        </w:rPr>
      </w:pPr>
      <w:r>
        <w:rPr>
          <w:rFonts w:hint="eastAsia" w:eastAsia="楷体_GB2312" w:cs="Times New Roman"/>
          <w:b w:val="0"/>
          <w:bCs w:val="0"/>
          <w:sz w:val="32"/>
          <w:szCs w:val="32"/>
          <w:lang w:eastAsia="zh-CN"/>
        </w:rPr>
        <w:t>（</w:t>
      </w:r>
      <w:r>
        <w:rPr>
          <w:rFonts w:hint="eastAsia" w:eastAsia="楷体_GB2312" w:cs="Times New Roman"/>
          <w:b w:val="0"/>
          <w:bCs w:val="0"/>
          <w:sz w:val="32"/>
          <w:szCs w:val="32"/>
          <w:lang w:val="en-US" w:eastAsia="zh-CN"/>
        </w:rPr>
        <w:t>1</w:t>
      </w:r>
      <w:r>
        <w:rPr>
          <w:rFonts w:hint="eastAsia" w:eastAsia="楷体_GB2312" w:cs="Times New Roman"/>
          <w:b w:val="0"/>
          <w:bCs w:val="0"/>
          <w:sz w:val="32"/>
          <w:szCs w:val="32"/>
          <w:lang w:eastAsia="zh-CN"/>
        </w:rPr>
        <w:t>）</w:t>
      </w:r>
      <w:r>
        <w:rPr>
          <w:rFonts w:ascii="Times New Roman" w:hAnsi="Times New Roman" w:eastAsia="楷体_GB2312" w:cs="Times New Roman"/>
          <w:b w:val="0"/>
          <w:bCs w:val="0"/>
          <w:sz w:val="32"/>
          <w:szCs w:val="32"/>
        </w:rPr>
        <w:t xml:space="preserve"> “轻淞就业”，促进高质量充分就业。</w:t>
      </w:r>
      <w:r>
        <w:rPr>
          <w:rFonts w:ascii="Times New Roman" w:hAnsi="Times New Roman" w:eastAsia="仿宋_GB2312" w:cs="Times New Roman"/>
          <w:b w:val="0"/>
          <w:bCs w:val="0"/>
          <w:sz w:val="32"/>
          <w:szCs w:val="32"/>
        </w:rPr>
        <w:t>一是主要指标稳中向好。全区城镇登记失业率控制在4.5%以内；累计新增城镇就业11656人，位列全市第一；失业人员再就业4889人，就业困难人员再就业697人；新增农村劳动力转移716人，提供“311”就业服务5万余次，新增就业见习岗位398个，就业见习岗位数新增量居全市第一。二是创新创业亮点纷呈。“芦淞服饰人”被认定为湖南省特色劳务品牌</w:t>
      </w:r>
      <w:r>
        <w:rPr>
          <w:rFonts w:hint="eastAsia" w:ascii="Times New Roman" w:hAnsi="Times New Roman" w:eastAsia="仿宋_GB2312" w:cs="Times New Roman"/>
          <w:b w:val="0"/>
          <w:bCs w:val="0"/>
          <w:sz w:val="32"/>
          <w:szCs w:val="32"/>
        </w:rPr>
        <w:t>，在2024全国劳务协作暨劳务品牌发展大会精彩亮相。</w:t>
      </w:r>
      <w:r>
        <w:rPr>
          <w:rFonts w:ascii="Times New Roman" w:hAnsi="Times New Roman" w:eastAsia="仿宋_GB2312" w:cs="Times New Roman"/>
          <w:b w:val="0"/>
          <w:bCs w:val="0"/>
          <w:sz w:val="32"/>
          <w:szCs w:val="32"/>
        </w:rPr>
        <w:t>在第六届“中国创翼”创业创新大赛湖南省选拔赛和株洲市2024年创业项目展示交流活动中，芦淞区荣获2个省二等级、1个市一等奖、3个市二等奖、2个市三等奖。三是基层服务精化细化。聚焦高校毕业生、农民工等重点群体，全力打造“三微平台”，切实筑牢基层公共就业服务软实力。芦淞区“三微平台”就业服务获第三届湖南省公共就业服务专项业务竞赛优秀就业服务成果二等奖，为全市唯一。</w:t>
      </w:r>
    </w:p>
    <w:p w14:paraId="2B3A90B5">
      <w:pPr>
        <w:snapToGrid w:val="0"/>
        <w:spacing w:line="560" w:lineRule="exact"/>
        <w:ind w:firstLine="640" w:firstLineChars="200"/>
        <w:rPr>
          <w:rFonts w:ascii="Times New Roman" w:hAnsi="Times New Roman" w:eastAsia="仿宋_GB2312" w:cs="Times New Roman"/>
          <w:b w:val="0"/>
          <w:bCs w:val="0"/>
        </w:rPr>
      </w:pPr>
      <w:r>
        <w:rPr>
          <w:rFonts w:hint="eastAsia" w:eastAsia="楷体_GB2312" w:cs="Times New Roman"/>
          <w:b w:val="0"/>
          <w:bCs w:val="0"/>
          <w:sz w:val="32"/>
          <w:szCs w:val="32"/>
          <w:lang w:eastAsia="zh-CN"/>
        </w:rPr>
        <w:t>（</w:t>
      </w:r>
      <w:r>
        <w:rPr>
          <w:rFonts w:hint="eastAsia" w:eastAsia="楷体_GB2312" w:cs="Times New Roman"/>
          <w:b w:val="0"/>
          <w:bCs w:val="0"/>
          <w:sz w:val="32"/>
          <w:szCs w:val="32"/>
          <w:lang w:val="en-US" w:eastAsia="zh-CN"/>
        </w:rPr>
        <w:t>2</w:t>
      </w:r>
      <w:r>
        <w:rPr>
          <w:rFonts w:hint="eastAsia" w:eastAsia="楷体_GB2312" w:cs="Times New Roman"/>
          <w:b w:val="0"/>
          <w:bCs w:val="0"/>
          <w:sz w:val="32"/>
          <w:szCs w:val="32"/>
          <w:lang w:eastAsia="zh-CN"/>
        </w:rPr>
        <w:t>）</w:t>
      </w:r>
      <w:r>
        <w:rPr>
          <w:rFonts w:ascii="Times New Roman" w:hAnsi="Times New Roman" w:eastAsia="楷体_GB2312" w:cs="Times New Roman"/>
          <w:b w:val="0"/>
          <w:bCs w:val="0"/>
          <w:sz w:val="32"/>
          <w:szCs w:val="32"/>
        </w:rPr>
        <w:t>供需匹配，塑造现代化人力资源。</w:t>
      </w:r>
      <w:r>
        <w:rPr>
          <w:rFonts w:ascii="Times New Roman" w:hAnsi="Times New Roman" w:eastAsia="仿宋_GB2312" w:cs="Times New Roman"/>
          <w:b w:val="0"/>
          <w:bCs w:val="0"/>
          <w:sz w:val="32"/>
          <w:szCs w:val="32"/>
        </w:rPr>
        <w:t>一是精准对接服务企业。开展招聘活动48场，推广岗位近1.9万个。增设“四上企业人才招聘专栏”，实现岗位实时推送。二是用心服务温暖人才。受理企业职称申报57人。开展通用航空工程系列民营企业中级职称专场评审会，36人通过评审。认定高层次人才74人。新增档案托管900余人，提供档案服务1500余人次。招聘事业单位各类工作人员106人。三是管理培育规范市场。组织13家人资机构开展换证工作。开展安全生产专项检查行动10余次，打击“非法职介”和虚假招聘。</w:t>
      </w:r>
    </w:p>
    <w:p w14:paraId="0B604EBF">
      <w:pPr>
        <w:snapToGrid w:val="0"/>
        <w:spacing w:line="560" w:lineRule="exact"/>
        <w:ind w:firstLine="640" w:firstLineChars="200"/>
        <w:rPr>
          <w:rFonts w:ascii="Times New Roman" w:hAnsi="Times New Roman" w:eastAsia="仿宋_GB2312" w:cs="Times New Roman"/>
          <w:b w:val="0"/>
          <w:bCs w:val="0"/>
          <w:sz w:val="32"/>
          <w:szCs w:val="32"/>
        </w:rPr>
      </w:pPr>
      <w:r>
        <w:rPr>
          <w:rFonts w:hint="eastAsia" w:eastAsia="楷体_GB2312" w:cs="Times New Roman"/>
          <w:b w:val="0"/>
          <w:bCs w:val="0"/>
          <w:sz w:val="32"/>
          <w:szCs w:val="32"/>
          <w:lang w:eastAsia="zh-CN"/>
        </w:rPr>
        <w:t>（</w:t>
      </w:r>
      <w:r>
        <w:rPr>
          <w:rFonts w:hint="eastAsia" w:eastAsia="楷体_GB2312" w:cs="Times New Roman"/>
          <w:b w:val="0"/>
          <w:bCs w:val="0"/>
          <w:sz w:val="32"/>
          <w:szCs w:val="32"/>
          <w:lang w:val="en-US" w:eastAsia="zh-CN"/>
        </w:rPr>
        <w:t>3</w:t>
      </w:r>
      <w:r>
        <w:rPr>
          <w:rFonts w:hint="eastAsia" w:eastAsia="楷体_GB2312" w:cs="Times New Roman"/>
          <w:b w:val="0"/>
          <w:bCs w:val="0"/>
          <w:sz w:val="32"/>
          <w:szCs w:val="32"/>
          <w:lang w:eastAsia="zh-CN"/>
        </w:rPr>
        <w:t>）</w:t>
      </w:r>
      <w:r>
        <w:rPr>
          <w:rFonts w:ascii="Times New Roman" w:hAnsi="Times New Roman" w:eastAsia="楷体_GB2312" w:cs="Times New Roman"/>
          <w:b w:val="0"/>
          <w:bCs w:val="0"/>
          <w:sz w:val="32"/>
          <w:szCs w:val="32"/>
        </w:rPr>
        <w:t>深化改革，健全社会保障体系。</w:t>
      </w:r>
      <w:r>
        <w:rPr>
          <w:rFonts w:ascii="Times New Roman" w:hAnsi="Times New Roman" w:eastAsia="仿宋_GB2312" w:cs="Times New Roman"/>
          <w:b w:val="0"/>
          <w:bCs w:val="0"/>
          <w:sz w:val="32"/>
          <w:szCs w:val="32"/>
        </w:rPr>
        <w:t>一是开展温暖社保。出台《芦淞区被征地农民社会保障工作实施办法》，启动被征地农保工作。各险种参保率均已超年度任务数，每月按时足额发放社保待遇。换发2.8万张第三代社保卡，完成率达158.77%。二是夯实惠企社保。落实惠企纾困政策，为2002家企业节约社保资金；为941家企业发放稳岗返还资金2。三是筑牢安全社保。建立健全“411”监管机制，筑牢“四位一体”风险防控体系。</w:t>
      </w:r>
    </w:p>
    <w:p w14:paraId="01E9D49D">
      <w:pPr>
        <w:snapToGrid w:val="0"/>
        <w:spacing w:line="560" w:lineRule="exact"/>
        <w:ind w:firstLine="640" w:firstLineChars="200"/>
        <w:rPr>
          <w:rFonts w:ascii="Times New Roman" w:hAnsi="Times New Roman" w:eastAsia="仿宋_GB2312" w:cs="Times New Roman"/>
          <w:b w:val="0"/>
          <w:bCs w:val="0"/>
          <w:sz w:val="32"/>
          <w:szCs w:val="32"/>
        </w:rPr>
      </w:pPr>
      <w:r>
        <w:rPr>
          <w:rFonts w:hint="eastAsia" w:eastAsia="楷体_GB2312" w:cs="Times New Roman"/>
          <w:b w:val="0"/>
          <w:bCs w:val="0"/>
          <w:sz w:val="32"/>
          <w:szCs w:val="32"/>
          <w:lang w:eastAsia="zh-CN"/>
        </w:rPr>
        <w:t>（</w:t>
      </w:r>
      <w:r>
        <w:rPr>
          <w:rFonts w:hint="eastAsia" w:eastAsia="楷体_GB2312" w:cs="Times New Roman"/>
          <w:b w:val="0"/>
          <w:bCs w:val="0"/>
          <w:sz w:val="32"/>
          <w:szCs w:val="32"/>
          <w:lang w:val="en-US" w:eastAsia="zh-CN"/>
        </w:rPr>
        <w:t>4</w:t>
      </w:r>
      <w:r>
        <w:rPr>
          <w:rFonts w:hint="eastAsia" w:eastAsia="楷体_GB2312" w:cs="Times New Roman"/>
          <w:b w:val="0"/>
          <w:bCs w:val="0"/>
          <w:sz w:val="32"/>
          <w:szCs w:val="32"/>
          <w:lang w:eastAsia="zh-CN"/>
        </w:rPr>
        <w:t>）</w:t>
      </w:r>
      <w:r>
        <w:rPr>
          <w:rFonts w:ascii="Times New Roman" w:hAnsi="Times New Roman" w:eastAsia="楷体_GB2312" w:cs="Times New Roman"/>
          <w:b w:val="0"/>
          <w:bCs w:val="0"/>
          <w:sz w:val="32"/>
          <w:szCs w:val="32"/>
        </w:rPr>
        <w:t>维护权益，构建和谐劳动关系。</w:t>
      </w:r>
      <w:r>
        <w:rPr>
          <w:rFonts w:ascii="Times New Roman" w:hAnsi="Times New Roman" w:eastAsia="仿宋_GB2312" w:cs="Times New Roman"/>
          <w:b w:val="0"/>
          <w:bCs w:val="0"/>
          <w:sz w:val="32"/>
          <w:szCs w:val="32"/>
        </w:rPr>
        <w:t>一是劳动维权调解矛盾。处理劳动投诉280件，追回劳动报酬；处理信访、交办件450件，劳动争议仲裁案件当期立案359件。二是根治欠薪维护权益。实时监管重点项目，走访辖区企业，发现问题督促整改。开展根治欠薪专项行动，着力维护新业态劳动者权益。三是巡查检查防范风险。定期巡查辖区在建建筑工程项目，发出限期整改指令书4份。组织相关单位对辖区政府性投资项目进行全面自查自纠，确保无拖欠。</w:t>
      </w:r>
    </w:p>
    <w:p w14:paraId="196B6918">
      <w:pPr>
        <w:snapToGrid w:val="0"/>
        <w:spacing w:line="560" w:lineRule="exact"/>
        <w:ind w:firstLine="640" w:firstLineChars="200"/>
        <w:rPr>
          <w:rFonts w:hint="eastAsia" w:eastAsia="楷体_GB2312" w:cs="Times New Roman"/>
          <w:b w:val="0"/>
          <w:bCs w:val="0"/>
          <w:kern w:val="2"/>
          <w:sz w:val="32"/>
          <w:szCs w:val="32"/>
          <w:lang w:val="en-US" w:eastAsia="zh-CN" w:bidi="ar-SA"/>
        </w:rPr>
      </w:pPr>
      <w:r>
        <w:rPr>
          <w:rFonts w:hint="eastAsia" w:eastAsia="楷体_GB2312" w:cs="Times New Roman"/>
          <w:b w:val="0"/>
          <w:bCs w:val="0"/>
          <w:sz w:val="32"/>
          <w:szCs w:val="32"/>
          <w:lang w:eastAsia="zh-CN"/>
        </w:rPr>
        <w:t>（</w:t>
      </w:r>
      <w:r>
        <w:rPr>
          <w:rFonts w:hint="eastAsia" w:eastAsia="楷体_GB2312" w:cs="Times New Roman"/>
          <w:b w:val="0"/>
          <w:bCs w:val="0"/>
          <w:sz w:val="32"/>
          <w:szCs w:val="32"/>
          <w:lang w:val="en-US" w:eastAsia="zh-CN"/>
        </w:rPr>
        <w:t>5</w:t>
      </w:r>
      <w:r>
        <w:rPr>
          <w:rFonts w:hint="eastAsia" w:eastAsia="楷体_GB2312" w:cs="Times New Roman"/>
          <w:b w:val="0"/>
          <w:bCs w:val="0"/>
          <w:sz w:val="32"/>
          <w:szCs w:val="32"/>
          <w:lang w:eastAsia="zh-CN"/>
        </w:rPr>
        <w:t>）</w:t>
      </w:r>
      <w:r>
        <w:rPr>
          <w:rFonts w:ascii="Times New Roman" w:hAnsi="Times New Roman" w:eastAsia="楷体_GB2312" w:cs="Times New Roman"/>
          <w:b w:val="0"/>
          <w:bCs w:val="0"/>
          <w:sz w:val="32"/>
          <w:szCs w:val="32"/>
        </w:rPr>
        <w:t>高位统筹，推进民生可感可及。</w:t>
      </w:r>
      <w:r>
        <w:rPr>
          <w:rFonts w:ascii="Times New Roman" w:hAnsi="Times New Roman" w:eastAsia="仿宋_GB2312" w:cs="Times New Roman"/>
          <w:b w:val="0"/>
          <w:bCs w:val="0"/>
          <w:sz w:val="32"/>
          <w:szCs w:val="32"/>
        </w:rPr>
        <w:t>一是项目推进有序。二是工程质量</w:t>
      </w:r>
      <w:r>
        <w:rPr>
          <w:rFonts w:hint="eastAsia" w:ascii="Times New Roman" w:hAnsi="Times New Roman" w:eastAsia="仿宋_GB2312" w:cs="Times New Roman"/>
          <w:b w:val="0"/>
          <w:bCs w:val="0"/>
          <w:sz w:val="32"/>
          <w:szCs w:val="32"/>
        </w:rPr>
        <w:t>过</w:t>
      </w:r>
      <w:r>
        <w:rPr>
          <w:rFonts w:ascii="Times New Roman" w:hAnsi="Times New Roman" w:eastAsia="仿宋_GB2312" w:cs="Times New Roman"/>
          <w:b w:val="0"/>
          <w:bCs w:val="0"/>
          <w:sz w:val="32"/>
          <w:szCs w:val="32"/>
        </w:rPr>
        <w:t>关。强化过程监管，打造质量过硬工程。提质改造1所老年学校，新建4个老年助餐服务点，完成农村公路提质改造4.4公里、安防设施建设79.6公里。三是群众可感增强。调整困难群体救助标准，加强健康生活教育宣传，切实增强群众获得感和幸福感。</w:t>
      </w:r>
    </w:p>
    <w:p w14:paraId="2E5D5B38">
      <w:pPr>
        <w:spacing w:line="600" w:lineRule="exact"/>
        <w:ind w:firstLine="640" w:firstLineChars="200"/>
        <w:rPr>
          <w:rFonts w:hint="eastAsia" w:ascii="Times New Roman" w:hAnsi="Times New Roman" w:eastAsia="楷体_GB2312" w:cs="Times New Roman"/>
          <w:b w:val="0"/>
          <w:bCs w:val="0"/>
          <w:kern w:val="2"/>
          <w:sz w:val="32"/>
          <w:szCs w:val="32"/>
          <w:lang w:val="en-US" w:eastAsia="zh-CN" w:bidi="ar-SA"/>
        </w:rPr>
      </w:pPr>
      <w:r>
        <w:rPr>
          <w:rFonts w:hint="eastAsia" w:eastAsia="楷体_GB2312" w:cs="Times New Roman"/>
          <w:b w:val="0"/>
          <w:bCs w:val="0"/>
          <w:kern w:val="2"/>
          <w:sz w:val="32"/>
          <w:szCs w:val="32"/>
          <w:lang w:val="en-US" w:eastAsia="zh-CN" w:bidi="ar-SA"/>
        </w:rPr>
        <w:t>（二）</w:t>
      </w:r>
      <w:r>
        <w:rPr>
          <w:rFonts w:hint="eastAsia" w:ascii="Times New Roman" w:hAnsi="Times New Roman" w:eastAsia="楷体_GB2312" w:cs="Times New Roman"/>
          <w:b w:val="0"/>
          <w:bCs w:val="0"/>
          <w:kern w:val="2"/>
          <w:sz w:val="32"/>
          <w:szCs w:val="32"/>
          <w:lang w:val="en-US" w:eastAsia="zh-CN" w:bidi="ar-SA"/>
        </w:rPr>
        <w:t>专项资金支出绩效情况</w:t>
      </w:r>
    </w:p>
    <w:p w14:paraId="382C0283">
      <w:pPr>
        <w:keepNext w:val="0"/>
        <w:keepLines w:val="0"/>
        <w:pageBreakBefore w:val="0"/>
        <w:widowControl w:val="0"/>
        <w:numPr>
          <w:ilvl w:val="0"/>
          <w:numId w:val="0"/>
        </w:numPr>
        <w:kinsoku/>
        <w:wordWrap/>
        <w:overflowPunct/>
        <w:topLinePunct w:val="0"/>
        <w:autoSpaceDE/>
        <w:autoSpaceDN/>
        <w:bidi w:val="0"/>
        <w:adjustRightInd/>
        <w:spacing w:line="540" w:lineRule="exact"/>
        <w:ind w:left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（1）人社综合业务</w:t>
      </w:r>
    </w:p>
    <w:p w14:paraId="5730A7B0">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val="0"/>
          <w:bCs w:val="0"/>
          <w:kern w:val="2"/>
          <w:sz w:val="32"/>
          <w:szCs w:val="32"/>
          <w:lang w:val="en-US" w:eastAsia="zh-CN" w:bidi="ar-SA"/>
        </w:rPr>
        <w:t>项目支出60.09万元，主要用于开展社保征缴及扩面工作，落实各项社保基金监管政策；完成全区事业单位公开招聘；开展民生可感行动；依法处理劳动权益保障案件等。</w:t>
      </w:r>
      <w:r>
        <w:rPr>
          <w:rFonts w:hint="eastAsia" w:ascii="Times New Roman" w:hAnsi="Times New Roman" w:eastAsia="仿宋_GB2312" w:cs="Times New Roman"/>
          <w:b w:val="0"/>
          <w:bCs w:val="0"/>
          <w:sz w:val="32"/>
          <w:szCs w:val="32"/>
          <w:lang w:val="en-US" w:eastAsia="zh-CN"/>
        </w:rPr>
        <w:t>2024年</w:t>
      </w:r>
      <w:r>
        <w:rPr>
          <w:rFonts w:ascii="Times New Roman" w:hAnsi="Times New Roman" w:eastAsia="仿宋_GB2312" w:cs="Times New Roman"/>
          <w:b w:val="0"/>
          <w:bCs w:val="0"/>
          <w:sz w:val="32"/>
          <w:szCs w:val="32"/>
        </w:rPr>
        <w:t>受理企业职称申报57人。开展通用航空工程系列民营企业中级职称专场评审会，36人通过评审。认定高层次人才74人。新增档案托管900余人，提供档案服务1500余人次。招聘事业单位各类工作人员106人。各险种参保率均已超年度任务数，每月按时足额发放社保待遇。换发2.8万张第三代社保卡，完成率达158.77%。落实惠企纾困政策，为2002家企业节约社保资金；为941家企业发放稳岗返还资金。建立健全“411”监管机制，筑牢“四位一体”风险防控体系。处理劳动投诉280件，追回劳动报酬800余万元；处理信访、交办件450件，劳动争议仲裁案件当期立案359件。实时监管重点项目，走访辖区企业，发现问题督促整改。开展根治欠薪专项行动，着力维护新业态劳动者权益。定期巡查辖区在建建筑工程项目。组织相关单位对辖区政府性投资项目进行全面自查自纠，确保无拖欠。高位统筹，推进民生可感可及。</w:t>
      </w:r>
      <w:r>
        <w:rPr>
          <w:rFonts w:hint="eastAsia" w:ascii="Times New Roman" w:hAnsi="Times New Roman" w:eastAsia="仿宋_GB2312" w:cs="Times New Roman"/>
          <w:b w:val="0"/>
          <w:bCs w:val="0"/>
          <w:sz w:val="32"/>
          <w:szCs w:val="32"/>
          <w:lang w:val="en-US" w:eastAsia="zh-CN"/>
        </w:rPr>
        <w:t>民生</w:t>
      </w:r>
      <w:r>
        <w:rPr>
          <w:rFonts w:ascii="Times New Roman" w:hAnsi="Times New Roman" w:eastAsia="仿宋_GB2312" w:cs="Times New Roman"/>
          <w:b w:val="0"/>
          <w:bCs w:val="0"/>
          <w:sz w:val="32"/>
          <w:szCs w:val="32"/>
        </w:rPr>
        <w:t>项目推进有序。调整困难群体救助标准，加强健</w:t>
      </w:r>
      <w:r>
        <w:rPr>
          <w:rFonts w:ascii="Times New Roman" w:hAnsi="Times New Roman" w:eastAsia="仿宋_GB2312" w:cs="Times New Roman"/>
          <w:sz w:val="32"/>
          <w:szCs w:val="32"/>
        </w:rPr>
        <w:t>康生活教育宣传，切实增强群众获得感和幸福感。</w:t>
      </w:r>
    </w:p>
    <w:p w14:paraId="5E22C7F9">
      <w:pPr>
        <w:numPr>
          <w:ilvl w:val="0"/>
          <w:numId w:val="4"/>
        </w:numPr>
        <w:snapToGrid w:val="0"/>
        <w:spacing w:line="560" w:lineRule="exact"/>
        <w:ind w:firstLine="640" w:firstLineChars="200"/>
        <w:rPr>
          <w:rFonts w:hint="eastAsia"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就业见习补贴</w:t>
      </w:r>
    </w:p>
    <w:p w14:paraId="23BE3001">
      <w:pPr>
        <w:numPr>
          <w:ilvl w:val="0"/>
          <w:numId w:val="0"/>
        </w:numPr>
        <w:snapToGrid w:val="0"/>
        <w:spacing w:line="560" w:lineRule="exact"/>
        <w:ind w:firstLine="640" w:firstLineChars="200"/>
        <w:rPr>
          <w:rFonts w:hint="eastAsia"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项目支出52.17万元。落实就业见习政策，发放就业见习补贴。深入贯彻党中央、国务院关于高校毕业生等青年就业的决策部署，帮助高校毕业生等青年积累工作经验、增强实践能力、促进实现就业。</w:t>
      </w:r>
    </w:p>
    <w:p w14:paraId="34400391">
      <w:pPr>
        <w:pStyle w:val="4"/>
        <w:numPr>
          <w:ilvl w:val="0"/>
          <w:numId w:val="4"/>
        </w:numPr>
        <w:spacing w:line="600" w:lineRule="exact"/>
        <w:ind w:left="0" w:leftChars="0" w:firstLine="640" w:firstLineChars="200"/>
        <w:rPr>
          <w:rFonts w:hint="eastAsia" w:ascii="Times New Roman" w:hAnsi="Times New Roman" w:eastAsia="方正仿宋_GB2312" w:cs="Times New Roman"/>
          <w:b w:val="0"/>
          <w:bCs w:val="0"/>
          <w:sz w:val="32"/>
          <w:szCs w:val="32"/>
          <w:highlight w:val="none"/>
          <w:lang w:val="en-US" w:eastAsia="zh-CN"/>
        </w:rPr>
      </w:pPr>
      <w:r>
        <w:rPr>
          <w:rFonts w:hint="eastAsia" w:ascii="Times New Roman" w:hAnsi="Times New Roman" w:eastAsia="方正仿宋_GB2312" w:cs="Times New Roman"/>
          <w:b w:val="0"/>
          <w:bCs w:val="0"/>
          <w:sz w:val="32"/>
          <w:szCs w:val="32"/>
          <w:highlight w:val="none"/>
          <w:lang w:val="en-US" w:eastAsia="zh-CN"/>
        </w:rPr>
        <w:t>就业专项</w:t>
      </w:r>
    </w:p>
    <w:p w14:paraId="6B4A7A4E">
      <w:pPr>
        <w:tabs>
          <w:tab w:val="left" w:pos="312"/>
        </w:tabs>
        <w:snapToGrid w:val="0"/>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方正仿宋_GB2312" w:cs="Times New Roman"/>
          <w:b w:val="0"/>
          <w:bCs w:val="0"/>
          <w:sz w:val="32"/>
          <w:szCs w:val="32"/>
          <w:highlight w:val="none"/>
          <w:lang w:val="en-US" w:eastAsia="zh-CN"/>
        </w:rPr>
        <w:t>项目支出790.76万元。主要用于发放各项就业补贴及开展就业创业工作，稳定和帮扶重点群体，促进就业服务质量提升，促进创业带动就业。</w:t>
      </w:r>
      <w:r>
        <w:rPr>
          <w:rFonts w:ascii="Times New Roman" w:hAnsi="Times New Roman" w:eastAsia="楷体_GB2312" w:cs="Times New Roman"/>
          <w:b/>
          <w:bCs/>
          <w:sz w:val="32"/>
          <w:szCs w:val="32"/>
        </w:rPr>
        <w:t xml:space="preserve"> </w:t>
      </w:r>
      <w:r>
        <w:rPr>
          <w:rFonts w:ascii="Times New Roman" w:hAnsi="Times New Roman" w:eastAsia="楷体_GB2312" w:cs="Times New Roman"/>
          <w:b w:val="0"/>
          <w:bCs w:val="0"/>
          <w:sz w:val="32"/>
          <w:szCs w:val="32"/>
        </w:rPr>
        <w:t>“轻淞就业”，促进高质量充分就业。</w:t>
      </w:r>
      <w:r>
        <w:rPr>
          <w:rFonts w:ascii="Times New Roman" w:hAnsi="Times New Roman" w:eastAsia="仿宋_GB2312" w:cs="Times New Roman"/>
          <w:b w:val="0"/>
          <w:bCs w:val="0"/>
          <w:sz w:val="32"/>
          <w:szCs w:val="32"/>
        </w:rPr>
        <w:t>一是主要指标稳中向好。</w:t>
      </w:r>
      <w:r>
        <w:rPr>
          <w:rFonts w:ascii="Times New Roman" w:hAnsi="Times New Roman" w:eastAsia="仿宋_GB2312" w:cs="Times New Roman"/>
          <w:sz w:val="32"/>
          <w:szCs w:val="32"/>
        </w:rPr>
        <w:t>全区城镇登记失业率控制在4.5%以内；累计新增城镇就业11656人，位列全市第一；失业人员再就业4889人，就业困难人员再就业697人；新增农村劳动力转移716人，提供“311”就业服务5万余次，新增就</w:t>
      </w:r>
      <w:r>
        <w:rPr>
          <w:rFonts w:ascii="Times New Roman" w:hAnsi="Times New Roman" w:eastAsia="仿宋_GB2312" w:cs="Times New Roman"/>
          <w:b w:val="0"/>
          <w:bCs w:val="0"/>
          <w:sz w:val="32"/>
          <w:szCs w:val="32"/>
        </w:rPr>
        <w:t>业见习岗位398个，就业见习岗位数新增量居全市第一。二是创新创业亮点纷呈。“芦淞服饰人”被认定为湖南省特色劳务品牌</w:t>
      </w:r>
      <w:r>
        <w:rPr>
          <w:rFonts w:hint="eastAsia" w:ascii="Times New Roman" w:hAnsi="Times New Roman" w:eastAsia="仿宋_GB2312" w:cs="Times New Roman"/>
          <w:b w:val="0"/>
          <w:bCs w:val="0"/>
          <w:sz w:val="32"/>
          <w:szCs w:val="32"/>
        </w:rPr>
        <w:t>，在2024全国劳务协作暨劳务品牌发展大会精彩亮相。</w:t>
      </w:r>
      <w:r>
        <w:rPr>
          <w:rFonts w:ascii="Times New Roman" w:hAnsi="Times New Roman" w:eastAsia="仿宋_GB2312" w:cs="Times New Roman"/>
          <w:b w:val="0"/>
          <w:bCs w:val="0"/>
          <w:sz w:val="32"/>
          <w:szCs w:val="32"/>
        </w:rPr>
        <w:t>在第六届“中国创翼”创业创新大赛湖南省选拔赛和株洲市2024年创业项目展示交流活动中，芦淞区荣获2个省二等级、1个市一等奖、3个市二等奖、2个市三等奖。三是基层服务精化细化。聚焦高校毕业生、农民工等重点群体，全力打造“三微平台”，切实筑牢基层公共就业服务软实力。芦淞区“三微平台”就业服务获第三届湖南省公共就业服务专项业务竞赛优秀就业服务成果二等奖，为全市唯一。</w:t>
      </w:r>
      <w:r>
        <w:rPr>
          <w:rFonts w:ascii="Times New Roman" w:hAnsi="Times New Roman" w:eastAsia="楷体_GB2312" w:cs="Times New Roman"/>
          <w:b w:val="0"/>
          <w:bCs w:val="0"/>
          <w:sz w:val="32"/>
          <w:szCs w:val="32"/>
        </w:rPr>
        <w:t>供需匹配，塑造现代化人力资源。</w:t>
      </w:r>
      <w:r>
        <w:rPr>
          <w:rFonts w:ascii="Times New Roman" w:hAnsi="Times New Roman" w:eastAsia="仿宋_GB2312" w:cs="Times New Roman"/>
          <w:b w:val="0"/>
          <w:bCs w:val="0"/>
          <w:sz w:val="32"/>
          <w:szCs w:val="32"/>
        </w:rPr>
        <w:t>一是精准对接服务企业。开展招聘活动48场，推广岗位近1.9万个。增设“四上企业人才招聘专栏”，实现岗位实时推送。</w:t>
      </w:r>
    </w:p>
    <w:p w14:paraId="1D44A010">
      <w:pPr>
        <w:numPr>
          <w:ilvl w:val="0"/>
          <w:numId w:val="4"/>
        </w:numPr>
        <w:tabs>
          <w:tab w:val="left" w:pos="312"/>
        </w:tabs>
        <w:snapToGrid w:val="0"/>
        <w:spacing w:line="56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上级人才项目</w:t>
      </w:r>
    </w:p>
    <w:p w14:paraId="4EB58402">
      <w:pPr>
        <w:numPr>
          <w:ilvl w:val="0"/>
          <w:numId w:val="0"/>
        </w:numPr>
        <w:tabs>
          <w:tab w:val="left" w:pos="312"/>
        </w:tabs>
        <w:snapToGrid w:val="0"/>
        <w:spacing w:line="560" w:lineRule="exact"/>
        <w:ind w:leftChars="20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项目支出155万元。主要用于发放人才安家补贴和科技创新人才奖金，为建设现代化新株洲提供强大人才支撑。</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6F4DA92D">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eastAsia="黑体"/>
          <w:sz w:val="32"/>
          <w:szCs w:val="32"/>
        </w:rPr>
      </w:pPr>
      <w:r>
        <w:rPr>
          <w:rFonts w:hint="default" w:ascii="Times New Roman" w:hAnsi="Times New Roman" w:eastAsia="仿宋_GB2312" w:cs="Times New Roman"/>
          <w:color w:val="auto"/>
          <w:sz w:val="32"/>
          <w:szCs w:val="32"/>
        </w:rPr>
        <w:t>资金支出进度分配不均匀，有待进一步加强。</w:t>
      </w:r>
    </w:p>
    <w:p w14:paraId="5ABFBA2F">
      <w:pPr>
        <w:numPr>
          <w:ilvl w:val="0"/>
          <w:numId w:val="5"/>
        </w:numPr>
        <w:spacing w:line="600" w:lineRule="exact"/>
        <w:ind w:firstLine="640" w:firstLineChars="200"/>
        <w:rPr>
          <w:rFonts w:eastAsia="黑体"/>
          <w:sz w:val="32"/>
          <w:szCs w:val="32"/>
        </w:rPr>
      </w:pPr>
      <w:r>
        <w:rPr>
          <w:rFonts w:eastAsia="黑体"/>
          <w:sz w:val="32"/>
          <w:szCs w:val="32"/>
        </w:rPr>
        <w:t>下一步改进措施</w:t>
      </w:r>
    </w:p>
    <w:p w14:paraId="28541B12">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eastAsia="黑体"/>
          <w:sz w:val="32"/>
          <w:szCs w:val="32"/>
        </w:rPr>
      </w:pPr>
      <w:r>
        <w:rPr>
          <w:rFonts w:hint="default" w:ascii="Times New Roman" w:hAnsi="Times New Roman" w:eastAsia="仿宋_GB2312" w:cs="Times New Roman"/>
          <w:color w:val="auto"/>
          <w:sz w:val="32"/>
          <w:szCs w:val="32"/>
        </w:rPr>
        <w:t>进一步规范我局预决算管理，加强预算绩算绩效日常监控，围绕绩效目标，适时监控绩效目标实现程度和预算执行情况，及时掌握绩效运行情况、资金支出进度等。合理安排支出项目，全面提高财政资金使用效益。</w:t>
      </w:r>
    </w:p>
    <w:p w14:paraId="2B6813E9">
      <w:pPr>
        <w:numPr>
          <w:ilvl w:val="0"/>
          <w:numId w:val="5"/>
        </w:numPr>
        <w:spacing w:line="600" w:lineRule="exact"/>
        <w:ind w:left="0" w:leftChars="0" w:firstLine="640" w:firstLineChars="200"/>
        <w:rPr>
          <w:rFonts w:eastAsia="黑体"/>
          <w:sz w:val="32"/>
          <w:szCs w:val="32"/>
        </w:rPr>
      </w:pPr>
      <w:r>
        <w:rPr>
          <w:rFonts w:eastAsia="黑体"/>
          <w:sz w:val="32"/>
          <w:szCs w:val="32"/>
        </w:rPr>
        <w:t>绩效自评结果拟应用和公开情况</w:t>
      </w:r>
    </w:p>
    <w:p w14:paraId="4EF6C3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eastAsia="黑体"/>
          <w:sz w:val="32"/>
          <w:szCs w:val="32"/>
        </w:rPr>
      </w:pPr>
      <w:r>
        <w:rPr>
          <w:rFonts w:hint="default" w:ascii="Times New Roman" w:hAnsi="Times New Roman" w:eastAsia="仿宋_GB2312" w:cs="Times New Roman"/>
          <w:sz w:val="32"/>
          <w:szCs w:val="32"/>
          <w:lang w:eastAsia="zh-CN"/>
        </w:rPr>
        <w:t>自评结果将在芦淞区政府门户网上统一公示公开，接受社会监督。</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5D2F1411">
      <w:pPr>
        <w:spacing w:line="600" w:lineRule="exact"/>
        <w:ind w:firstLine="640" w:firstLineChars="200"/>
        <w:rPr>
          <w:rFonts w:eastAsia="仿宋_GB2312"/>
          <w:sz w:val="32"/>
          <w:szCs w:val="32"/>
        </w:rPr>
      </w:pP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A6A699-1D47-4F07-867B-853FCC5F30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672C90D-21FD-4093-B9E9-1C2C84F3D585}"/>
  </w:font>
  <w:font w:name="方正小标宋_GBK">
    <w:panose1 w:val="02000000000000000000"/>
    <w:charset w:val="86"/>
    <w:family w:val="script"/>
    <w:pitch w:val="default"/>
    <w:sig w:usb0="A00002BF" w:usb1="38CF7CFA" w:usb2="00082016" w:usb3="00000000" w:csb0="00040001" w:csb1="00000000"/>
    <w:embedRegular r:id="rId3" w:fontKey="{31A57DAD-EFF5-4766-9189-15A53808067D}"/>
  </w:font>
  <w:font w:name="方正楷体_GB2312">
    <w:panose1 w:val="02000000000000000000"/>
    <w:charset w:val="86"/>
    <w:family w:val="auto"/>
    <w:pitch w:val="default"/>
    <w:sig w:usb0="A00002BF" w:usb1="184F6CFA" w:usb2="00000012" w:usb3="00000000" w:csb0="00040001" w:csb1="00000000"/>
    <w:embedRegular r:id="rId4" w:fontKey="{A3321A8F-E946-4050-9FE6-E63C64473953}"/>
  </w:font>
  <w:font w:name="方正仿宋_GB2312">
    <w:panose1 w:val="02000000000000000000"/>
    <w:charset w:val="86"/>
    <w:family w:val="auto"/>
    <w:pitch w:val="default"/>
    <w:sig w:usb0="A00002BF" w:usb1="184F6CFA" w:usb2="00000012" w:usb3="00000000" w:csb0="00040001" w:csb1="00000000"/>
    <w:embedRegular r:id="rId5" w:fontKey="{4ED01FD1-502F-467B-813D-1D4D85473535}"/>
  </w:font>
  <w:font w:name="仿宋_GB2312">
    <w:panose1 w:val="02010609030101010101"/>
    <w:charset w:val="86"/>
    <w:family w:val="modern"/>
    <w:pitch w:val="default"/>
    <w:sig w:usb0="00000001" w:usb1="080E0000" w:usb2="00000000" w:usb3="00000000" w:csb0="00040000" w:csb1="00000000"/>
    <w:embedRegular r:id="rId6" w:fontKey="{B4951432-8AE5-48B4-9B25-5203BBD925CE}"/>
  </w:font>
  <w:font w:name="楷体_GB2312">
    <w:panose1 w:val="02010609030101010101"/>
    <w:charset w:val="86"/>
    <w:family w:val="modern"/>
    <w:pitch w:val="default"/>
    <w:sig w:usb0="00000001" w:usb1="080E0000" w:usb2="00000000" w:usb3="00000000" w:csb0="00040000" w:csb1="00000000"/>
    <w:embedRegular r:id="rId7" w:fontKey="{43A7016F-AF9E-4081-8ADC-FED2C45C0F4F}"/>
  </w:font>
  <w:font w:name="WPSEMBED1">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WPSEMBED5">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88E41"/>
    <w:multiLevelType w:val="singleLevel"/>
    <w:tmpl w:val="ECC88E41"/>
    <w:lvl w:ilvl="0" w:tentative="0">
      <w:start w:val="8"/>
      <w:numFmt w:val="chineseCounting"/>
      <w:suff w:val="nothing"/>
      <w:lvlText w:val="%1、"/>
      <w:lvlJc w:val="left"/>
      <w:rPr>
        <w:rFonts w:hint="eastAsia"/>
      </w:rPr>
    </w:lvl>
  </w:abstractNum>
  <w:abstractNum w:abstractNumId="1">
    <w:nsid w:val="ECD5649E"/>
    <w:multiLevelType w:val="singleLevel"/>
    <w:tmpl w:val="ECD5649E"/>
    <w:lvl w:ilvl="0" w:tentative="0">
      <w:start w:val="2"/>
      <w:numFmt w:val="decimal"/>
      <w:suff w:val="nothing"/>
      <w:lvlText w:val="（%1）"/>
      <w:lvlJc w:val="left"/>
    </w:lvl>
  </w:abstractNum>
  <w:abstractNum w:abstractNumId="2">
    <w:nsid w:val="24078B27"/>
    <w:multiLevelType w:val="singleLevel"/>
    <w:tmpl w:val="24078B27"/>
    <w:lvl w:ilvl="0" w:tentative="0">
      <w:start w:val="1"/>
      <w:numFmt w:val="decimal"/>
      <w:suff w:val="nothing"/>
      <w:lvlText w:val="%1、"/>
      <w:lvlJc w:val="left"/>
    </w:lvl>
  </w:abstractNum>
  <w:abstractNum w:abstractNumId="3">
    <w:nsid w:val="404E706A"/>
    <w:multiLevelType w:val="singleLevel"/>
    <w:tmpl w:val="404E706A"/>
    <w:lvl w:ilvl="0" w:tentative="0">
      <w:start w:val="3"/>
      <w:numFmt w:val="chineseCounting"/>
      <w:suff w:val="nothing"/>
      <w:lvlText w:val="%1、"/>
      <w:lvlJc w:val="left"/>
      <w:rPr>
        <w:rFonts w:hint="eastAsia"/>
      </w:rPr>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2278B2"/>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6847D38"/>
    <w:rsid w:val="071E5F82"/>
    <w:rsid w:val="072B45AB"/>
    <w:rsid w:val="07BB6AF4"/>
    <w:rsid w:val="07D258D6"/>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0FC00775"/>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414DF5"/>
    <w:rsid w:val="1B9D302A"/>
    <w:rsid w:val="1BF446CE"/>
    <w:rsid w:val="1C704031"/>
    <w:rsid w:val="1D271A66"/>
    <w:rsid w:val="1DCB47DF"/>
    <w:rsid w:val="1E601115"/>
    <w:rsid w:val="1EB03217"/>
    <w:rsid w:val="1EE5299E"/>
    <w:rsid w:val="1F000FB0"/>
    <w:rsid w:val="1F111AD7"/>
    <w:rsid w:val="1F5A1E7F"/>
    <w:rsid w:val="1FA707DF"/>
    <w:rsid w:val="1FFE7B8C"/>
    <w:rsid w:val="203C025A"/>
    <w:rsid w:val="20775CA3"/>
    <w:rsid w:val="217A1AB1"/>
    <w:rsid w:val="22123047"/>
    <w:rsid w:val="22695B47"/>
    <w:rsid w:val="23F21382"/>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74105A"/>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C618F0"/>
    <w:rsid w:val="35EE1AE6"/>
    <w:rsid w:val="36216ACD"/>
    <w:rsid w:val="36AD5505"/>
    <w:rsid w:val="36DB24F1"/>
    <w:rsid w:val="37904E67"/>
    <w:rsid w:val="3797204C"/>
    <w:rsid w:val="379D2BD4"/>
    <w:rsid w:val="37A771FF"/>
    <w:rsid w:val="37B37AED"/>
    <w:rsid w:val="37EF7DFA"/>
    <w:rsid w:val="380A1D4B"/>
    <w:rsid w:val="38A54053"/>
    <w:rsid w:val="38D37D37"/>
    <w:rsid w:val="39312765"/>
    <w:rsid w:val="393A2055"/>
    <w:rsid w:val="3945106A"/>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04108C"/>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243C10"/>
    <w:rsid w:val="4D36566E"/>
    <w:rsid w:val="4DBB24B5"/>
    <w:rsid w:val="4E03467F"/>
    <w:rsid w:val="4EE91176"/>
    <w:rsid w:val="4EF96755"/>
    <w:rsid w:val="4EFF6E71"/>
    <w:rsid w:val="4F7317CB"/>
    <w:rsid w:val="4F7C135A"/>
    <w:rsid w:val="4FC01EDA"/>
    <w:rsid w:val="50281CF3"/>
    <w:rsid w:val="509154B6"/>
    <w:rsid w:val="50BB4683"/>
    <w:rsid w:val="50EC10F9"/>
    <w:rsid w:val="5177797E"/>
    <w:rsid w:val="528648C0"/>
    <w:rsid w:val="52F6075F"/>
    <w:rsid w:val="53086FF5"/>
    <w:rsid w:val="534D0228"/>
    <w:rsid w:val="53AB142E"/>
    <w:rsid w:val="54207C51"/>
    <w:rsid w:val="54DA727F"/>
    <w:rsid w:val="54E47D1B"/>
    <w:rsid w:val="54E65F5A"/>
    <w:rsid w:val="557D2E1D"/>
    <w:rsid w:val="55804F6C"/>
    <w:rsid w:val="5587679C"/>
    <w:rsid w:val="55D32552"/>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C4952DC"/>
    <w:rsid w:val="5D155819"/>
    <w:rsid w:val="5D656D7E"/>
    <w:rsid w:val="5DCE0C96"/>
    <w:rsid w:val="5DE454AE"/>
    <w:rsid w:val="5DEC70B2"/>
    <w:rsid w:val="5E1F095F"/>
    <w:rsid w:val="5E482C04"/>
    <w:rsid w:val="5E4E30BF"/>
    <w:rsid w:val="5E5D637B"/>
    <w:rsid w:val="5EC735B0"/>
    <w:rsid w:val="5F0F193D"/>
    <w:rsid w:val="5F2B6724"/>
    <w:rsid w:val="5F5D2E4C"/>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7E67A2B"/>
    <w:rsid w:val="7836349E"/>
    <w:rsid w:val="78A55F95"/>
    <w:rsid w:val="794F5B82"/>
    <w:rsid w:val="79E234DF"/>
    <w:rsid w:val="7A0966D2"/>
    <w:rsid w:val="7A0F2FD7"/>
    <w:rsid w:val="7A1B3CD1"/>
    <w:rsid w:val="7A5B19C4"/>
    <w:rsid w:val="7A702BF0"/>
    <w:rsid w:val="7B091C7D"/>
    <w:rsid w:val="7B877F0B"/>
    <w:rsid w:val="7B883294"/>
    <w:rsid w:val="7C511C26"/>
    <w:rsid w:val="7CA00AC6"/>
    <w:rsid w:val="7CEF5D73"/>
    <w:rsid w:val="7D00680F"/>
    <w:rsid w:val="7DED6266"/>
    <w:rsid w:val="7E1953C1"/>
    <w:rsid w:val="7E226C0D"/>
    <w:rsid w:val="7E294730"/>
    <w:rsid w:val="7E3B45BE"/>
    <w:rsid w:val="7E637E07"/>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3894</Words>
  <Characters>4149</Characters>
  <Lines>0</Lines>
  <Paragraphs>0</Paragraphs>
  <TotalTime>1</TotalTime>
  <ScaleCrop>false</ScaleCrop>
  <LinksUpToDate>false</LinksUpToDate>
  <CharactersWithSpaces>4151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2026-01-28T01:41:58Z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06A16B6BFC2B4A768918592D351336CB_13</vt:lpwstr>
  </property>
  <property fmtid="{D5CDD505-2E9C-101B-9397-08002B2CF9AE}" pid="4" name="KSOTemplateDocerSaveRecord">
    <vt:lpwstr>eyJoZGlkIjoiZjIzNjNhMjc3MzdmZjdiMzQyZTMwYWUzYzkzMjhhMjgiLCJ1c2VySWQiOiI2MDE3NDQ4MzQifQ==</vt:lpwstr>
  </property>
</Properties>
</file>