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A0827">
      <w:pPr>
        <w:jc w:val="center"/>
        <w:rPr>
          <w:rFonts w:hint="default" w:ascii="Times New Roman" w:hAnsi="Times New Roman" w:eastAsia="方正小标宋_GBK" w:cs="Times New Roman"/>
          <w:sz w:val="48"/>
          <w:szCs w:val="48"/>
          <w:highlight w:val="none"/>
        </w:rPr>
      </w:pPr>
      <w:r>
        <w:rPr>
          <w:rFonts w:hint="default" w:ascii="Times New Roman" w:hAnsi="Times New Roman" w:eastAsia="方正小标宋_GBK" w:cs="Times New Roman"/>
          <w:sz w:val="48"/>
          <w:szCs w:val="48"/>
          <w:highlight w:val="none"/>
          <w:lang w:val="en-US" w:eastAsia="zh-CN"/>
        </w:rPr>
        <w:t>202</w:t>
      </w:r>
      <w:r>
        <w:rPr>
          <w:rFonts w:hint="eastAsia" w:ascii="Times New Roman" w:hAnsi="Times New Roman" w:eastAsia="方正小标宋_GBK" w:cs="Times New Roman"/>
          <w:sz w:val="48"/>
          <w:szCs w:val="48"/>
          <w:highlight w:val="none"/>
          <w:lang w:val="en-US" w:eastAsia="zh-CN"/>
        </w:rPr>
        <w:t>4</w:t>
      </w:r>
      <w:r>
        <w:rPr>
          <w:rFonts w:hint="default" w:ascii="Times New Roman" w:hAnsi="Times New Roman" w:eastAsia="方正小标宋_GBK" w:cs="Times New Roman"/>
          <w:sz w:val="48"/>
          <w:szCs w:val="48"/>
          <w:highlight w:val="none"/>
        </w:rPr>
        <w:t>年度</w:t>
      </w:r>
      <w:bookmarkStart w:id="0" w:name="_GoBack"/>
      <w:r>
        <w:rPr>
          <w:rFonts w:hint="default" w:ascii="Times New Roman" w:hAnsi="Times New Roman" w:eastAsia="方正小标宋_GBK" w:cs="Times New Roman"/>
          <w:sz w:val="48"/>
          <w:szCs w:val="48"/>
          <w:highlight w:val="none"/>
        </w:rPr>
        <w:t>株洲市芦淞区优化营商环境</w:t>
      </w:r>
    </w:p>
    <w:p w14:paraId="15CD76FD">
      <w:pPr>
        <w:jc w:val="center"/>
        <w:rPr>
          <w:rFonts w:hint="default" w:ascii="Times New Roman" w:hAnsi="Times New Roman" w:eastAsia="方正小标宋_GBK" w:cs="Times New Roman"/>
          <w:sz w:val="48"/>
          <w:szCs w:val="48"/>
          <w:highlight w:val="none"/>
        </w:rPr>
      </w:pPr>
      <w:r>
        <w:rPr>
          <w:rFonts w:hint="default" w:ascii="Times New Roman" w:hAnsi="Times New Roman" w:eastAsia="方正小标宋_GBK" w:cs="Times New Roman"/>
          <w:sz w:val="48"/>
          <w:szCs w:val="48"/>
          <w:highlight w:val="none"/>
        </w:rPr>
        <w:t>协调事务中心</w:t>
      </w:r>
      <w:bookmarkEnd w:id="0"/>
      <w:r>
        <w:rPr>
          <w:rFonts w:hint="default" w:ascii="Times New Roman" w:hAnsi="Times New Roman" w:eastAsia="方正小标宋_GBK" w:cs="Times New Roman"/>
          <w:sz w:val="48"/>
          <w:szCs w:val="48"/>
          <w:highlight w:val="none"/>
          <w:lang w:eastAsia="zh-CN"/>
        </w:rPr>
        <w:t>整体</w:t>
      </w:r>
      <w:r>
        <w:rPr>
          <w:rFonts w:hint="default" w:ascii="Times New Roman" w:hAnsi="Times New Roman" w:eastAsia="方正小标宋_GBK" w:cs="Times New Roman"/>
          <w:sz w:val="48"/>
          <w:szCs w:val="48"/>
          <w:highlight w:val="none"/>
        </w:rPr>
        <w:t>支出绩效自评报告</w:t>
      </w:r>
    </w:p>
    <w:p w14:paraId="1C2FF735">
      <w:pPr>
        <w:jc w:val="center"/>
        <w:rPr>
          <w:rFonts w:hint="default" w:ascii="Times New Roman" w:hAnsi="Times New Roman" w:eastAsia="黑体" w:cs="Times New Roman"/>
          <w:sz w:val="32"/>
          <w:szCs w:val="32"/>
          <w:highlight w:val="none"/>
        </w:rPr>
      </w:pPr>
    </w:p>
    <w:p w14:paraId="50F98CBD">
      <w:pPr>
        <w:jc w:val="center"/>
        <w:rPr>
          <w:rFonts w:hint="default" w:ascii="Times New Roman" w:hAnsi="Times New Roman" w:eastAsia="黑体" w:cs="Times New Roman"/>
          <w:sz w:val="32"/>
          <w:szCs w:val="32"/>
          <w:highlight w:val="none"/>
        </w:rPr>
      </w:pPr>
    </w:p>
    <w:p w14:paraId="03DDE9B2">
      <w:pPr>
        <w:jc w:val="center"/>
        <w:rPr>
          <w:rFonts w:hint="default" w:ascii="Times New Roman" w:hAnsi="Times New Roman" w:eastAsia="黑体" w:cs="Times New Roman"/>
          <w:sz w:val="32"/>
          <w:szCs w:val="32"/>
          <w:highlight w:val="none"/>
        </w:rPr>
      </w:pPr>
    </w:p>
    <w:p w14:paraId="57FF0BFE">
      <w:pPr>
        <w:jc w:val="center"/>
        <w:rPr>
          <w:rFonts w:hint="default" w:ascii="Times New Roman" w:hAnsi="Times New Roman" w:eastAsia="黑体" w:cs="Times New Roman"/>
          <w:sz w:val="32"/>
          <w:szCs w:val="32"/>
          <w:highlight w:val="none"/>
        </w:rPr>
      </w:pPr>
    </w:p>
    <w:p w14:paraId="1FA0A684">
      <w:pPr>
        <w:jc w:val="center"/>
        <w:rPr>
          <w:rFonts w:hint="default" w:ascii="Times New Roman" w:hAnsi="Times New Roman" w:eastAsia="黑体" w:cs="Times New Roman"/>
          <w:sz w:val="32"/>
          <w:szCs w:val="32"/>
          <w:highlight w:val="none"/>
        </w:rPr>
      </w:pPr>
    </w:p>
    <w:p w14:paraId="43C22C0D">
      <w:pPr>
        <w:jc w:val="center"/>
        <w:rPr>
          <w:rFonts w:hint="default" w:ascii="Times New Roman" w:hAnsi="Times New Roman" w:eastAsia="黑体" w:cs="Times New Roman"/>
          <w:sz w:val="32"/>
          <w:szCs w:val="32"/>
          <w:highlight w:val="none"/>
        </w:rPr>
      </w:pPr>
    </w:p>
    <w:p w14:paraId="533E4BEA">
      <w:pPr>
        <w:jc w:val="center"/>
        <w:rPr>
          <w:rFonts w:hint="default" w:ascii="Times New Roman" w:hAnsi="Times New Roman" w:eastAsia="黑体" w:cs="Times New Roman"/>
          <w:sz w:val="32"/>
          <w:szCs w:val="32"/>
          <w:highlight w:val="none"/>
        </w:rPr>
      </w:pPr>
    </w:p>
    <w:p w14:paraId="61BB7115">
      <w:pPr>
        <w:ind w:firstLine="880" w:firstLineChars="200"/>
        <w:jc w:val="center"/>
        <w:rPr>
          <w:rFonts w:hint="default" w:ascii="Times New Roman" w:hAnsi="Times New Roman" w:eastAsia="黑体" w:cs="Times New Roman"/>
          <w:sz w:val="44"/>
          <w:szCs w:val="44"/>
          <w:highlight w:val="none"/>
        </w:rPr>
      </w:pPr>
    </w:p>
    <w:p w14:paraId="600914D6">
      <w:pPr>
        <w:pStyle w:val="2"/>
        <w:rPr>
          <w:rFonts w:hint="default" w:ascii="Times New Roman" w:hAnsi="Times New Roman" w:cs="Times New Roman"/>
        </w:rPr>
      </w:pPr>
    </w:p>
    <w:p w14:paraId="07570FB7">
      <w:pPr>
        <w:rPr>
          <w:rFonts w:hint="default" w:ascii="Times New Roman" w:hAnsi="Times New Roman" w:cs="Times New Roman"/>
        </w:rPr>
      </w:pPr>
    </w:p>
    <w:p w14:paraId="5CE6F7CA">
      <w:pPr>
        <w:pStyle w:val="2"/>
        <w:rPr>
          <w:rFonts w:hint="default" w:ascii="Times New Roman" w:hAnsi="Times New Roman" w:cs="Times New Roman"/>
        </w:rPr>
      </w:pPr>
    </w:p>
    <w:p w14:paraId="6399CAC2">
      <w:pPr>
        <w:rPr>
          <w:rFonts w:hint="default" w:ascii="Times New Roman" w:hAnsi="Times New Roman" w:cs="Times New Roman"/>
        </w:rPr>
      </w:pPr>
    </w:p>
    <w:p w14:paraId="2E68CAB5">
      <w:pPr>
        <w:pStyle w:val="2"/>
        <w:rPr>
          <w:rFonts w:hint="default" w:ascii="Times New Roman" w:hAnsi="Times New Roman" w:cs="Times New Roman"/>
        </w:rPr>
      </w:pPr>
    </w:p>
    <w:p w14:paraId="68C7F756">
      <w:pPr>
        <w:ind w:firstLine="880" w:firstLineChars="200"/>
        <w:jc w:val="center"/>
        <w:rPr>
          <w:rFonts w:hint="default" w:ascii="Times New Roman" w:hAnsi="Times New Roman" w:eastAsia="黑体" w:cs="Times New Roman"/>
          <w:sz w:val="44"/>
          <w:szCs w:val="44"/>
          <w:highlight w:val="none"/>
        </w:rPr>
      </w:pPr>
    </w:p>
    <w:p w14:paraId="26A4DE3D">
      <w:pPr>
        <w:ind w:firstLine="880" w:firstLineChars="200"/>
        <w:jc w:val="center"/>
        <w:rPr>
          <w:rFonts w:hint="default" w:ascii="Times New Roman" w:hAnsi="Times New Roman" w:eastAsia="黑体" w:cs="Times New Roman"/>
          <w:sz w:val="44"/>
          <w:szCs w:val="44"/>
          <w:highlight w:val="none"/>
        </w:rPr>
      </w:pPr>
    </w:p>
    <w:p w14:paraId="384B39CE">
      <w:pPr>
        <w:jc w:val="cente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单位名称（盖章）：株洲市芦淞区优化营商环境协调</w:t>
      </w:r>
    </w:p>
    <w:p w14:paraId="261084BF">
      <w:pPr>
        <w:jc w:val="cente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事务中心</w:t>
      </w:r>
    </w:p>
    <w:p w14:paraId="62DB4F8A">
      <w:pPr>
        <w:jc w:val="center"/>
        <w:rPr>
          <w:rFonts w:eastAsia="黑体"/>
          <w:sz w:val="32"/>
          <w:szCs w:val="32"/>
        </w:rPr>
      </w:pPr>
    </w:p>
    <w:p w14:paraId="73D064D5">
      <w:pPr>
        <w:pStyle w:val="2"/>
        <w:rPr>
          <w:rFonts w:eastAsia="黑体"/>
          <w:sz w:val="32"/>
          <w:szCs w:val="32"/>
        </w:rPr>
      </w:pPr>
    </w:p>
    <w:p w14:paraId="1221BBAB">
      <w:pPr>
        <w:rPr>
          <w:rFonts w:eastAsia="黑体"/>
          <w:sz w:val="32"/>
          <w:szCs w:val="32"/>
        </w:rPr>
      </w:pPr>
    </w:p>
    <w:p w14:paraId="40C45998">
      <w:pPr>
        <w:pStyle w:val="2"/>
      </w:pPr>
    </w:p>
    <w:p w14:paraId="41EDFD64">
      <w:pPr>
        <w:jc w:val="center"/>
        <w:rPr>
          <w:rFonts w:eastAsia="仿宋_GB2312"/>
          <w:sz w:val="32"/>
          <w:szCs w:val="32"/>
        </w:rPr>
      </w:pPr>
      <w:r>
        <w:rPr>
          <w:rFonts w:eastAsia="仿宋_GB2312"/>
          <w:sz w:val="32"/>
          <w:szCs w:val="32"/>
        </w:rPr>
        <w:t>（此页为封面）</w:t>
      </w:r>
    </w:p>
    <w:p w14:paraId="48CE3933">
      <w:pPr>
        <w:jc w:val="center"/>
        <w:rPr>
          <w:rFonts w:eastAsia="仿宋_GB2312"/>
          <w:sz w:val="32"/>
          <w:szCs w:val="32"/>
        </w:rPr>
      </w:pPr>
    </w:p>
    <w:p w14:paraId="7505B1A1">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7AB3E758">
      <w:pPr>
        <w:spacing w:line="600" w:lineRule="exact"/>
        <w:ind w:firstLine="643" w:firstLineChars="200"/>
        <w:rPr>
          <w:rFonts w:eastAsia="楷体_GB2312"/>
          <w:b/>
          <w:sz w:val="32"/>
          <w:szCs w:val="32"/>
        </w:rPr>
      </w:pPr>
      <w:r>
        <w:rPr>
          <w:rFonts w:eastAsia="楷体_GB2312"/>
          <w:b/>
          <w:sz w:val="32"/>
          <w:szCs w:val="32"/>
        </w:rPr>
        <w:t>（一）部门（单位）基本情况</w:t>
      </w:r>
    </w:p>
    <w:p w14:paraId="0D8A1B51">
      <w:pPr>
        <w:pStyle w:val="7"/>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lang w:val="en-US" w:eastAsia="zh-CN"/>
        </w:rPr>
        <w:t>1.</w:t>
      </w:r>
      <w:r>
        <w:rPr>
          <w:rFonts w:hint="default" w:ascii="Times New Roman" w:hAnsi="Times New Roman" w:eastAsia="楷体_GB2312" w:cs="Times New Roman"/>
          <w:b/>
          <w:sz w:val="32"/>
          <w:szCs w:val="32"/>
          <w:highlight w:val="none"/>
        </w:rPr>
        <w:t>部门职能职责</w:t>
      </w:r>
    </w:p>
    <w:p w14:paraId="308E74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本部门主要职能职责主要包括：</w:t>
      </w:r>
      <w:r>
        <w:rPr>
          <w:rFonts w:hint="default" w:ascii="Times New Roman" w:hAnsi="Times New Roman" w:eastAsia="仿宋_GB2312" w:cs="Times New Roman"/>
          <w:sz w:val="32"/>
          <w:szCs w:val="32"/>
          <w:highlight w:val="none"/>
        </w:rPr>
        <w:t>负责协调推进全区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放管服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改革和优化营商环境工作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统筹全区优化营商环境相关政策措施出台及落实的事务性工作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负责受理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转办</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跟踪涉及营商环境的投诉举报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负责组织对全区营商环境日常监测的事务性工作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负责全区优化营商环境建设督查检查的事务性工作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负责区优化经济发展环境领导小组和区人民政府推进政府职能转变和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放管服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改革协调小组的日常事务性工作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完成区委</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区政府交办的其他任务。</w:t>
      </w:r>
    </w:p>
    <w:p w14:paraId="4DD173B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lang w:val="en-US" w:eastAsia="zh-CN"/>
        </w:rPr>
        <w:t>2.</w:t>
      </w:r>
      <w:r>
        <w:rPr>
          <w:rFonts w:hint="default" w:ascii="Times New Roman" w:hAnsi="Times New Roman" w:eastAsia="楷体_GB2312" w:cs="Times New Roman"/>
          <w:b/>
          <w:sz w:val="32"/>
          <w:szCs w:val="32"/>
          <w:highlight w:val="none"/>
        </w:rPr>
        <w:t>部门机构设置</w:t>
      </w:r>
    </w:p>
    <w:p w14:paraId="6726915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eastAsia="楷体_GB2312"/>
          <w:b/>
          <w:sz w:val="32"/>
          <w:szCs w:val="32"/>
        </w:rPr>
      </w:pPr>
      <w:r>
        <w:rPr>
          <w:rFonts w:hint="default" w:ascii="Times New Roman" w:hAnsi="Times New Roman" w:eastAsia="仿宋_GB2312" w:cs="Times New Roman"/>
          <w:sz w:val="32"/>
          <w:szCs w:val="32"/>
          <w:highlight w:val="none"/>
        </w:rPr>
        <w:t>芦淞区优化营商环境协调事务中心成立于2019年3月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为区政府直属正科级公益一类事业单位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内设综合办公室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投诉协调股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营商环境评价股三个股室。核定编制1</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一正两副</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现有在编人员</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另有参照无固定期限管理人员1名。</w:t>
      </w:r>
    </w:p>
    <w:p w14:paraId="0988FCFA">
      <w:pPr>
        <w:numPr>
          <w:ilvl w:val="0"/>
          <w:numId w:val="1"/>
        </w:numPr>
        <w:spacing w:line="600" w:lineRule="exact"/>
        <w:ind w:firstLine="643" w:firstLineChars="200"/>
        <w:rPr>
          <w:rFonts w:hint="eastAsia" w:eastAsia="楷体_GB2312"/>
          <w:b/>
          <w:sz w:val="32"/>
          <w:szCs w:val="32"/>
          <w:lang w:eastAsia="zh-CN"/>
        </w:rPr>
      </w:pPr>
      <w:r>
        <w:rPr>
          <w:rFonts w:eastAsia="楷体_GB2312"/>
          <w:b/>
          <w:sz w:val="32"/>
          <w:szCs w:val="32"/>
        </w:rPr>
        <w:t>部门（单位）年度整体支出绩效目标，</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r>
        <w:rPr>
          <w:rFonts w:hint="eastAsia" w:eastAsia="楷体_GB2312"/>
          <w:b/>
          <w:sz w:val="32"/>
          <w:szCs w:val="32"/>
          <w:lang w:eastAsia="zh-CN"/>
        </w:rPr>
        <w:t>（只写目标，不写金额）</w:t>
      </w:r>
    </w:p>
    <w:p w14:paraId="5D107A9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保障优化营商环境协调事务中心在职人员</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无固期1人的正常办公和日常运行。</w:t>
      </w:r>
    </w:p>
    <w:p w14:paraId="48C48C9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确保营商环境评价工作有序开展。</w:t>
      </w:r>
    </w:p>
    <w:p w14:paraId="6C1FE64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确保受理和处理涉及营商环境的投诉工作顺利完成。</w:t>
      </w:r>
    </w:p>
    <w:p w14:paraId="0B634FD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lang w:eastAsia="zh-CN"/>
        </w:rPr>
      </w:pPr>
      <w:r>
        <w:rPr>
          <w:rFonts w:hint="default" w:ascii="Times New Roman" w:hAnsi="Times New Roman" w:eastAsia="仿宋" w:cs="Times New Roman"/>
          <w:sz w:val="32"/>
          <w:szCs w:val="32"/>
          <w:highlight w:val="none"/>
        </w:rPr>
        <w:t>4</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通过媒体</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户外宣传等模式更有效地宣传优化营商环境政策。</w:t>
      </w:r>
    </w:p>
    <w:p w14:paraId="65FF2321">
      <w:pPr>
        <w:pStyle w:val="7"/>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4D9219E2">
      <w:pPr>
        <w:pStyle w:val="7"/>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3737983F">
      <w:pPr>
        <w:pStyle w:val="7"/>
        <w:spacing w:line="600" w:lineRule="exact"/>
        <w:ind w:firstLine="643"/>
        <w:rPr>
          <w:rFonts w:hint="eastAsia" w:eastAsia="仿宋_GB2312"/>
          <w:color w:val="000000"/>
          <w:sz w:val="32"/>
          <w:szCs w:val="32"/>
          <w:lang w:eastAsia="zh-CN"/>
        </w:rPr>
      </w:pPr>
      <w:r>
        <w:rPr>
          <w:rFonts w:hint="eastAsia" w:ascii="Times New Roman" w:hAnsi="Times New Roman" w:eastAsia="楷体_GB2312"/>
          <w:b/>
          <w:sz w:val="32"/>
          <w:szCs w:val="32"/>
          <w:lang w:val="en-US" w:eastAsia="zh-CN"/>
        </w:rPr>
        <w:t>1、</w:t>
      </w:r>
      <w:r>
        <w:rPr>
          <w:rFonts w:eastAsia="仿宋"/>
          <w:color w:val="000000"/>
          <w:sz w:val="32"/>
          <w:szCs w:val="32"/>
        </w:rPr>
        <w:t>202</w:t>
      </w:r>
      <w:r>
        <w:rPr>
          <w:rFonts w:hint="eastAsia" w:eastAsia="仿宋"/>
          <w:color w:val="000000"/>
          <w:sz w:val="32"/>
          <w:szCs w:val="32"/>
          <w:lang w:val="en-US" w:eastAsia="zh-CN"/>
        </w:rPr>
        <w:t>4</w:t>
      </w:r>
      <w:r>
        <w:rPr>
          <w:rFonts w:eastAsia="仿宋"/>
          <w:color w:val="000000"/>
          <w:sz w:val="32"/>
          <w:szCs w:val="32"/>
        </w:rPr>
        <w:t>年预算资金</w:t>
      </w:r>
      <w:r>
        <w:rPr>
          <w:rFonts w:hint="eastAsia" w:ascii="Times New Roman" w:hAnsi="Times New Roman" w:eastAsia="仿宋_GB2312"/>
          <w:sz w:val="32"/>
          <w:szCs w:val="32"/>
          <w:highlight w:val="none"/>
        </w:rPr>
        <w:t>148.79万元</w:t>
      </w:r>
      <w:r>
        <w:rPr>
          <w:rFonts w:hint="eastAsia" w:ascii="Times New Roman" w:hAnsi="Times New Roman" w:eastAsia="仿宋_GB2312"/>
          <w:sz w:val="32"/>
          <w:szCs w:val="32"/>
          <w:highlight w:val="none"/>
          <w:lang w:eastAsia="zh-CN"/>
        </w:rPr>
        <w:t>。</w:t>
      </w:r>
    </w:p>
    <w:p w14:paraId="36097CFC">
      <w:pPr>
        <w:pStyle w:val="7"/>
        <w:spacing w:line="600" w:lineRule="exact"/>
        <w:ind w:firstLine="643"/>
        <w:rPr>
          <w:rFonts w:hint="default" w:eastAsia="仿宋"/>
          <w:color w:val="auto"/>
          <w:sz w:val="32"/>
          <w:szCs w:val="32"/>
          <w:lang w:val="en-US" w:eastAsia="zh-CN"/>
        </w:rPr>
      </w:pPr>
      <w:r>
        <w:rPr>
          <w:rFonts w:hint="eastAsia" w:eastAsia="仿宋"/>
          <w:color w:val="auto"/>
          <w:sz w:val="32"/>
          <w:szCs w:val="32"/>
          <w:lang w:val="en-US" w:eastAsia="zh-CN"/>
        </w:rPr>
        <w:t>2、2024年度</w:t>
      </w:r>
      <w:r>
        <w:rPr>
          <w:rFonts w:eastAsia="仿宋"/>
          <w:color w:val="auto"/>
          <w:sz w:val="32"/>
          <w:szCs w:val="32"/>
        </w:rPr>
        <w:t>单位</w:t>
      </w:r>
      <w:r>
        <w:rPr>
          <w:rFonts w:hint="eastAsia" w:eastAsia="仿宋"/>
          <w:color w:val="auto"/>
          <w:sz w:val="32"/>
          <w:szCs w:val="32"/>
        </w:rPr>
        <w:t>一般公共预算财政拨款</w:t>
      </w:r>
      <w:r>
        <w:rPr>
          <w:rFonts w:eastAsia="仿宋"/>
          <w:color w:val="auto"/>
          <w:sz w:val="32"/>
          <w:szCs w:val="32"/>
        </w:rPr>
        <w:t>收入</w:t>
      </w:r>
      <w:r>
        <w:rPr>
          <w:rFonts w:hint="eastAsia" w:eastAsia="仿宋"/>
          <w:color w:val="auto"/>
          <w:sz w:val="32"/>
          <w:szCs w:val="32"/>
        </w:rPr>
        <w:t>160.1</w:t>
      </w:r>
      <w:r>
        <w:rPr>
          <w:rFonts w:hint="eastAsia" w:eastAsia="仿宋"/>
          <w:color w:val="auto"/>
          <w:sz w:val="32"/>
          <w:szCs w:val="32"/>
          <w:lang w:val="en-US" w:eastAsia="zh-CN"/>
        </w:rPr>
        <w:t>万元。</w:t>
      </w:r>
    </w:p>
    <w:p w14:paraId="65368BC4">
      <w:pPr>
        <w:spacing w:line="580" w:lineRule="exact"/>
        <w:ind w:firstLine="640" w:firstLineChars="200"/>
        <w:rPr>
          <w:rFonts w:hint="eastAsia" w:eastAsia="仿宋"/>
          <w:color w:val="0000FF"/>
          <w:sz w:val="32"/>
          <w:szCs w:val="32"/>
          <w:lang w:val="en-US" w:eastAsia="zh-CN"/>
        </w:rPr>
      </w:pPr>
      <w:r>
        <w:rPr>
          <w:rFonts w:eastAsia="仿宋"/>
          <w:color w:val="auto"/>
          <w:sz w:val="32"/>
          <w:szCs w:val="32"/>
        </w:rPr>
        <w:t>3.</w:t>
      </w:r>
      <w:r>
        <w:rPr>
          <w:rFonts w:hint="eastAsia" w:eastAsia="仿宋"/>
          <w:color w:val="auto"/>
          <w:sz w:val="32"/>
          <w:szCs w:val="32"/>
          <w:lang w:val="en-US" w:eastAsia="zh-CN"/>
        </w:rPr>
        <w:t>2024年度</w:t>
      </w:r>
      <w:r>
        <w:rPr>
          <w:rFonts w:eastAsia="仿宋"/>
          <w:color w:val="auto"/>
          <w:sz w:val="32"/>
          <w:szCs w:val="32"/>
        </w:rPr>
        <w:t>单位</w:t>
      </w:r>
      <w:r>
        <w:rPr>
          <w:rFonts w:hint="eastAsia" w:eastAsia="仿宋"/>
          <w:color w:val="auto"/>
          <w:sz w:val="32"/>
          <w:szCs w:val="32"/>
        </w:rPr>
        <w:t>一般公共预算财政拨款</w:t>
      </w:r>
      <w:r>
        <w:rPr>
          <w:rFonts w:hint="eastAsia" w:eastAsia="仿宋"/>
          <w:color w:val="auto"/>
          <w:sz w:val="32"/>
          <w:szCs w:val="32"/>
          <w:lang w:eastAsia="zh-CN"/>
        </w:rPr>
        <w:t>支出</w:t>
      </w:r>
      <w:r>
        <w:rPr>
          <w:rFonts w:hint="eastAsia" w:eastAsia="仿宋"/>
          <w:color w:val="auto"/>
          <w:sz w:val="32"/>
          <w:szCs w:val="32"/>
        </w:rPr>
        <w:t>160.1</w:t>
      </w:r>
      <w:r>
        <w:rPr>
          <w:rFonts w:hint="eastAsia" w:eastAsia="仿宋"/>
          <w:color w:val="auto"/>
          <w:sz w:val="32"/>
          <w:szCs w:val="32"/>
          <w:lang w:val="en-US" w:eastAsia="zh-CN"/>
        </w:rPr>
        <w:t>万元</w:t>
      </w:r>
      <w:r>
        <w:rPr>
          <w:rFonts w:eastAsia="仿宋"/>
          <w:color w:val="auto"/>
          <w:sz w:val="32"/>
          <w:szCs w:val="32"/>
        </w:rPr>
        <w:t>其中：项目支出</w:t>
      </w:r>
      <w:r>
        <w:rPr>
          <w:rFonts w:hint="eastAsia" w:eastAsia="仿宋"/>
          <w:color w:val="auto"/>
          <w:sz w:val="32"/>
          <w:szCs w:val="32"/>
          <w:lang w:val="en-US" w:eastAsia="zh-CN"/>
        </w:rPr>
        <w:t>6.53</w:t>
      </w:r>
      <w:r>
        <w:rPr>
          <w:rFonts w:eastAsia="仿宋"/>
          <w:color w:val="auto"/>
          <w:sz w:val="32"/>
          <w:szCs w:val="32"/>
        </w:rPr>
        <w:t>万元，基本支出</w:t>
      </w:r>
      <w:r>
        <w:rPr>
          <w:rFonts w:hint="eastAsia" w:eastAsia="仿宋"/>
          <w:color w:val="auto"/>
          <w:sz w:val="32"/>
          <w:szCs w:val="32"/>
          <w:lang w:val="en-US" w:eastAsia="zh-CN"/>
        </w:rPr>
        <w:t>153.58</w:t>
      </w:r>
      <w:r>
        <w:rPr>
          <w:rFonts w:eastAsia="仿宋"/>
          <w:color w:val="auto"/>
          <w:sz w:val="32"/>
          <w:szCs w:val="32"/>
        </w:rPr>
        <w:t>万元，其中：人员经费</w:t>
      </w:r>
      <w:r>
        <w:rPr>
          <w:rFonts w:hint="eastAsia" w:eastAsia="仿宋"/>
          <w:color w:val="auto"/>
          <w:sz w:val="32"/>
          <w:szCs w:val="32"/>
          <w:lang w:val="en-US" w:eastAsia="zh-CN"/>
        </w:rPr>
        <w:t>128.24</w:t>
      </w:r>
      <w:r>
        <w:rPr>
          <w:rFonts w:eastAsia="仿宋"/>
          <w:color w:val="auto"/>
          <w:sz w:val="32"/>
          <w:szCs w:val="32"/>
        </w:rPr>
        <w:t>万元，公用经费</w:t>
      </w:r>
      <w:r>
        <w:rPr>
          <w:rFonts w:hint="eastAsia" w:eastAsia="仿宋"/>
          <w:color w:val="auto"/>
          <w:sz w:val="32"/>
          <w:szCs w:val="32"/>
          <w:lang w:val="en-US" w:eastAsia="zh-CN"/>
        </w:rPr>
        <w:t>25.34万</w:t>
      </w:r>
      <w:r>
        <w:rPr>
          <w:rFonts w:eastAsia="仿宋"/>
          <w:color w:val="auto"/>
          <w:sz w:val="32"/>
          <w:szCs w:val="32"/>
        </w:rPr>
        <w:t>元。</w:t>
      </w:r>
    </w:p>
    <w:p w14:paraId="546FC3FA">
      <w:pPr>
        <w:pStyle w:val="7"/>
        <w:numPr>
          <w:ilvl w:val="0"/>
          <w:numId w:val="2"/>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2A750ABF">
      <w:pPr>
        <w:pStyle w:val="7"/>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营商环境评价</w:t>
      </w:r>
      <w:r>
        <w:rPr>
          <w:rFonts w:hint="default" w:ascii="Times New Roman" w:hAnsi="Times New Roman" w:eastAsia="仿宋_GB2312" w:cs="Times New Roman"/>
          <w:color w:val="auto"/>
          <w:kern w:val="2"/>
          <w:sz w:val="32"/>
          <w:szCs w:val="32"/>
          <w:highlight w:val="none"/>
          <w:lang w:val="en-US" w:eastAsia="zh-CN" w:bidi="ar-SA"/>
        </w:rPr>
        <w:t>项目支出</w:t>
      </w:r>
      <w:r>
        <w:rPr>
          <w:rFonts w:hint="eastAsia" w:eastAsia="仿宋"/>
          <w:color w:val="auto"/>
          <w:sz w:val="32"/>
          <w:szCs w:val="32"/>
          <w:lang w:val="en-US" w:eastAsia="zh-CN"/>
        </w:rPr>
        <w:t>6.53</w:t>
      </w:r>
      <w:r>
        <w:rPr>
          <w:rFonts w:hint="default" w:ascii="Times New Roman" w:hAnsi="Times New Roman" w:eastAsia="仿宋_GB2312" w:cs="Times New Roman"/>
          <w:color w:val="auto"/>
          <w:kern w:val="2"/>
          <w:sz w:val="32"/>
          <w:szCs w:val="32"/>
          <w:highlight w:val="none"/>
          <w:lang w:val="en-US" w:eastAsia="zh-CN" w:bidi="ar-SA"/>
        </w:rPr>
        <w:t>万元。</w:t>
      </w:r>
    </w:p>
    <w:p w14:paraId="240F1F43">
      <w:pPr>
        <w:pStyle w:val="7"/>
        <w:numPr>
          <w:ilvl w:val="0"/>
          <w:numId w:val="3"/>
        </w:numPr>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政府性基金预算支出情况</w:t>
      </w:r>
    </w:p>
    <w:p w14:paraId="7D95F18F">
      <w:pPr>
        <w:pStyle w:val="7"/>
        <w:numPr>
          <w:ilvl w:val="0"/>
          <w:numId w:val="0"/>
        </w:numPr>
        <w:spacing w:line="600" w:lineRule="exact"/>
        <w:ind w:firstLine="1280" w:firstLineChars="400"/>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无</w:t>
      </w:r>
    </w:p>
    <w:p w14:paraId="222B2C09">
      <w:pPr>
        <w:pStyle w:val="7"/>
        <w:numPr>
          <w:ilvl w:val="0"/>
          <w:numId w:val="3"/>
        </w:numPr>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国有资本经营预算支出情况</w:t>
      </w:r>
    </w:p>
    <w:p w14:paraId="684DF82B">
      <w:pPr>
        <w:pStyle w:val="7"/>
        <w:numPr>
          <w:ilvl w:val="0"/>
          <w:numId w:val="0"/>
        </w:numPr>
        <w:spacing w:line="600" w:lineRule="exact"/>
        <w:ind w:leftChars="200"/>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无</w:t>
      </w:r>
    </w:p>
    <w:p w14:paraId="69913414">
      <w:pPr>
        <w:pStyle w:val="7"/>
        <w:numPr>
          <w:ilvl w:val="0"/>
          <w:numId w:val="3"/>
        </w:numPr>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社会保险基金预算支出情况</w:t>
      </w:r>
    </w:p>
    <w:p w14:paraId="560BCE56">
      <w:pPr>
        <w:pStyle w:val="7"/>
        <w:numPr>
          <w:ilvl w:val="0"/>
          <w:numId w:val="0"/>
        </w:numPr>
        <w:spacing w:line="600" w:lineRule="exact"/>
        <w:ind w:leftChars="200"/>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无</w:t>
      </w:r>
    </w:p>
    <w:p w14:paraId="13AD24BE">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7755E9D1">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627C608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年我中心基本支出</w:t>
      </w:r>
      <w:r>
        <w:rPr>
          <w:rFonts w:hint="default" w:ascii="Times New Roman" w:hAnsi="Times New Roman" w:eastAsia="仿宋" w:cs="Times New Roman"/>
          <w:color w:val="auto"/>
          <w:sz w:val="32"/>
          <w:szCs w:val="32"/>
          <w:highlight w:val="none"/>
          <w:lang w:val="en-US" w:eastAsia="zh-CN"/>
        </w:rPr>
        <w:t>153.58</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各项收入和支出都按预算的目标完成</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支出方向为</w:t>
      </w:r>
      <w:r>
        <w:rPr>
          <w:rFonts w:hint="default" w:ascii="Times New Roman" w:hAnsi="Times New Roman" w:eastAsia="仿宋_GB2312" w:cs="Times New Roman"/>
          <w:sz w:val="32"/>
          <w:szCs w:val="32"/>
          <w:highlight w:val="none"/>
          <w:lang w:eastAsia="zh-CN"/>
        </w:rPr>
        <w:t>：支付</w:t>
      </w:r>
      <w:r>
        <w:rPr>
          <w:rFonts w:hint="default" w:ascii="Times New Roman" w:hAnsi="Times New Roman" w:eastAsia="仿宋_GB2312" w:cs="Times New Roman"/>
          <w:sz w:val="32"/>
          <w:szCs w:val="32"/>
          <w:highlight w:val="none"/>
        </w:rPr>
        <w:t>人员工资</w:t>
      </w:r>
      <w:r>
        <w:rPr>
          <w:rFonts w:hint="default" w:ascii="Times New Roman" w:hAnsi="Times New Roman" w:eastAsia="仿宋_GB2312" w:cs="Times New Roman"/>
          <w:sz w:val="32"/>
          <w:szCs w:val="32"/>
          <w:highlight w:val="none"/>
          <w:lang w:eastAsia="zh-CN"/>
        </w:rPr>
        <w:t>福利、</w:t>
      </w:r>
      <w:r>
        <w:rPr>
          <w:rFonts w:hint="default" w:ascii="Times New Roman" w:hAnsi="Times New Roman" w:eastAsia="仿宋_GB2312" w:cs="Times New Roman"/>
          <w:sz w:val="32"/>
          <w:szCs w:val="32"/>
          <w:highlight w:val="none"/>
        </w:rPr>
        <w:t>添置办公用品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印刷费等</w:t>
      </w:r>
      <w:r>
        <w:rPr>
          <w:rFonts w:hint="default" w:ascii="Times New Roman" w:hAnsi="Times New Roman" w:eastAsia="仿宋_GB2312" w:cs="Times New Roman"/>
          <w:sz w:val="32"/>
          <w:szCs w:val="32"/>
          <w:highlight w:val="none"/>
          <w:lang w:eastAsia="zh-CN"/>
        </w:rPr>
        <w:t>机关运行及日常开支</w:t>
      </w:r>
      <w:r>
        <w:rPr>
          <w:rFonts w:hint="default" w:ascii="Times New Roman" w:hAnsi="Times New Roman" w:eastAsia="仿宋_GB2312" w:cs="Times New Roman"/>
          <w:sz w:val="32"/>
          <w:szCs w:val="32"/>
          <w:highlight w:val="none"/>
        </w:rPr>
        <w:t>。</w:t>
      </w:r>
    </w:p>
    <w:p w14:paraId="28845F7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产出指标</w:t>
      </w:r>
    </w:p>
    <w:p w14:paraId="29BA1AA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（1）数量指标：</w:t>
      </w:r>
      <w:r>
        <w:rPr>
          <w:rFonts w:hint="eastAsia" w:ascii="仿宋_GB2312" w:hAnsi="仿宋_GB2312" w:eastAsia="仿宋_GB2312" w:cs="仿宋_GB2312"/>
          <w:b/>
          <w:bCs/>
          <w:kern w:val="2"/>
          <w:sz w:val="32"/>
          <w:szCs w:val="32"/>
          <w:lang w:val="en-US" w:eastAsia="zh-CN" w:bidi="ar-SA"/>
        </w:rPr>
        <w:t>优化营商环境，改革发展富有成效。一是提升市场主体培育质效。</w:t>
      </w:r>
      <w:r>
        <w:rPr>
          <w:rFonts w:hint="default" w:ascii="仿宋_GB2312" w:hAnsi="仿宋_GB2312" w:eastAsia="仿宋_GB2312" w:cs="仿宋_GB2312"/>
          <w:kern w:val="2"/>
          <w:sz w:val="32"/>
          <w:szCs w:val="32"/>
          <w:lang w:eastAsia="zh-CN" w:bidi="ar-SA"/>
        </w:rPr>
        <w:t>深入推进</w:t>
      </w:r>
      <w:r>
        <w:rPr>
          <w:rFonts w:hint="eastAsia" w:ascii="仿宋_GB2312" w:hAnsi="仿宋_GB2312" w:eastAsia="仿宋_GB2312" w:cs="仿宋_GB2312"/>
          <w:kern w:val="2"/>
          <w:sz w:val="32"/>
          <w:szCs w:val="32"/>
          <w:lang w:val="en-US" w:eastAsia="zh-CN" w:bidi="ar-SA"/>
        </w:rPr>
        <w:t>主体强身行动</w:t>
      </w:r>
      <w:r>
        <w:rPr>
          <w:rFonts w:hint="default"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eastAsia="zh-CN" w:bidi="ar-SA"/>
        </w:rPr>
        <w:t>截至</w:t>
      </w:r>
      <w:r>
        <w:rPr>
          <w:rFonts w:hint="eastAsia" w:ascii="仿宋_GB2312" w:hAnsi="仿宋_GB2312" w:cs="仿宋_GB2312"/>
          <w:kern w:val="2"/>
          <w:sz w:val="32"/>
          <w:szCs w:val="32"/>
          <w:lang w:val="en-US" w:eastAsia="zh-CN" w:bidi="ar-SA"/>
        </w:rPr>
        <w:t>11</w:t>
      </w:r>
      <w:r>
        <w:rPr>
          <w:rFonts w:hint="eastAsia" w:ascii="仿宋_GB2312" w:hAnsi="仿宋_GB2312" w:eastAsia="仿宋_GB2312" w:cs="仿宋_GB2312"/>
          <w:kern w:val="2"/>
          <w:sz w:val="32"/>
          <w:szCs w:val="32"/>
          <w:lang w:val="en-US" w:eastAsia="zh-CN" w:bidi="ar-SA"/>
        </w:rPr>
        <w:t>月底，经营主体总量87947户。经营主体净增6900户，完成比142.1%；企业主体净增1738户，完成比108.8%；制造业经营主体净增665户，完成比221.7%；个转企新增量348户，完成比89.5%。</w:t>
      </w:r>
      <w:r>
        <w:rPr>
          <w:rFonts w:hint="eastAsia" w:ascii="仿宋_GB2312" w:hAnsi="仿宋_GB2312" w:eastAsia="仿宋_GB2312" w:cs="仿宋_GB2312"/>
          <w:b/>
          <w:bCs/>
          <w:kern w:val="2"/>
          <w:sz w:val="32"/>
          <w:szCs w:val="32"/>
          <w:lang w:val="en-US" w:eastAsia="zh-CN" w:bidi="ar-SA"/>
        </w:rPr>
        <w:t>二是提升行政审批服务质量。</w:t>
      </w:r>
      <w:r>
        <w:rPr>
          <w:rFonts w:hint="eastAsia" w:ascii="仿宋_GB2312" w:hAnsi="仿宋_GB2312" w:eastAsia="仿宋_GB2312" w:cs="仿宋_GB2312"/>
          <w:kern w:val="2"/>
          <w:sz w:val="32"/>
          <w:szCs w:val="32"/>
          <w:lang w:val="en-US" w:eastAsia="zh-CN" w:bidi="ar-SA"/>
        </w:rPr>
        <w:t>对审批材料进行全面梳理，积极推行并联审批和网上办理等创新模式，精简不必要的环节和证明材料，</w:t>
      </w:r>
      <w:r>
        <w:rPr>
          <w:rFonts w:hint="eastAsia" w:ascii="仿宋_GB2312" w:hAnsi="仿宋_GB2312" w:cs="仿宋_GB2312"/>
          <w:kern w:val="2"/>
          <w:sz w:val="32"/>
          <w:szCs w:val="32"/>
          <w:lang w:val="en-US" w:eastAsia="zh-CN" w:bidi="ar-SA"/>
        </w:rPr>
        <w:t>提升审批效率</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三是提升事中事后监管效能。</w:t>
      </w:r>
      <w:r>
        <w:rPr>
          <w:rFonts w:hint="eastAsia" w:ascii="仿宋_GB2312" w:hAnsi="仿宋_GB2312" w:eastAsia="仿宋_GB2312" w:cs="仿宋_GB2312"/>
          <w:kern w:val="2"/>
          <w:sz w:val="32"/>
          <w:szCs w:val="32"/>
          <w:lang w:val="en-US" w:eastAsia="zh-CN" w:bidi="ar-SA"/>
        </w:rPr>
        <w:t>做好年报工作，企业年报率95.87%，全市第二。</w:t>
      </w:r>
      <w:r>
        <w:rPr>
          <w:rFonts w:hint="eastAsia" w:ascii="仿宋_GB2312" w:hAnsi="仿宋_GB2312" w:cs="仿宋_GB2312"/>
          <w:kern w:val="2"/>
          <w:sz w:val="32"/>
          <w:szCs w:val="32"/>
          <w:lang w:val="en-US" w:eastAsia="zh-CN" w:bidi="ar-SA"/>
        </w:rPr>
        <w:t>截至11月底，“双随机、一公开”部门内任务47项，部门联合任务123项，均已完成，公示率100%。</w:t>
      </w:r>
    </w:p>
    <w:p w14:paraId="6988822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val="0"/>
          <w:kern w:val="2"/>
          <w:sz w:val="32"/>
          <w:szCs w:val="32"/>
          <w:highlight w:val="none"/>
          <w:lang w:val="en-US" w:eastAsia="zh-CN" w:bidi="ar-SA"/>
        </w:rPr>
      </w:pPr>
      <w:r>
        <w:rPr>
          <w:rFonts w:hint="default" w:ascii="Times New Roman" w:hAnsi="Times New Roman" w:eastAsia="仿宋_GB2312" w:cs="Times New Roman"/>
          <w:sz w:val="32"/>
          <w:szCs w:val="32"/>
          <w:highlight w:val="none"/>
        </w:rPr>
        <w:t>质量指标：</w:t>
      </w:r>
      <w:r>
        <w:rPr>
          <w:rFonts w:hint="eastAsia" w:ascii="仿宋_GB2312" w:hAnsi="仿宋_GB2312" w:eastAsia="仿宋_GB2312" w:cs="仿宋_GB2312"/>
          <w:b/>
          <w:bCs/>
          <w:kern w:val="2"/>
          <w:sz w:val="32"/>
          <w:szCs w:val="32"/>
          <w:lang w:val="en-US" w:eastAsia="zh-CN" w:bidi="ar-SA"/>
        </w:rPr>
        <w:t>维护市场秩序，重点领域提质增效。</w:t>
      </w:r>
      <w:r>
        <w:rPr>
          <w:rFonts w:hint="default" w:ascii="楷体" w:hAnsi="楷体" w:eastAsia="楷体" w:cs="楷体"/>
          <w:b/>
          <w:bCs/>
          <w:kern w:val="2"/>
          <w:sz w:val="32"/>
          <w:szCs w:val="32"/>
          <w:lang w:eastAsia="zh-CN" w:bidi="ar-SA"/>
        </w:rPr>
        <w:t>一是</w:t>
      </w:r>
      <w:r>
        <w:rPr>
          <w:rFonts w:hint="eastAsia" w:ascii="仿宋_GB2312" w:hAnsi="仿宋_GB2312" w:eastAsia="仿宋_GB2312" w:cs="仿宋_GB2312"/>
          <w:b/>
          <w:bCs/>
          <w:kern w:val="2"/>
          <w:sz w:val="32"/>
          <w:szCs w:val="32"/>
          <w:lang w:val="en-US" w:eastAsia="zh-CN" w:bidi="ar-SA"/>
        </w:rPr>
        <w:t>打造公平竞争市场环境。</w:t>
      </w:r>
      <w:r>
        <w:rPr>
          <w:rFonts w:hint="eastAsia" w:ascii="仿宋_GB2312" w:hAnsi="仿宋_GB2312" w:eastAsia="仿宋_GB2312" w:cs="仿宋_GB2312"/>
          <w:kern w:val="2"/>
          <w:sz w:val="32"/>
          <w:szCs w:val="32"/>
          <w:lang w:val="en-US" w:eastAsia="zh-CN" w:bidi="ar-SA"/>
        </w:rPr>
        <w:t>开展公平竞争审查，芦淞区20个成员单位完成相关数据清理审查工作；开展了对区财政局、教育局采购等领域专项公平竞争审查第三方评估工作。</w:t>
      </w:r>
      <w:r>
        <w:rPr>
          <w:rFonts w:hint="eastAsia" w:ascii="仿宋_GB2312" w:hAnsi="仿宋_GB2312" w:eastAsia="仿宋_GB2312" w:cs="仿宋_GB2312"/>
          <w:b/>
          <w:bCs/>
          <w:kern w:val="2"/>
          <w:sz w:val="32"/>
          <w:szCs w:val="32"/>
          <w:lang w:val="en-US" w:eastAsia="zh-CN" w:bidi="ar-SA"/>
        </w:rPr>
        <w:t>二是打造放心消费环境。</w:t>
      </w:r>
      <w:r>
        <w:rPr>
          <w:rFonts w:hint="eastAsia" w:ascii="仿宋_GB2312" w:hAnsi="仿宋_GB2312" w:eastAsia="仿宋_GB2312" w:cs="仿宋_GB2312"/>
          <w:kern w:val="2"/>
          <w:sz w:val="32"/>
          <w:szCs w:val="32"/>
          <w:lang w:val="en-US" w:eastAsia="zh-CN" w:bidi="ar-SA"/>
        </w:rPr>
        <w:t>共受理投诉举报13012件，发展放心消费创建示范单位257户，树立示范标杆，构筑起坚实的消费维权防线。</w:t>
      </w:r>
      <w:r>
        <w:rPr>
          <w:rFonts w:hint="eastAsia" w:ascii="仿宋_GB2312" w:hAnsi="仿宋_GB2312" w:eastAsia="仿宋_GB2312" w:cs="仿宋_GB2312"/>
          <w:b/>
          <w:bCs/>
          <w:kern w:val="2"/>
          <w:sz w:val="32"/>
          <w:szCs w:val="32"/>
          <w:lang w:val="en-US" w:eastAsia="zh-CN" w:bidi="ar-SA"/>
        </w:rPr>
        <w:t>三是打造严格规范法治环境。</w:t>
      </w:r>
      <w:r>
        <w:rPr>
          <w:rFonts w:hint="eastAsia" w:ascii="仿宋_GB2312" w:hAnsi="仿宋_GB2312" w:eastAsia="仿宋_GB2312" w:cs="仿宋_GB2312"/>
          <w:kern w:val="2"/>
          <w:sz w:val="32"/>
          <w:szCs w:val="32"/>
          <w:lang w:val="en-US" w:eastAsia="zh-CN" w:bidi="ar-SA"/>
        </w:rPr>
        <w:t>开展“年关守护（2024）”、民生领域铁拳行动等专项行动，加大案件查办力度，截至11月底，办理各类案件182起。</w:t>
      </w:r>
    </w:p>
    <w:p w14:paraId="5060A40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rPr>
        <w:t>效益指标</w:t>
      </w:r>
    </w:p>
    <w:p w14:paraId="276B8CA8">
      <w:pPr>
        <w:pStyle w:val="4"/>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cs="Times New Roman"/>
          <w:color w:val="000000"/>
          <w:highlight w:val="none"/>
        </w:rPr>
      </w:pPr>
      <w:r>
        <w:rPr>
          <w:rFonts w:hint="default" w:ascii="Times New Roman" w:hAnsi="Times New Roman" w:cs="Times New Roman"/>
          <w:color w:val="000000"/>
          <w:highlight w:val="none"/>
        </w:rPr>
        <w:t>202</w:t>
      </w:r>
      <w:r>
        <w:rPr>
          <w:rFonts w:hint="eastAsia" w:ascii="Times New Roman" w:hAnsi="Times New Roman" w:cs="Times New Roman"/>
          <w:color w:val="000000"/>
          <w:highlight w:val="none"/>
          <w:lang w:val="en-US" w:eastAsia="zh-CN"/>
        </w:rPr>
        <w:t>4</w:t>
      </w:r>
      <w:r>
        <w:rPr>
          <w:rFonts w:hint="default" w:ascii="Times New Roman" w:hAnsi="Times New Roman" w:cs="Times New Roman"/>
          <w:color w:val="000000"/>
          <w:highlight w:val="none"/>
        </w:rPr>
        <w:t>年</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在我中心的努力下</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芦淞区营商环境逐步优化</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全面提升民众维护营商环境的思想意识</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社会效益得以显现。</w:t>
      </w:r>
    </w:p>
    <w:p w14:paraId="2C1F88AA">
      <w:pPr>
        <w:pStyle w:val="4"/>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default" w:ascii="Times New Roman" w:hAnsi="Times New Roman" w:eastAsia="仿宋_GB2312" w:cs="Times New Roman"/>
          <w:b/>
          <w:bCs/>
          <w:color w:val="000000"/>
          <w:highlight w:val="none"/>
          <w:lang w:eastAsia="zh-CN"/>
        </w:rPr>
      </w:pPr>
      <w:r>
        <w:rPr>
          <w:rFonts w:hint="default" w:ascii="Times New Roman" w:hAnsi="Times New Roman" w:cs="Times New Roman"/>
          <w:b/>
          <w:bCs/>
          <w:color w:val="000000"/>
          <w:highlight w:val="none"/>
          <w:lang w:val="en-US" w:eastAsia="zh-CN"/>
        </w:rPr>
        <w:t>3.</w:t>
      </w:r>
      <w:r>
        <w:rPr>
          <w:rFonts w:hint="default" w:ascii="Times New Roman" w:hAnsi="Times New Roman" w:cs="Times New Roman"/>
          <w:b/>
          <w:bCs/>
          <w:color w:val="000000"/>
          <w:highlight w:val="none"/>
        </w:rPr>
        <w:t>满意度指标</w:t>
      </w:r>
    </w:p>
    <w:p w14:paraId="5D978F13">
      <w:pPr>
        <w:pStyle w:val="4"/>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cs="Times New Roman"/>
          <w:color w:val="000000"/>
          <w:highlight w:val="none"/>
        </w:rPr>
        <w:t>202</w:t>
      </w:r>
      <w:r>
        <w:rPr>
          <w:rFonts w:hint="eastAsia" w:ascii="Times New Roman" w:hAnsi="Times New Roman" w:cs="Times New Roman"/>
          <w:color w:val="000000"/>
          <w:highlight w:val="none"/>
          <w:lang w:val="en-US" w:eastAsia="zh-CN"/>
        </w:rPr>
        <w:t>4</w:t>
      </w:r>
      <w:r>
        <w:rPr>
          <w:rFonts w:hint="default" w:ascii="Times New Roman" w:hAnsi="Times New Roman" w:cs="Times New Roman"/>
          <w:color w:val="000000"/>
          <w:highlight w:val="none"/>
        </w:rPr>
        <w:t>年</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我中心立足于本职工作</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在省市区的各项活动中取得了较好的成绩</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社会满意度90%以上。</w:t>
      </w:r>
    </w:p>
    <w:p w14:paraId="2E5D5B38">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30C43032">
      <w:pPr>
        <w:pStyle w:val="7"/>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营商环境评价</w:t>
      </w:r>
      <w:r>
        <w:rPr>
          <w:rFonts w:hint="default" w:ascii="Times New Roman" w:hAnsi="Times New Roman" w:eastAsia="仿宋_GB2312" w:cs="Times New Roman"/>
          <w:color w:val="auto"/>
          <w:kern w:val="2"/>
          <w:sz w:val="32"/>
          <w:szCs w:val="32"/>
          <w:highlight w:val="none"/>
          <w:lang w:val="en-US" w:eastAsia="zh-CN" w:bidi="ar-SA"/>
        </w:rPr>
        <w:t>项目支出</w:t>
      </w:r>
      <w:r>
        <w:rPr>
          <w:rFonts w:hint="eastAsia" w:eastAsia="仿宋"/>
          <w:color w:val="auto"/>
          <w:sz w:val="32"/>
          <w:szCs w:val="32"/>
          <w:lang w:val="en-US" w:eastAsia="zh-CN"/>
        </w:rPr>
        <w:t>6.53</w:t>
      </w:r>
      <w:r>
        <w:rPr>
          <w:rFonts w:hint="default" w:ascii="Times New Roman" w:hAnsi="Times New Roman" w:eastAsia="仿宋_GB2312" w:cs="Times New Roman"/>
          <w:color w:val="auto"/>
          <w:kern w:val="2"/>
          <w:sz w:val="32"/>
          <w:szCs w:val="32"/>
          <w:highlight w:val="none"/>
          <w:lang w:val="en-US" w:eastAsia="zh-CN" w:bidi="ar-SA"/>
        </w:rPr>
        <w:t>万元。</w:t>
      </w:r>
    </w:p>
    <w:p w14:paraId="34C84C78">
      <w:pPr>
        <w:pStyle w:val="7"/>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70F0A80F">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cs="Times New Roman"/>
          <w:highlight w:val="none"/>
        </w:rPr>
      </w:pPr>
      <w:r>
        <w:rPr>
          <w:rFonts w:hint="default" w:ascii="Times New Roman" w:hAnsi="Times New Roman" w:eastAsia="仿宋_GB2312" w:cs="Times New Roman"/>
          <w:b w:val="0"/>
          <w:bCs/>
          <w:sz w:val="32"/>
          <w:szCs w:val="32"/>
          <w:highlight w:val="none"/>
        </w:rPr>
        <w:t>预算编制不够科学</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合理。</w:t>
      </w:r>
      <w:r>
        <w:rPr>
          <w:rFonts w:hint="default" w:ascii="Times New Roman" w:hAnsi="Times New Roman" w:eastAsia="仿宋_GB2312" w:cs="Times New Roman"/>
          <w:bCs/>
          <w:sz w:val="32"/>
          <w:szCs w:val="32"/>
          <w:highlight w:val="none"/>
        </w:rPr>
        <w:t>对预算编制制定的绩效目标不够合理</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各项指标的设置需进一步优化</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将工作计划和工作成效科学</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合理体现出来。</w:t>
      </w:r>
    </w:p>
    <w:p w14:paraId="33BF66D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2273D77B">
      <w:pPr>
        <w:pStyle w:val="4"/>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cs="Times New Roman"/>
          <w:highlight w:val="none"/>
        </w:rPr>
      </w:pPr>
      <w:r>
        <w:rPr>
          <w:rFonts w:hint="default" w:ascii="Times New Roman" w:hAnsi="Times New Roman" w:cs="Times New Roman"/>
          <w:highlight w:val="none"/>
        </w:rPr>
        <w:t>严格按照区委区政府要求</w:t>
      </w:r>
      <w:r>
        <w:rPr>
          <w:rFonts w:hint="default" w:ascii="Times New Roman" w:hAnsi="Times New Roman" w:cs="Times New Roman"/>
          <w:highlight w:val="none"/>
          <w:lang w:eastAsia="zh-CN"/>
        </w:rPr>
        <w:t>，</w:t>
      </w:r>
      <w:r>
        <w:rPr>
          <w:rFonts w:hint="default" w:ascii="Times New Roman" w:hAnsi="Times New Roman" w:cs="Times New Roman"/>
          <w:highlight w:val="none"/>
        </w:rPr>
        <w:t>结合我中心实际情况</w:t>
      </w:r>
      <w:r>
        <w:rPr>
          <w:rFonts w:hint="default" w:ascii="Times New Roman" w:hAnsi="Times New Roman" w:cs="Times New Roman"/>
          <w:highlight w:val="none"/>
          <w:lang w:eastAsia="zh-CN"/>
        </w:rPr>
        <w:t>，</w:t>
      </w:r>
      <w:r>
        <w:rPr>
          <w:rFonts w:hint="default" w:ascii="Times New Roman" w:hAnsi="Times New Roman" w:cs="Times New Roman"/>
          <w:highlight w:val="none"/>
        </w:rPr>
        <w:t>参考上一年预算执行情况</w:t>
      </w:r>
      <w:r>
        <w:rPr>
          <w:rFonts w:hint="default" w:ascii="Times New Roman" w:hAnsi="Times New Roman" w:cs="Times New Roman"/>
          <w:highlight w:val="none"/>
          <w:lang w:eastAsia="zh-CN"/>
        </w:rPr>
        <w:t>，</w:t>
      </w:r>
      <w:r>
        <w:rPr>
          <w:rFonts w:hint="default" w:ascii="Times New Roman" w:hAnsi="Times New Roman" w:cs="Times New Roman"/>
          <w:highlight w:val="none"/>
        </w:rPr>
        <w:t>有关支出和本年度收支预测</w:t>
      </w:r>
      <w:r>
        <w:rPr>
          <w:rFonts w:hint="default" w:ascii="Times New Roman" w:hAnsi="Times New Roman" w:cs="Times New Roman"/>
          <w:highlight w:val="none"/>
          <w:lang w:eastAsia="zh-CN"/>
        </w:rPr>
        <w:t>，</w:t>
      </w:r>
      <w:r>
        <w:rPr>
          <w:rFonts w:hint="default" w:ascii="Times New Roman" w:hAnsi="Times New Roman" w:cs="Times New Roman"/>
          <w:highlight w:val="none"/>
        </w:rPr>
        <w:t>严格按照有关程序</w:t>
      </w:r>
      <w:r>
        <w:rPr>
          <w:rFonts w:hint="default" w:ascii="Times New Roman" w:hAnsi="Times New Roman" w:cs="Times New Roman"/>
          <w:highlight w:val="none"/>
          <w:lang w:eastAsia="zh-CN"/>
        </w:rPr>
        <w:t>，</w:t>
      </w:r>
      <w:r>
        <w:rPr>
          <w:rFonts w:hint="default" w:ascii="Times New Roman" w:hAnsi="Times New Roman" w:cs="Times New Roman"/>
          <w:highlight w:val="none"/>
        </w:rPr>
        <w:t>科学</w:t>
      </w:r>
      <w:r>
        <w:rPr>
          <w:rFonts w:hint="default" w:ascii="Times New Roman" w:hAnsi="Times New Roman" w:cs="Times New Roman"/>
          <w:highlight w:val="none"/>
          <w:lang w:eastAsia="zh-CN"/>
        </w:rPr>
        <w:t>、</w:t>
      </w:r>
      <w:r>
        <w:rPr>
          <w:rFonts w:hint="default" w:ascii="Times New Roman" w:hAnsi="Times New Roman" w:cs="Times New Roman"/>
          <w:highlight w:val="none"/>
        </w:rPr>
        <w:t>合理的制定预算编制</w:t>
      </w:r>
      <w:r>
        <w:rPr>
          <w:rFonts w:hint="default" w:ascii="Times New Roman" w:hAnsi="Times New Roman" w:cs="Times New Roman"/>
          <w:highlight w:val="none"/>
          <w:lang w:eastAsia="zh-CN"/>
        </w:rPr>
        <w:t>，</w:t>
      </w:r>
      <w:r>
        <w:rPr>
          <w:rFonts w:hint="default" w:ascii="Times New Roman" w:hAnsi="Times New Roman" w:cs="Times New Roman"/>
          <w:highlight w:val="none"/>
        </w:rPr>
        <w:t>并遵照执行。</w:t>
      </w:r>
    </w:p>
    <w:p w14:paraId="6C6E40E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绩效自评结果拟应用和公开情况</w:t>
      </w:r>
    </w:p>
    <w:p w14:paraId="24A9816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本次评价结果将运用于来年预算编制，为来年预算编制提供重要参考。并且，自评结果将做为本单位财政资金管理和预算执行的重要依据，强化预算绩效管理。本单位无独立网站，此次自评结果将于决算报表一起在芦淞区政府官网上一并公开，接受社会监督。</w:t>
      </w:r>
    </w:p>
    <w:p w14:paraId="596A5DE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36B3EB4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无。</w:t>
      </w:r>
    </w:p>
    <w:p w14:paraId="7DCF17A7">
      <w:pPr>
        <w:spacing w:line="600" w:lineRule="exact"/>
        <w:ind w:firstLine="640" w:firstLineChars="200"/>
        <w:rPr>
          <w:rFonts w:eastAsia="仿宋_GB2312"/>
          <w:sz w:val="32"/>
          <w:szCs w:val="32"/>
        </w:rPr>
      </w:pPr>
    </w:p>
    <w:p w14:paraId="09CC7730">
      <w:pPr>
        <w:spacing w:line="600" w:lineRule="exact"/>
        <w:rPr>
          <w:rFonts w:eastAsia="仿宋_GB2312"/>
          <w:kern w:val="0"/>
          <w:sz w:val="32"/>
          <w:szCs w:val="32"/>
        </w:rPr>
      </w:pPr>
    </w:p>
    <w:p w14:paraId="045EC994">
      <w:r>
        <w:rPr>
          <w:rFonts w:eastAsia="黑体"/>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7A336E"/>
    <w:multiLevelType w:val="singleLevel"/>
    <w:tmpl w:val="E87A336E"/>
    <w:lvl w:ilvl="0" w:tentative="0">
      <w:start w:val="3"/>
      <w:numFmt w:val="chineseCounting"/>
      <w:suff w:val="nothing"/>
      <w:lvlText w:val="%1、"/>
      <w:lvlJc w:val="left"/>
      <w:rPr>
        <w:rFonts w:hint="eastAsia"/>
      </w:rPr>
    </w:lvl>
  </w:abstractNum>
  <w:abstractNum w:abstractNumId="1">
    <w:nsid w:val="1BF10FF9"/>
    <w:multiLevelType w:val="singleLevel"/>
    <w:tmpl w:val="1BF10FF9"/>
    <w:lvl w:ilvl="0" w:tentative="0">
      <w:start w:val="2"/>
      <w:numFmt w:val="decimal"/>
      <w:suff w:val="nothing"/>
      <w:lvlText w:val="（%1）"/>
      <w:lvlJc w:val="left"/>
    </w:lvl>
  </w:abstractNum>
  <w:abstractNum w:abstractNumId="2">
    <w:nsid w:val="428DFF77"/>
    <w:multiLevelType w:val="singleLevel"/>
    <w:tmpl w:val="428DFF77"/>
    <w:lvl w:ilvl="0" w:tentative="0">
      <w:start w:val="8"/>
      <w:numFmt w:val="chineseCounting"/>
      <w:suff w:val="nothing"/>
      <w:lvlText w:val="%1、"/>
      <w:lvlJc w:val="left"/>
      <w:rPr>
        <w:rFonts w:hint="eastAsia"/>
      </w:rPr>
    </w:lvl>
  </w:abstractNum>
  <w:abstractNum w:abstractNumId="3">
    <w:nsid w:val="4890FF15"/>
    <w:multiLevelType w:val="singleLevel"/>
    <w:tmpl w:val="4890FF15"/>
    <w:lvl w:ilvl="0" w:tentative="0">
      <w:start w:val="2"/>
      <w:numFmt w:val="chineseCounting"/>
      <w:suff w:val="nothing"/>
      <w:lvlText w:val="（%1）"/>
      <w:lvlJc w:val="left"/>
      <w:rPr>
        <w:rFonts w:hint="eastAsia"/>
      </w:rPr>
    </w:lvl>
  </w:abstractNum>
  <w:abstractNum w:abstractNumId="4">
    <w:nsid w:val="59FAFEEC"/>
    <w:multiLevelType w:val="singleLevel"/>
    <w:tmpl w:val="59FAFEEC"/>
    <w:lvl w:ilvl="0" w:tentative="0">
      <w:start w:val="2"/>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467E8F"/>
    <w:rsid w:val="146C1DD9"/>
    <w:rsid w:val="14BF24DE"/>
    <w:rsid w:val="14CC54C7"/>
    <w:rsid w:val="14DD5FD7"/>
    <w:rsid w:val="14E33844"/>
    <w:rsid w:val="14EA23A8"/>
    <w:rsid w:val="15A27FE2"/>
    <w:rsid w:val="1627453B"/>
    <w:rsid w:val="16DB583D"/>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9954F5"/>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 w:type="paragraph" w:styleId="3">
    <w:name w:val="Body Text Indent"/>
    <w:basedOn w:val="1"/>
    <w:unhideWhenUsed/>
    <w:qFormat/>
    <w:uiPriority w:val="99"/>
    <w:pPr>
      <w:spacing w:after="120"/>
      <w:ind w:left="420" w:leftChars="200"/>
    </w:pPr>
  </w:style>
  <w:style w:type="paragraph" w:styleId="4">
    <w:name w:val="Body Text First Indent 2"/>
    <w:basedOn w:val="3"/>
    <w:qFormat/>
    <w:uiPriority w:val="0"/>
    <w:pPr>
      <w:spacing w:after="0"/>
      <w:ind w:left="0" w:leftChars="0" w:firstLine="420" w:firstLineChars="200"/>
    </w:pPr>
    <w:rPr>
      <w:rFonts w:eastAsia="仿宋_GB2312"/>
      <w:sz w:val="32"/>
      <w:szCs w:val="32"/>
    </w:rPr>
  </w:style>
  <w:style w:type="paragraph" w:styleId="7">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1744</Words>
  <Characters>1882</Characters>
  <Lines>0</Lines>
  <Paragraphs>0</Paragraphs>
  <TotalTime>3</TotalTime>
  <ScaleCrop>false</ScaleCrop>
  <LinksUpToDate>false</LinksUpToDate>
  <CharactersWithSpaces>1892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2026-01-27T07:40:03Z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19EBC8B606314EE89FCE718C90BDFE27_13</vt:lpwstr>
  </property>
  <property fmtid="{D5CDD505-2E9C-101B-9397-08002B2CF9AE}" pid="4" name="KSOTemplateDocerSaveRecord">
    <vt:lpwstr>eyJoZGlkIjoiNmU1NmM2ZGM4NDdkMWM2YmI5OTZjZTk1MDI3NzdiZjgiLCJ1c2VySWQiOiIxMDgzOTY3MzUwIn0=</vt:lpwstr>
  </property>
</Properties>
</file>