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575EB">
      <w:pPr>
        <w:pStyle w:val="10"/>
        <w:jc w:val="center"/>
        <w:rPr>
          <w:rFonts w:hint="eastAsia" w:ascii="宋体" w:hAnsi="宋体"/>
          <w:sz w:val="44"/>
          <w:szCs w:val="44"/>
        </w:rPr>
      </w:pPr>
      <w:r>
        <w:rPr>
          <w:rFonts w:hint="eastAsia" w:ascii="宋体" w:hAnsi="宋体"/>
          <w:sz w:val="44"/>
          <w:szCs w:val="44"/>
        </w:rPr>
        <w:t>2024年度中国共产党株洲市芦淞区</w:t>
      </w:r>
    </w:p>
    <w:p w14:paraId="789C68CC">
      <w:pPr>
        <w:pStyle w:val="10"/>
        <w:jc w:val="center"/>
        <w:rPr>
          <w:rFonts w:hint="eastAsia" w:ascii="宋体" w:hAnsi="宋体" w:eastAsia="黑体" w:cs="黑体"/>
          <w:color w:val="000000"/>
          <w:kern w:val="0"/>
          <w:sz w:val="44"/>
          <w:szCs w:val="44"/>
          <w:lang w:val="en-US" w:eastAsia="zh-CN" w:bidi="ar-SA"/>
        </w:rPr>
      </w:pPr>
      <w:r>
        <w:rPr>
          <w:rFonts w:hint="eastAsia" w:ascii="宋体" w:hAnsi="宋体"/>
          <w:sz w:val="44"/>
          <w:szCs w:val="44"/>
        </w:rPr>
        <w:t>政法委员会</w:t>
      </w:r>
      <w:r>
        <w:rPr>
          <w:rFonts w:hint="eastAsia" w:ascii="宋体" w:hAnsi="宋体" w:eastAsia="黑体" w:cs="黑体"/>
          <w:color w:val="000000"/>
          <w:kern w:val="0"/>
          <w:sz w:val="44"/>
          <w:szCs w:val="44"/>
          <w:lang w:val="en-US" w:eastAsia="zh-CN" w:bidi="ar-SA"/>
        </w:rPr>
        <w:t>整体支出绩效自评报告</w:t>
      </w:r>
    </w:p>
    <w:p w14:paraId="4B9FEF70">
      <w:pPr>
        <w:jc w:val="center"/>
        <w:rPr>
          <w:rFonts w:hint="eastAsia" w:ascii="宋体" w:hAnsi="宋体" w:eastAsia="黑体" w:cs="黑体"/>
          <w:color w:val="000000"/>
          <w:kern w:val="0"/>
          <w:sz w:val="44"/>
          <w:szCs w:val="44"/>
          <w:lang w:val="en-US" w:eastAsia="zh-CN" w:bidi="ar-SA"/>
        </w:rPr>
      </w:pPr>
    </w:p>
    <w:p w14:paraId="6C6B1CAF">
      <w:pPr>
        <w:jc w:val="center"/>
        <w:rPr>
          <w:rFonts w:hint="eastAsia" w:ascii="宋体" w:hAnsi="宋体" w:eastAsia="黑体" w:cs="黑体"/>
          <w:color w:val="000000"/>
          <w:kern w:val="0"/>
          <w:sz w:val="44"/>
          <w:szCs w:val="44"/>
          <w:lang w:val="en-US" w:eastAsia="zh-CN" w:bidi="ar-SA"/>
        </w:rPr>
      </w:pPr>
    </w:p>
    <w:p w14:paraId="1E911268">
      <w:pPr>
        <w:jc w:val="center"/>
        <w:rPr>
          <w:rFonts w:eastAsia="黑体"/>
          <w:sz w:val="32"/>
          <w:szCs w:val="32"/>
        </w:rPr>
      </w:pPr>
    </w:p>
    <w:p w14:paraId="20A887B1">
      <w:pPr>
        <w:jc w:val="center"/>
        <w:rPr>
          <w:rFonts w:eastAsia="黑体"/>
          <w:sz w:val="32"/>
          <w:szCs w:val="32"/>
        </w:rPr>
      </w:pPr>
    </w:p>
    <w:p w14:paraId="1226DC1A">
      <w:pPr>
        <w:jc w:val="center"/>
        <w:rPr>
          <w:rFonts w:eastAsia="黑体"/>
          <w:sz w:val="32"/>
          <w:szCs w:val="32"/>
        </w:rPr>
      </w:pPr>
    </w:p>
    <w:p w14:paraId="2EA258CF">
      <w:pPr>
        <w:jc w:val="center"/>
        <w:rPr>
          <w:rFonts w:eastAsia="黑体"/>
          <w:sz w:val="32"/>
          <w:szCs w:val="32"/>
        </w:rPr>
      </w:pPr>
    </w:p>
    <w:p w14:paraId="02092791">
      <w:pPr>
        <w:jc w:val="center"/>
        <w:rPr>
          <w:rFonts w:eastAsia="黑体"/>
          <w:sz w:val="32"/>
          <w:szCs w:val="32"/>
        </w:rPr>
      </w:pPr>
    </w:p>
    <w:p w14:paraId="10BCA677">
      <w:pPr>
        <w:ind w:firstLine="880" w:firstLineChars="200"/>
        <w:jc w:val="center"/>
        <w:rPr>
          <w:rFonts w:eastAsia="黑体"/>
          <w:sz w:val="44"/>
          <w:szCs w:val="44"/>
        </w:rPr>
      </w:pPr>
    </w:p>
    <w:p w14:paraId="617D2221">
      <w:pPr>
        <w:ind w:firstLine="360" w:firstLineChars="100"/>
        <w:jc w:val="both"/>
        <w:rPr>
          <w:rFonts w:hint="eastAsia" w:eastAsia="黑体"/>
          <w:sz w:val="36"/>
          <w:szCs w:val="36"/>
          <w:lang w:val="en-US" w:eastAsia="zh-CN"/>
        </w:rPr>
      </w:pPr>
      <w:r>
        <w:rPr>
          <w:rFonts w:hint="eastAsia" w:eastAsia="黑体"/>
          <w:sz w:val="36"/>
          <w:szCs w:val="36"/>
          <w:lang w:eastAsia="zh-CN"/>
        </w:rPr>
        <w:t>单位</w:t>
      </w:r>
      <w:r>
        <w:rPr>
          <w:rFonts w:eastAsia="黑体"/>
          <w:sz w:val="36"/>
          <w:szCs w:val="36"/>
        </w:rPr>
        <w:t>名称：</w:t>
      </w:r>
      <w:r>
        <w:rPr>
          <w:rFonts w:hint="eastAsia" w:eastAsia="黑体"/>
          <w:sz w:val="36"/>
          <w:szCs w:val="36"/>
          <w:lang w:eastAsia="zh-CN"/>
        </w:rPr>
        <w:t>中国共产党株洲市芦淞区委政法委员会</w:t>
      </w:r>
    </w:p>
    <w:p w14:paraId="17BAC708">
      <w:pPr>
        <w:jc w:val="center"/>
        <w:rPr>
          <w:rFonts w:eastAsia="黑体"/>
          <w:sz w:val="32"/>
          <w:szCs w:val="32"/>
        </w:rPr>
      </w:pPr>
    </w:p>
    <w:p w14:paraId="783D2698">
      <w:pPr>
        <w:jc w:val="center"/>
        <w:rPr>
          <w:rFonts w:eastAsia="黑体"/>
          <w:sz w:val="32"/>
          <w:szCs w:val="32"/>
        </w:rPr>
      </w:pPr>
    </w:p>
    <w:p w14:paraId="447BC897">
      <w:pPr>
        <w:jc w:val="center"/>
        <w:rPr>
          <w:rFonts w:eastAsia="黑体"/>
          <w:sz w:val="32"/>
          <w:szCs w:val="32"/>
        </w:rPr>
      </w:pPr>
    </w:p>
    <w:p w14:paraId="3E142FFC">
      <w:pPr>
        <w:jc w:val="center"/>
        <w:rPr>
          <w:rFonts w:eastAsia="黑体"/>
          <w:sz w:val="32"/>
          <w:szCs w:val="32"/>
        </w:rPr>
      </w:pPr>
    </w:p>
    <w:p w14:paraId="7CDE9914">
      <w:pPr>
        <w:ind w:firstLine="1280" w:firstLineChars="400"/>
        <w:jc w:val="center"/>
        <w:rPr>
          <w:rFonts w:eastAsia="仿宋_GB2312"/>
          <w:sz w:val="32"/>
          <w:szCs w:val="32"/>
        </w:rPr>
      </w:pPr>
      <w:r>
        <w:rPr>
          <w:rFonts w:eastAsia="仿宋_GB2312"/>
          <w:sz w:val="32"/>
          <w:szCs w:val="32"/>
        </w:rPr>
        <w:t>（此页为封面）</w:t>
      </w:r>
    </w:p>
    <w:p w14:paraId="74559056">
      <w:pPr>
        <w:jc w:val="center"/>
        <w:rPr>
          <w:rFonts w:eastAsia="仿宋_GB2312"/>
          <w:sz w:val="32"/>
          <w:szCs w:val="32"/>
        </w:rPr>
      </w:pPr>
    </w:p>
    <w:p w14:paraId="7303321C">
      <w:pPr>
        <w:spacing w:line="600" w:lineRule="exact"/>
        <w:rPr>
          <w:rFonts w:eastAsia="楷体_GB2312"/>
          <w:b/>
          <w:sz w:val="32"/>
          <w:szCs w:val="32"/>
        </w:rPr>
      </w:pPr>
      <w:r>
        <w:rPr>
          <w:rFonts w:eastAsia="仿宋_GB2312"/>
          <w:sz w:val="32"/>
          <w:szCs w:val="32"/>
        </w:rPr>
        <w:br w:type="page"/>
      </w:r>
      <w:r>
        <w:rPr>
          <w:rFonts w:eastAsia="楷体_GB2312"/>
          <w:b/>
          <w:sz w:val="32"/>
          <w:szCs w:val="32"/>
        </w:rPr>
        <w:t>（一）部门（单位）基本情况</w:t>
      </w:r>
    </w:p>
    <w:p w14:paraId="232EEC08">
      <w:pPr>
        <w:tabs>
          <w:tab w:val="left" w:pos="7560"/>
        </w:tabs>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一）机构设置</w:t>
      </w:r>
    </w:p>
    <w:p w14:paraId="710A40B8">
      <w:p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区委政法委设下列内设机构</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办公室、政治部、维稳指导室、综治督导室（专项行动办公室）、执法监督室。</w:t>
      </w:r>
    </w:p>
    <w:p w14:paraId="133F39D7">
      <w:pPr>
        <w:tabs>
          <w:tab w:val="left" w:pos="7560"/>
        </w:tabs>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二）人员情况</w:t>
      </w:r>
    </w:p>
    <w:p w14:paraId="42677F1D">
      <w:p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区委政法委行政编制10名。设书记1名，由区委常委兼任，副书记3名，政治部主任1名。</w:t>
      </w:r>
    </w:p>
    <w:p w14:paraId="03D9416E">
      <w:pPr>
        <w:tabs>
          <w:tab w:val="left" w:pos="7560"/>
        </w:tabs>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三）主要职能</w:t>
      </w:r>
    </w:p>
    <w:p w14:paraId="70358E52">
      <w:p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区委政法委的主要职责是：</w:t>
      </w:r>
    </w:p>
    <w:p w14:paraId="51399735">
      <w:p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000000"/>
          <w:sz w:val="32"/>
          <w:szCs w:val="32"/>
        </w:rPr>
        <w:t>深入贯彻习近平新时代中国特色社会主义思想，深入贯彻党的路线方针政策和决策部署，统一政法各部门思想和行动，坚持党对政法工作的绝对领导，坚决维护党中央权威和集中统一领导。</w:t>
      </w:r>
    </w:p>
    <w:p w14:paraId="74874F45">
      <w:p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000000"/>
          <w:sz w:val="32"/>
          <w:szCs w:val="32"/>
        </w:rPr>
        <w:t>深入贯彻党中央决定和省委、市委、区委决策，对全区政法工作研究提出全局性部署，推进平安芦淞、法治芦淞建设，加强过硬队伍建设，深化智能化建设，坚决维护国家政治安全、确保社会大局稳定、促进社会公平正义、保障人民安居乐业。</w:t>
      </w:r>
    </w:p>
    <w:p w14:paraId="5714EB79">
      <w:p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000000"/>
          <w:sz w:val="32"/>
          <w:szCs w:val="32"/>
        </w:rPr>
        <w:t>了解掌握和分析研判政法工作情况动态，分析社会稳定形势，创新完善多部门参与的综治维稳工作机制，协调推动预防、化解影响稳定的社会矛盾和风险，协调应对和处置重大突发事件，牵头开展涉疆服务管理工作。</w:t>
      </w:r>
    </w:p>
    <w:p w14:paraId="625D4607">
      <w:p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000000"/>
          <w:sz w:val="32"/>
          <w:szCs w:val="32"/>
        </w:rPr>
        <w:t>加强对政法工作的督查，统筹协调社会治安综合治理、维护社会稳定、反邪教有关法律法规政策的实施工作。</w:t>
      </w:r>
    </w:p>
    <w:p w14:paraId="06B9D98B">
      <w:p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5</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000000"/>
          <w:sz w:val="32"/>
          <w:szCs w:val="32"/>
        </w:rPr>
        <w:t>组织开展政法领域的调查研究，研究拟订政法工作的重要措施，及时向区委提出建议。</w:t>
      </w:r>
    </w:p>
    <w:p w14:paraId="4F7446F2">
      <w:p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6</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000000"/>
          <w:sz w:val="32"/>
          <w:szCs w:val="32"/>
        </w:rPr>
        <w:t>掌握分析政法舆情动态，指导协调政法部门媒体网络宣传工作，指导政法部门做好涉及政法工作的重大宣传工作。</w:t>
      </w:r>
    </w:p>
    <w:p w14:paraId="4640AC43">
      <w:p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7</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000000"/>
          <w:sz w:val="32"/>
          <w:szCs w:val="32"/>
        </w:rPr>
        <w:t>监督和支持政法各部门依法行使职权，指导和协调政法各部门密切配合，研究和协调重大、疑难案件，推进严格执法、公正司法。</w:t>
      </w:r>
    </w:p>
    <w:p w14:paraId="312AC3B0">
      <w:p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8</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000000"/>
          <w:sz w:val="32"/>
          <w:szCs w:val="32"/>
        </w:rPr>
        <w:t>组织研究政法改革中带有方向性、倾向性和普遍性的重大问题，深化政法改革。</w:t>
      </w:r>
    </w:p>
    <w:p w14:paraId="005FE84A">
      <w:p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9</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000000"/>
          <w:sz w:val="32"/>
          <w:szCs w:val="32"/>
        </w:rPr>
        <w:t>指导推动政法系统党的建设和政法队伍建设。</w:t>
      </w:r>
    </w:p>
    <w:p w14:paraId="1BE03332">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rPr>
        <w:t>10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000000"/>
          <w:sz w:val="32"/>
          <w:szCs w:val="32"/>
        </w:rPr>
        <w:t>完成区委交办的其他任务。</w:t>
      </w:r>
    </w:p>
    <w:p w14:paraId="4146C4F2">
      <w:pPr>
        <w:pStyle w:val="9"/>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7E3B9A0F">
      <w:pPr>
        <w:pStyle w:val="9"/>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14:paraId="2E738CD9">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1、2024年度财政拨款支出年初预算数为</w:t>
      </w:r>
      <w:r>
        <w:rPr>
          <w:rFonts w:hint="eastAsia" w:eastAsia="仿宋_GB2312" w:cs="Times New Roman"/>
          <w:kern w:val="2"/>
          <w:sz w:val="32"/>
          <w:szCs w:val="32"/>
          <w:lang w:val="en-US" w:eastAsia="zh-CN" w:bidi="ar-SA"/>
        </w:rPr>
        <w:t>379.04</w:t>
      </w:r>
      <w:r>
        <w:rPr>
          <w:rFonts w:hint="eastAsia" w:ascii="Times New Roman" w:hAnsi="Times New Roman" w:eastAsia="仿宋_GB2312" w:cs="Times New Roman"/>
          <w:kern w:val="2"/>
          <w:sz w:val="32"/>
          <w:szCs w:val="32"/>
          <w:lang w:val="en-US" w:eastAsia="zh-CN" w:bidi="ar-SA"/>
        </w:rPr>
        <w:t>万元</w:t>
      </w:r>
    </w:p>
    <w:p w14:paraId="11B6B15E">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2、2024年度一般公共预算财政拨款收入377.</w:t>
      </w:r>
      <w:r>
        <w:rPr>
          <w:rFonts w:hint="eastAsia" w:eastAsia="仿宋_GB2312" w:cs="Times New Roman"/>
          <w:kern w:val="2"/>
          <w:sz w:val="32"/>
          <w:szCs w:val="32"/>
          <w:lang w:val="en-US" w:eastAsia="zh-CN" w:bidi="ar-SA"/>
        </w:rPr>
        <w:t>88</w:t>
      </w:r>
      <w:r>
        <w:rPr>
          <w:rFonts w:hint="eastAsia" w:ascii="Times New Roman" w:hAnsi="Times New Roman" w:eastAsia="仿宋_GB2312" w:cs="Times New Roman"/>
          <w:kern w:val="2"/>
          <w:sz w:val="32"/>
          <w:szCs w:val="32"/>
          <w:lang w:val="en-US" w:eastAsia="zh-CN" w:bidi="ar-SA"/>
        </w:rPr>
        <w:t>万元</w:t>
      </w:r>
    </w:p>
    <w:p w14:paraId="2C204D2D">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2024年度支出合计377.32万元，其中：基本支出236.6</w:t>
      </w:r>
      <w:r>
        <w:rPr>
          <w:rFonts w:hint="eastAsia" w:eastAsia="仿宋_GB2312" w:cs="Times New Roman"/>
          <w:kern w:val="2"/>
          <w:sz w:val="32"/>
          <w:szCs w:val="32"/>
          <w:lang w:val="en-US" w:eastAsia="zh-CN" w:bidi="ar-SA"/>
        </w:rPr>
        <w:t>0</w:t>
      </w:r>
      <w:r>
        <w:rPr>
          <w:rFonts w:hint="eastAsia" w:ascii="Times New Roman" w:hAnsi="Times New Roman" w:eastAsia="仿宋_GB2312" w:cs="Times New Roman"/>
          <w:kern w:val="2"/>
          <w:sz w:val="32"/>
          <w:szCs w:val="32"/>
          <w:lang w:val="en-US" w:eastAsia="zh-CN" w:bidi="ar-SA"/>
        </w:rPr>
        <w:t>万元；项目支出140.7</w:t>
      </w:r>
      <w:r>
        <w:rPr>
          <w:rFonts w:hint="eastAsia"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万元；其中：人员经费196.66万元，公用经费39.94万元。</w:t>
      </w:r>
    </w:p>
    <w:p w14:paraId="7B3BB565">
      <w:pPr>
        <w:pStyle w:val="9"/>
        <w:numPr>
          <w:ilvl w:val="0"/>
          <w:numId w:val="1"/>
        </w:numPr>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项目支出情况</w:t>
      </w:r>
      <w:r>
        <w:rPr>
          <w:rFonts w:hint="eastAsia" w:ascii="Times New Roman" w:hAnsi="Times New Roman" w:eastAsia="楷体_GB2312"/>
          <w:b/>
          <w:sz w:val="32"/>
          <w:szCs w:val="32"/>
          <w:lang w:val="en-US" w:eastAsia="zh-CN"/>
        </w:rPr>
        <w:t>:支出140.72万元</w:t>
      </w:r>
    </w:p>
    <w:p w14:paraId="62B86F79">
      <w:pPr>
        <w:pStyle w:val="9"/>
        <w:numPr>
          <w:ilvl w:val="0"/>
          <w:numId w:val="2"/>
        </w:numPr>
        <w:spacing w:line="600" w:lineRule="exact"/>
        <w:ind w:firstLine="640"/>
        <w:rPr>
          <w:rFonts w:hint="eastAsia" w:ascii="Times New Roman" w:hAnsi="Times New Roman" w:eastAsia="仿宋"/>
          <w:sz w:val="32"/>
          <w:szCs w:val="32"/>
        </w:rPr>
      </w:pPr>
      <w:r>
        <w:rPr>
          <w:rFonts w:hint="eastAsia" w:ascii="Times New Roman" w:hAnsi="Times New Roman" w:eastAsia="仿宋"/>
          <w:sz w:val="32"/>
          <w:szCs w:val="32"/>
          <w:lang w:eastAsia="zh-CN"/>
        </w:rPr>
        <w:t>雪亮工程</w:t>
      </w:r>
      <w:r>
        <w:rPr>
          <w:rFonts w:hint="eastAsia" w:ascii="Times New Roman" w:hAnsi="Times New Roman" w:eastAsia="仿宋"/>
          <w:sz w:val="32"/>
          <w:szCs w:val="32"/>
        </w:rPr>
        <w:t>项目支出</w:t>
      </w:r>
      <w:r>
        <w:rPr>
          <w:rFonts w:hint="eastAsia" w:ascii="Times New Roman" w:hAnsi="Times New Roman" w:eastAsia="仿宋"/>
          <w:sz w:val="32"/>
          <w:szCs w:val="32"/>
          <w:lang w:val="en-US" w:eastAsia="zh-CN"/>
        </w:rPr>
        <w:t>56.18</w:t>
      </w:r>
      <w:r>
        <w:rPr>
          <w:rFonts w:hint="eastAsia" w:ascii="Times New Roman" w:hAnsi="Times New Roman" w:eastAsia="仿宋"/>
          <w:sz w:val="32"/>
          <w:szCs w:val="32"/>
        </w:rPr>
        <w:t>万元；</w:t>
      </w:r>
    </w:p>
    <w:p w14:paraId="4F4FE196">
      <w:pPr>
        <w:pStyle w:val="9"/>
        <w:numPr>
          <w:ilvl w:val="0"/>
          <w:numId w:val="2"/>
        </w:numPr>
        <w:spacing w:line="600" w:lineRule="exact"/>
        <w:ind w:firstLine="640"/>
        <w:rPr>
          <w:rFonts w:ascii="Times New Roman" w:hAnsi="Times New Roman" w:eastAsia="仿宋"/>
          <w:sz w:val="32"/>
          <w:szCs w:val="32"/>
        </w:rPr>
      </w:pPr>
      <w:r>
        <w:rPr>
          <w:rFonts w:hint="eastAsia" w:ascii="Times New Roman" w:hAnsi="Times New Roman" w:eastAsia="仿宋"/>
          <w:sz w:val="32"/>
          <w:szCs w:val="32"/>
          <w:lang w:eastAsia="zh-CN"/>
        </w:rPr>
        <w:t>司法救助</w:t>
      </w:r>
      <w:r>
        <w:rPr>
          <w:rFonts w:hint="eastAsia" w:ascii="Times New Roman" w:hAnsi="Times New Roman" w:eastAsia="仿宋"/>
          <w:sz w:val="32"/>
          <w:szCs w:val="32"/>
        </w:rPr>
        <w:t>项目支出</w:t>
      </w:r>
      <w:r>
        <w:rPr>
          <w:rFonts w:hint="eastAsia" w:ascii="Times New Roman" w:hAnsi="Times New Roman" w:eastAsia="仿宋"/>
          <w:sz w:val="32"/>
          <w:szCs w:val="32"/>
          <w:lang w:val="en-US" w:eastAsia="zh-CN"/>
        </w:rPr>
        <w:t>43.36</w:t>
      </w:r>
      <w:r>
        <w:rPr>
          <w:rFonts w:hint="eastAsia" w:ascii="Times New Roman" w:hAnsi="Times New Roman" w:eastAsia="仿宋"/>
          <w:sz w:val="32"/>
          <w:szCs w:val="32"/>
        </w:rPr>
        <w:t>万元</w:t>
      </w:r>
    </w:p>
    <w:p w14:paraId="332C0156">
      <w:pPr>
        <w:pStyle w:val="9"/>
        <w:numPr>
          <w:ilvl w:val="0"/>
          <w:numId w:val="2"/>
        </w:numPr>
        <w:spacing w:line="600" w:lineRule="exact"/>
        <w:ind w:firstLine="640"/>
        <w:rPr>
          <w:rFonts w:ascii="Times New Roman" w:hAnsi="Times New Roman" w:eastAsia="仿宋"/>
          <w:sz w:val="32"/>
          <w:szCs w:val="32"/>
        </w:rPr>
      </w:pPr>
      <w:r>
        <w:rPr>
          <w:rFonts w:hint="eastAsia" w:ascii="Times New Roman" w:hAnsi="Times New Roman" w:eastAsia="仿宋"/>
          <w:sz w:val="32"/>
          <w:szCs w:val="32"/>
          <w:lang w:eastAsia="zh-CN"/>
        </w:rPr>
        <w:t>综治</w:t>
      </w:r>
      <w:r>
        <w:rPr>
          <w:rFonts w:hint="eastAsia" w:ascii="Times New Roman" w:hAnsi="Times New Roman" w:eastAsia="仿宋"/>
          <w:sz w:val="32"/>
          <w:szCs w:val="32"/>
        </w:rPr>
        <w:t>项目支出</w:t>
      </w:r>
      <w:r>
        <w:rPr>
          <w:rFonts w:hint="eastAsia" w:ascii="Times New Roman" w:hAnsi="Times New Roman" w:eastAsia="仿宋"/>
          <w:sz w:val="32"/>
          <w:szCs w:val="32"/>
          <w:lang w:val="en-US" w:eastAsia="zh-CN"/>
        </w:rPr>
        <w:t>12.20</w:t>
      </w:r>
      <w:r>
        <w:rPr>
          <w:rFonts w:hint="eastAsia" w:ascii="Times New Roman" w:hAnsi="Times New Roman" w:eastAsia="仿宋"/>
          <w:sz w:val="32"/>
          <w:szCs w:val="32"/>
        </w:rPr>
        <w:t>万元</w:t>
      </w:r>
    </w:p>
    <w:p w14:paraId="2494F4A2">
      <w:pPr>
        <w:pStyle w:val="9"/>
        <w:numPr>
          <w:ilvl w:val="0"/>
          <w:numId w:val="2"/>
        </w:numPr>
        <w:spacing w:line="600" w:lineRule="exact"/>
        <w:ind w:firstLine="640"/>
        <w:rPr>
          <w:rFonts w:ascii="Times New Roman" w:hAnsi="Times New Roman" w:eastAsia="仿宋"/>
          <w:sz w:val="32"/>
          <w:szCs w:val="32"/>
        </w:rPr>
      </w:pPr>
      <w:r>
        <w:rPr>
          <w:rFonts w:hint="eastAsia" w:ascii="Times New Roman" w:hAnsi="Times New Roman" w:eastAsia="仿宋"/>
          <w:sz w:val="32"/>
          <w:szCs w:val="32"/>
          <w:lang w:eastAsia="zh-CN"/>
        </w:rPr>
        <w:t>维稳</w:t>
      </w:r>
      <w:r>
        <w:rPr>
          <w:rFonts w:hint="eastAsia" w:ascii="Times New Roman" w:hAnsi="Times New Roman" w:eastAsia="仿宋"/>
          <w:sz w:val="32"/>
          <w:szCs w:val="32"/>
        </w:rPr>
        <w:t>项目支出</w:t>
      </w:r>
      <w:r>
        <w:rPr>
          <w:rFonts w:hint="eastAsia" w:ascii="Times New Roman" w:hAnsi="Times New Roman" w:eastAsia="仿宋"/>
          <w:sz w:val="32"/>
          <w:szCs w:val="32"/>
          <w:lang w:val="en-US" w:eastAsia="zh-CN"/>
        </w:rPr>
        <w:t>21.58</w:t>
      </w:r>
      <w:r>
        <w:rPr>
          <w:rFonts w:hint="eastAsia" w:ascii="Times New Roman" w:hAnsi="Times New Roman" w:eastAsia="仿宋"/>
          <w:sz w:val="32"/>
          <w:szCs w:val="32"/>
        </w:rPr>
        <w:t>万</w:t>
      </w:r>
      <w:r>
        <w:rPr>
          <w:rFonts w:hint="eastAsia" w:ascii="Times New Roman" w:hAnsi="Times New Roman" w:eastAsia="仿宋"/>
          <w:sz w:val="32"/>
          <w:szCs w:val="32"/>
          <w:lang w:eastAsia="zh-CN"/>
        </w:rPr>
        <w:t>元</w:t>
      </w:r>
    </w:p>
    <w:p w14:paraId="156275AE">
      <w:pPr>
        <w:pStyle w:val="9"/>
        <w:numPr>
          <w:ilvl w:val="0"/>
          <w:numId w:val="0"/>
        </w:num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5</w:t>
      </w:r>
      <w:r>
        <w:rPr>
          <w:rFonts w:hint="eastAsia" w:ascii="Times New Roman" w:hAnsi="Times New Roman" w:eastAsia="仿宋"/>
          <w:sz w:val="32"/>
          <w:szCs w:val="32"/>
        </w:rPr>
        <w:t>、</w:t>
      </w:r>
      <w:r>
        <w:rPr>
          <w:rFonts w:hint="eastAsia" w:ascii="Times New Roman" w:hAnsi="Times New Roman" w:eastAsia="仿宋"/>
          <w:sz w:val="32"/>
          <w:szCs w:val="32"/>
          <w:lang w:eastAsia="zh-CN"/>
        </w:rPr>
        <w:t>反邪</w:t>
      </w:r>
      <w:r>
        <w:rPr>
          <w:rFonts w:hint="eastAsia" w:ascii="Times New Roman" w:hAnsi="Times New Roman" w:eastAsia="仿宋"/>
          <w:sz w:val="32"/>
          <w:szCs w:val="32"/>
        </w:rPr>
        <w:t>项目支出</w:t>
      </w:r>
      <w:r>
        <w:rPr>
          <w:rFonts w:hint="eastAsia" w:ascii="Times New Roman" w:hAnsi="Times New Roman" w:eastAsia="仿宋"/>
          <w:sz w:val="32"/>
          <w:szCs w:val="32"/>
          <w:lang w:val="en-US" w:eastAsia="zh-CN"/>
        </w:rPr>
        <w:t>7.4</w:t>
      </w:r>
      <w:r>
        <w:rPr>
          <w:rFonts w:hint="eastAsia" w:ascii="Times New Roman" w:hAnsi="Times New Roman" w:eastAsia="仿宋"/>
          <w:sz w:val="32"/>
          <w:szCs w:val="32"/>
        </w:rPr>
        <w:t>万元。</w:t>
      </w:r>
    </w:p>
    <w:p w14:paraId="4ADEEB00">
      <w:pPr>
        <w:pStyle w:val="9"/>
        <w:spacing w:line="600" w:lineRule="exact"/>
        <w:ind w:firstLine="640"/>
        <w:rPr>
          <w:rFonts w:hint="eastAsia" w:ascii="Times New Roman" w:hAnsi="Times New Roman" w:eastAsia="黑体"/>
          <w:sz w:val="32"/>
          <w:szCs w:val="32"/>
          <w:lang w:eastAsia="zh-CN"/>
        </w:rPr>
      </w:pPr>
      <w:r>
        <w:rPr>
          <w:rFonts w:ascii="Times New Roman" w:hAnsi="Times New Roman" w:eastAsia="黑体"/>
          <w:sz w:val="32"/>
          <w:szCs w:val="32"/>
        </w:rPr>
        <w:t>三、政府性基金预算支出情况</w:t>
      </w:r>
      <w:r>
        <w:rPr>
          <w:rFonts w:hint="eastAsia" w:ascii="Times New Roman" w:hAnsi="Times New Roman" w:eastAsia="黑体"/>
          <w:sz w:val="32"/>
          <w:szCs w:val="32"/>
          <w:lang w:eastAsia="zh-CN"/>
        </w:rPr>
        <w:t>：无</w:t>
      </w:r>
    </w:p>
    <w:p w14:paraId="1CF102D4">
      <w:pPr>
        <w:pStyle w:val="9"/>
        <w:spacing w:line="600" w:lineRule="exact"/>
        <w:ind w:firstLine="640"/>
        <w:rPr>
          <w:rFonts w:hint="eastAsia" w:ascii="Times New Roman" w:hAnsi="Times New Roman" w:eastAsia="黑体"/>
          <w:sz w:val="32"/>
          <w:szCs w:val="32"/>
          <w:lang w:eastAsia="zh-CN"/>
        </w:rPr>
      </w:pPr>
      <w:r>
        <w:rPr>
          <w:rFonts w:ascii="Times New Roman" w:hAnsi="Times New Roman" w:eastAsia="黑体"/>
          <w:sz w:val="32"/>
          <w:szCs w:val="32"/>
        </w:rPr>
        <w:t>四、国有资本经营预算支出情况</w:t>
      </w:r>
      <w:r>
        <w:rPr>
          <w:rFonts w:hint="eastAsia" w:ascii="Times New Roman" w:hAnsi="Times New Roman" w:eastAsia="黑体"/>
          <w:sz w:val="32"/>
          <w:szCs w:val="32"/>
          <w:lang w:eastAsia="zh-CN"/>
        </w:rPr>
        <w:t>：无</w:t>
      </w:r>
    </w:p>
    <w:p w14:paraId="3D62A8D2">
      <w:pPr>
        <w:pStyle w:val="9"/>
        <w:spacing w:line="600" w:lineRule="exact"/>
        <w:ind w:firstLine="640"/>
        <w:rPr>
          <w:rFonts w:hint="eastAsia" w:ascii="Times New Roman" w:hAnsi="Times New Roman" w:eastAsia="黑体"/>
          <w:sz w:val="32"/>
          <w:szCs w:val="32"/>
          <w:lang w:eastAsia="zh-CN"/>
        </w:rPr>
      </w:pPr>
      <w:r>
        <w:rPr>
          <w:rFonts w:ascii="Times New Roman" w:hAnsi="Times New Roman" w:eastAsia="黑体"/>
          <w:sz w:val="32"/>
          <w:szCs w:val="32"/>
        </w:rPr>
        <w:t>五、社会保险基金预算支出情况</w:t>
      </w:r>
      <w:r>
        <w:rPr>
          <w:rFonts w:hint="eastAsia" w:ascii="Times New Roman" w:hAnsi="Times New Roman" w:eastAsia="黑体"/>
          <w:sz w:val="32"/>
          <w:szCs w:val="32"/>
          <w:lang w:eastAsia="zh-CN"/>
        </w:rPr>
        <w:t>：无</w:t>
      </w:r>
    </w:p>
    <w:p w14:paraId="0D2D2F4C">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六、资金使用及绩效情况（包含单位管理的公共专项）</w:t>
      </w:r>
    </w:p>
    <w:p w14:paraId="0846B5EC">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（一）整体支出绩效情况</w:t>
      </w:r>
    </w:p>
    <w:p w14:paraId="26488FA8">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Times New Roman" w:hAnsi="Times New Roman" w:eastAsia="仿宋_GB2312" w:cs="Times New Roman"/>
          <w:sz w:val="32"/>
          <w:szCs w:val="32"/>
          <w:lang w:eastAsia="zh-CN"/>
        </w:rPr>
      </w:pPr>
      <w:r>
        <w:rPr>
          <w:rFonts w:hint="eastAsia" w:eastAsia="仿宋_GB2312" w:cs="Times New Roman"/>
          <w:kern w:val="2"/>
          <w:sz w:val="32"/>
          <w:szCs w:val="32"/>
          <w:lang w:val="en-US" w:eastAsia="zh-CN" w:bidi="ar-SA"/>
        </w:rPr>
        <w:t>2024年本单位</w:t>
      </w:r>
      <w:r>
        <w:rPr>
          <w:rFonts w:hint="eastAsia" w:ascii="Times New Roman" w:hAnsi="Times New Roman" w:eastAsia="仿宋_GB2312" w:cs="Times New Roman"/>
          <w:kern w:val="2"/>
          <w:sz w:val="32"/>
          <w:szCs w:val="32"/>
          <w:lang w:val="en-US" w:eastAsia="zh-CN" w:bidi="ar-SA"/>
        </w:rPr>
        <w:t>基本支出236.6</w:t>
      </w:r>
      <w:r>
        <w:rPr>
          <w:rFonts w:hint="eastAsia" w:eastAsia="仿宋_GB2312" w:cs="Times New Roman"/>
          <w:kern w:val="2"/>
          <w:sz w:val="32"/>
          <w:szCs w:val="32"/>
          <w:lang w:val="en-US" w:eastAsia="zh-CN" w:bidi="ar-SA"/>
        </w:rPr>
        <w:t>0</w:t>
      </w:r>
      <w:r>
        <w:rPr>
          <w:rFonts w:hint="eastAsia" w:ascii="Times New Roman" w:hAnsi="Times New Roman" w:eastAsia="仿宋_GB2312" w:cs="Times New Roman"/>
          <w:kern w:val="2"/>
          <w:sz w:val="32"/>
          <w:szCs w:val="32"/>
          <w:lang w:val="en-US" w:eastAsia="zh-CN" w:bidi="ar-SA"/>
        </w:rPr>
        <w:t>万元；项目支出140.7</w:t>
      </w:r>
      <w:r>
        <w:rPr>
          <w:rFonts w:hint="eastAsia"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万元；其中：人员经费196.66万元，公用经费39.94万元</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人员经费用于基本工资、津贴补贴、奖金</w:t>
      </w:r>
      <w:r>
        <w:rPr>
          <w:rFonts w:hint="eastAsia" w:ascii="Times New Roman" w:hAnsi="Times New Roman" w:eastAsia="仿宋_GB2312" w:cs="Times New Roman"/>
          <w:sz w:val="32"/>
          <w:szCs w:val="32"/>
          <w:lang w:val="en-US" w:eastAsia="zh-CN"/>
        </w:rPr>
        <w:t>等</w:t>
      </w:r>
      <w:r>
        <w:rPr>
          <w:rFonts w:hint="eastAsia" w:ascii="Times New Roman" w:hAnsi="Times New Roman" w:eastAsia="仿宋_GB2312" w:cs="Times New Roman"/>
          <w:sz w:val="32"/>
          <w:szCs w:val="32"/>
          <w:lang w:eastAsia="zh-CN"/>
        </w:rPr>
        <w:t>；公用经费主要包括办公费、劳务费、其他商品和服务支出</w:t>
      </w:r>
      <w:r>
        <w:rPr>
          <w:rFonts w:hint="eastAsia" w:ascii="Times New Roman" w:hAnsi="Times New Roman" w:eastAsia="仿宋_GB2312" w:cs="Times New Roman"/>
          <w:sz w:val="32"/>
          <w:szCs w:val="32"/>
          <w:lang w:val="en-US" w:eastAsia="zh-CN"/>
        </w:rPr>
        <w:t>等</w:t>
      </w:r>
      <w:r>
        <w:rPr>
          <w:rFonts w:hint="eastAsia" w:ascii="Times New Roman" w:hAnsi="Times New Roman" w:eastAsia="仿宋_GB2312" w:cs="Times New Roman"/>
          <w:sz w:val="32"/>
          <w:szCs w:val="32"/>
          <w:lang w:eastAsia="zh-CN"/>
        </w:rPr>
        <w:t>，保障机关日常运转。</w:t>
      </w:r>
    </w:p>
    <w:p w14:paraId="0F145CEB">
      <w:pPr>
        <w:spacing w:line="560" w:lineRule="exact"/>
        <w:ind w:firstLine="664"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pacing w:val="6"/>
          <w:sz w:val="32"/>
          <w:szCs w:val="32"/>
          <w:u w:val="none"/>
          <w:lang w:eastAsia="zh-CN"/>
        </w:rPr>
        <w:t>全区政法机关和广大政法干警坚持以习近平新时代中国特色社会主义思想为指导，忠诚履行新时代政法机关职责使命，统筹推进防风险、保安全、护稳定、促发展</w:t>
      </w:r>
      <w:r>
        <w:rPr>
          <w:rFonts w:hint="default" w:ascii="Times New Roman" w:hAnsi="Times New Roman" w:eastAsia="仿宋_GB2312" w:cs="Times New Roman"/>
          <w:color w:val="000000"/>
          <w:sz w:val="32"/>
          <w:szCs w:val="32"/>
        </w:rPr>
        <w:t>各项工作</w:t>
      </w:r>
      <w:r>
        <w:rPr>
          <w:rFonts w:hint="default" w:ascii="Times New Roman" w:hAnsi="Times New Roman" w:eastAsia="仿宋_GB2312" w:cs="Times New Roman"/>
          <w:color w:val="000000"/>
          <w:spacing w:val="6"/>
          <w:sz w:val="32"/>
          <w:szCs w:val="32"/>
          <w:u w:val="none"/>
          <w:lang w:eastAsia="zh-CN"/>
        </w:rPr>
        <w:t>，</w:t>
      </w:r>
      <w:r>
        <w:rPr>
          <w:rFonts w:hint="default" w:ascii="Times New Roman" w:hAnsi="Times New Roman" w:eastAsia="仿宋_GB2312" w:cs="Times New Roman"/>
          <w:color w:val="000000"/>
          <w:sz w:val="32"/>
          <w:szCs w:val="32"/>
        </w:rPr>
        <w:t>全年没有发生大规模群体性事件、重大恶性刑事案件、群死群伤的恶性交通事故</w:t>
      </w:r>
      <w:r>
        <w:rPr>
          <w:rFonts w:hint="default" w:ascii="Times New Roman" w:hAnsi="Times New Roman" w:eastAsia="仿宋_GB2312" w:cs="Times New Roman"/>
          <w:sz w:val="32"/>
          <w:szCs w:val="32"/>
        </w:rPr>
        <w:t>和重大涉稳舆情炒作事件</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pacing w:val="6"/>
          <w:sz w:val="32"/>
          <w:szCs w:val="32"/>
          <w:u w:val="none"/>
          <w:lang w:eastAsia="zh-CN"/>
        </w:rPr>
        <w:t>为推动</w:t>
      </w:r>
      <w:r>
        <w:rPr>
          <w:rFonts w:hint="default" w:ascii="Times New Roman" w:hAnsi="Times New Roman" w:eastAsia="仿宋_GB2312" w:cs="Times New Roman"/>
          <w:color w:val="auto"/>
          <w:spacing w:val="6"/>
          <w:sz w:val="32"/>
          <w:szCs w:val="32"/>
          <w:u w:val="none"/>
          <w:lang w:eastAsia="zh-CN"/>
        </w:rPr>
        <w:t>中国式现代化在芦淞落地落实提供了有力法治支撑和安全保障。</w:t>
      </w:r>
      <w:r>
        <w:rPr>
          <w:rFonts w:hint="default" w:ascii="Times New Roman" w:hAnsi="Times New Roman" w:eastAsia="仿宋_GB2312" w:cs="Times New Roman"/>
          <w:color w:val="auto"/>
          <w:sz w:val="32"/>
          <w:szCs w:val="32"/>
          <w:shd w:val="clear" w:color="FFFFFF" w:fill="D9D9D9"/>
          <w:lang w:val="en-US" w:eastAsia="zh-CN"/>
        </w:rPr>
        <w:t>荣获株洲市国家安全人民防线建设先进单位；</w:t>
      </w:r>
      <w:r>
        <w:rPr>
          <w:rFonts w:hint="eastAsia" w:ascii="Times New Roman" w:hAnsi="Times New Roman" w:eastAsia="仿宋_GB2312" w:cs="Times New Roman"/>
          <w:color w:val="auto"/>
          <w:sz w:val="32"/>
          <w:szCs w:val="32"/>
          <w:shd w:val="clear" w:color="FFFFFF" w:fill="D9D9D9"/>
          <w:lang w:val="en-US" w:eastAsia="zh-CN"/>
        </w:rPr>
        <w:t>“</w:t>
      </w:r>
      <w:r>
        <w:rPr>
          <w:rFonts w:hint="default" w:ascii="Times New Roman" w:hAnsi="Times New Roman" w:eastAsia="仿宋_GB2312" w:cs="Times New Roman"/>
          <w:color w:val="auto"/>
          <w:sz w:val="32"/>
          <w:szCs w:val="32"/>
          <w:shd w:val="clear" w:color="FFFFFF" w:fill="D9D9D9"/>
          <w:lang w:val="en-US" w:eastAsia="zh-CN"/>
        </w:rPr>
        <w:t>商会+司法</w:t>
      </w:r>
      <w:r>
        <w:rPr>
          <w:rFonts w:hint="eastAsia" w:ascii="Times New Roman" w:hAnsi="Times New Roman" w:eastAsia="仿宋_GB2312" w:cs="Times New Roman"/>
          <w:color w:val="auto"/>
          <w:sz w:val="32"/>
          <w:szCs w:val="32"/>
          <w:shd w:val="clear" w:color="FFFFFF" w:fill="D9D9D9"/>
          <w:lang w:val="en-US" w:eastAsia="zh-CN"/>
        </w:rPr>
        <w:t>”</w:t>
      </w:r>
      <w:r>
        <w:rPr>
          <w:rFonts w:hint="default" w:ascii="Times New Roman" w:hAnsi="Times New Roman" w:eastAsia="仿宋_GB2312" w:cs="Times New Roman"/>
          <w:color w:val="auto"/>
          <w:sz w:val="32"/>
          <w:szCs w:val="32"/>
          <w:shd w:val="clear" w:color="FFFFFF" w:fill="D9D9D9"/>
          <w:lang w:val="en-US" w:eastAsia="zh-CN"/>
        </w:rPr>
        <w:t>解纷止争工作法得到中央政法委《法制日报》、省委政法委《长安网》的宣传和推介</w:t>
      </w:r>
      <w:r>
        <w:rPr>
          <w:rFonts w:hint="default" w:ascii="Times New Roman" w:hAnsi="Times New Roman" w:eastAsia="仿宋_GB2312" w:cs="Times New Roman"/>
          <w:color w:val="auto"/>
          <w:sz w:val="32"/>
          <w:szCs w:val="32"/>
          <w:lang w:val="en-US" w:eastAsia="zh-CN"/>
        </w:rPr>
        <w:t>；连</w:t>
      </w:r>
      <w:r>
        <w:rPr>
          <w:rFonts w:hint="default" w:ascii="Times New Roman" w:hAnsi="Times New Roman" w:eastAsia="仿宋_GB2312" w:cs="Times New Roman"/>
          <w:color w:val="000000"/>
          <w:sz w:val="32"/>
          <w:szCs w:val="32"/>
          <w:lang w:val="en-US" w:eastAsia="zh-CN"/>
        </w:rPr>
        <w:t>续1</w:t>
      </w:r>
      <w:r>
        <w:rPr>
          <w:rFonts w:hint="eastAsia"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lang w:val="en-US" w:eastAsia="zh-CN"/>
        </w:rPr>
        <w:t>年保持</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全省平安县（市）区</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称号。</w:t>
      </w:r>
    </w:p>
    <w:p w14:paraId="328622B7">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（二）项目支出绩效情况</w:t>
      </w:r>
    </w:p>
    <w:p w14:paraId="2D82A1E0">
      <w:pPr>
        <w:tabs>
          <w:tab w:val="left" w:pos="7560"/>
        </w:tabs>
        <w:adjustRightInd w:val="0"/>
        <w:snapToGrid w:val="0"/>
        <w:spacing w:line="56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本部门</w:t>
      </w:r>
      <w:r>
        <w:rPr>
          <w:rFonts w:hint="eastAsia" w:ascii="Times New Roman" w:hAnsi="Times New Roman" w:eastAsia="仿宋_GB2312" w:cs="Times New Roman"/>
          <w:color w:val="auto"/>
          <w:sz w:val="32"/>
          <w:szCs w:val="32"/>
          <w:lang w:eastAsia="zh-CN"/>
        </w:rPr>
        <w:t>202</w:t>
      </w:r>
      <w:r>
        <w:rPr>
          <w:rFonts w:hint="eastAsia"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年年初预算专项资金共</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个，</w:t>
      </w:r>
      <w:r>
        <w:rPr>
          <w:rFonts w:hint="eastAsia" w:ascii="Times New Roman" w:hAnsi="Times New Roman" w:eastAsia="仿宋_GB2312" w:cs="Times New Roman"/>
          <w:color w:val="auto"/>
          <w:sz w:val="32"/>
          <w:szCs w:val="32"/>
          <w:lang w:eastAsia="zh-CN"/>
        </w:rPr>
        <w:t>上级专项资金</w:t>
      </w:r>
      <w:r>
        <w:rPr>
          <w:rFonts w:hint="eastAsia" w:ascii="Times New Roman" w:hAnsi="Times New Roman" w:eastAsia="仿宋_GB2312" w:cs="Times New Roman"/>
          <w:color w:val="auto"/>
          <w:sz w:val="32"/>
          <w:szCs w:val="32"/>
          <w:lang w:val="en-US" w:eastAsia="zh-CN"/>
        </w:rPr>
        <w:t>1个，区级大项资金1个，上年结转资金1个，</w:t>
      </w:r>
      <w:r>
        <w:rPr>
          <w:rFonts w:hint="eastAsia" w:ascii="Times New Roman" w:hAnsi="Times New Roman" w:eastAsia="仿宋_GB2312" w:cs="Times New Roman"/>
          <w:color w:val="auto"/>
          <w:sz w:val="32"/>
          <w:szCs w:val="32"/>
        </w:rPr>
        <w:t>具体情况如下：</w:t>
      </w:r>
    </w:p>
    <w:p w14:paraId="3E21C323">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eastAsia="zh-CN"/>
        </w:rPr>
        <w:t>雪亮工程建设</w:t>
      </w:r>
      <w:r>
        <w:rPr>
          <w:rFonts w:hint="eastAsia" w:ascii="Times New Roman" w:hAnsi="Times New Roman" w:eastAsia="仿宋_GB2312" w:cs="Times New Roman"/>
          <w:color w:val="000000"/>
          <w:sz w:val="32"/>
          <w:szCs w:val="32"/>
        </w:rPr>
        <w:t>专项</w:t>
      </w:r>
      <w:r>
        <w:rPr>
          <w:rFonts w:hint="eastAsia" w:ascii="Times New Roman" w:hAnsi="Times New Roman" w:eastAsia="仿宋_GB2312" w:cs="Times New Roman"/>
          <w:sz w:val="32"/>
          <w:szCs w:val="32"/>
        </w:rPr>
        <w:t>项目</w:t>
      </w:r>
    </w:p>
    <w:p w14:paraId="138B3AFD">
      <w:p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sz w:val="32"/>
          <w:szCs w:val="32"/>
          <w:lang w:val="en-US" w:eastAsia="zh-CN"/>
        </w:rPr>
        <w:t>年初预算资金</w:t>
      </w:r>
      <w:r>
        <w:rPr>
          <w:rFonts w:hint="eastAsia" w:eastAsia="仿宋_GB2312" w:cs="Times New Roman"/>
          <w:sz w:val="32"/>
          <w:szCs w:val="32"/>
          <w:lang w:val="en-US" w:eastAsia="zh-CN"/>
        </w:rPr>
        <w:t>67</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年中执行调增（减）</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rPr>
        <w:t>万元，实际支出</w:t>
      </w:r>
      <w:r>
        <w:rPr>
          <w:rFonts w:hint="eastAsia" w:eastAsia="仿宋_GB2312" w:cs="Times New Roman"/>
          <w:kern w:val="2"/>
          <w:sz w:val="32"/>
          <w:szCs w:val="32"/>
          <w:lang w:val="en-US" w:eastAsia="zh-CN" w:bidi="ar-SA"/>
        </w:rPr>
        <w:t>56.18</w:t>
      </w:r>
      <w:r>
        <w:rPr>
          <w:rFonts w:hint="eastAsia" w:ascii="Times New Roman" w:hAnsi="Times New Roman" w:eastAsia="仿宋_GB2312" w:cs="Times New Roman"/>
          <w:sz w:val="32"/>
          <w:szCs w:val="32"/>
        </w:rPr>
        <w:t>万元，结余结</w:t>
      </w:r>
      <w:r>
        <w:rPr>
          <w:rFonts w:hint="default" w:ascii="Times New Roman" w:hAnsi="Times New Roman" w:eastAsia="仿宋_GB2312" w:cs="Times New Roman"/>
          <w:color w:val="000000"/>
          <w:spacing w:val="6"/>
          <w:sz w:val="32"/>
          <w:szCs w:val="32"/>
        </w:rPr>
        <w:t>转</w:t>
      </w:r>
      <w:r>
        <w:rPr>
          <w:rFonts w:hint="eastAsia" w:eastAsia="仿宋_GB2312" w:cs="Times New Roman"/>
          <w:color w:val="000000"/>
          <w:spacing w:val="6"/>
          <w:sz w:val="32"/>
          <w:szCs w:val="32"/>
          <w:highlight w:val="none"/>
          <w:lang w:val="en-US" w:eastAsia="zh-CN"/>
        </w:rPr>
        <w:t>10.82</w:t>
      </w:r>
      <w:r>
        <w:rPr>
          <w:rFonts w:hint="default" w:ascii="Times New Roman" w:hAnsi="Times New Roman" w:eastAsia="仿宋_GB2312" w:cs="Times New Roman"/>
          <w:color w:val="000000"/>
          <w:spacing w:val="6"/>
          <w:sz w:val="32"/>
          <w:szCs w:val="32"/>
        </w:rPr>
        <w:t>万元</w:t>
      </w:r>
      <w:r>
        <w:rPr>
          <w:rFonts w:hint="default" w:ascii="Times New Roman" w:hAnsi="Times New Roman" w:eastAsia="仿宋_GB2312" w:cs="Times New Roman"/>
          <w:color w:val="000000"/>
          <w:spacing w:val="6"/>
          <w:sz w:val="32"/>
          <w:szCs w:val="32"/>
          <w:lang w:eastAsia="zh-CN"/>
        </w:rPr>
        <w:t>。</w:t>
      </w:r>
      <w:r>
        <w:rPr>
          <w:rFonts w:hint="default" w:ascii="Times New Roman" w:hAnsi="Times New Roman" w:eastAsia="仿宋_GB2312" w:cs="Times New Roman"/>
          <w:color w:val="000000"/>
          <w:spacing w:val="6"/>
          <w:sz w:val="32"/>
          <w:szCs w:val="32"/>
          <w:lang w:val="en-US" w:eastAsia="zh-CN"/>
        </w:rPr>
        <w:t>项目资金</w:t>
      </w:r>
      <w:r>
        <w:rPr>
          <w:rFonts w:hint="default" w:ascii="Times New Roman" w:hAnsi="Times New Roman" w:eastAsia="仿宋_GB2312" w:cs="Times New Roman"/>
          <w:color w:val="000000"/>
          <w:spacing w:val="6"/>
          <w:sz w:val="32"/>
          <w:szCs w:val="32"/>
        </w:rPr>
        <w:t>主要用</w:t>
      </w:r>
      <w:r>
        <w:rPr>
          <w:rFonts w:hint="eastAsia" w:ascii="Times New Roman" w:hAnsi="Times New Roman" w:eastAsia="仿宋_GB2312" w:cs="Times New Roman"/>
          <w:sz w:val="32"/>
          <w:szCs w:val="32"/>
        </w:rPr>
        <w:t>于</w:t>
      </w:r>
      <w:r>
        <w:rPr>
          <w:rFonts w:hint="eastAsia" w:ascii="Times New Roman" w:hAnsi="Times New Roman" w:eastAsia="仿宋_GB2312" w:cs="Times New Roman"/>
          <w:color w:val="000000"/>
          <w:sz w:val="32"/>
          <w:szCs w:val="32"/>
        </w:rPr>
        <w:t>辖区内雪亮工程建设，提升群众安全感</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pacing w:val="6"/>
          <w:sz w:val="32"/>
          <w:szCs w:val="32"/>
          <w:u w:val="none"/>
          <w:lang w:eastAsia="zh-CN"/>
        </w:rPr>
        <w:t>全区政法机关和广大政法干警坚持以习近平新时代中国特色社会主义思想为指导，忠诚履行新时代政法机关职责使命，统筹推进防风险、保安全、护稳定、促发展</w:t>
      </w:r>
      <w:r>
        <w:rPr>
          <w:rFonts w:hint="default" w:ascii="Times New Roman" w:hAnsi="Times New Roman" w:eastAsia="仿宋_GB2312" w:cs="Times New Roman"/>
          <w:color w:val="000000"/>
          <w:sz w:val="32"/>
          <w:szCs w:val="32"/>
        </w:rPr>
        <w:t>各项工作</w:t>
      </w:r>
      <w:r>
        <w:rPr>
          <w:rFonts w:hint="default" w:ascii="Times New Roman" w:hAnsi="Times New Roman" w:eastAsia="仿宋_GB2312" w:cs="Times New Roman"/>
          <w:color w:val="000000"/>
          <w:spacing w:val="6"/>
          <w:sz w:val="32"/>
          <w:szCs w:val="32"/>
          <w:u w:val="none"/>
          <w:lang w:eastAsia="zh-CN"/>
        </w:rPr>
        <w:t>，</w:t>
      </w:r>
      <w:r>
        <w:rPr>
          <w:rFonts w:hint="default" w:ascii="Times New Roman" w:hAnsi="Times New Roman" w:eastAsia="仿宋_GB2312" w:cs="Times New Roman"/>
          <w:color w:val="000000"/>
          <w:sz w:val="32"/>
          <w:szCs w:val="32"/>
        </w:rPr>
        <w:t>全年没有发生大规模群体性事件、重大恶性刑事案件、群死群伤的恶性交通事故</w:t>
      </w:r>
      <w:r>
        <w:rPr>
          <w:rFonts w:hint="default" w:ascii="Times New Roman" w:hAnsi="Times New Roman" w:eastAsia="仿宋_GB2312" w:cs="Times New Roman"/>
          <w:sz w:val="32"/>
          <w:szCs w:val="32"/>
        </w:rPr>
        <w:t>和重大涉稳舆情炒作事件</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pacing w:val="6"/>
          <w:sz w:val="32"/>
          <w:szCs w:val="32"/>
          <w:u w:val="none"/>
          <w:lang w:eastAsia="zh-CN"/>
        </w:rPr>
        <w:t>为推动中国式现代化在芦淞落地落实提供了有力法治支撑和安全保障。</w:t>
      </w:r>
    </w:p>
    <w:p w14:paraId="19B7157F">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lang w:eastAsia="zh-CN"/>
        </w:rPr>
      </w:pPr>
    </w:p>
    <w:p w14:paraId="7B98103E">
      <w:pPr>
        <w:pStyle w:val="2"/>
        <w:rPr>
          <w:rFonts w:hint="eastAsia" w:eastAsia="仿宋_GB2312" w:cs="Times New Roman"/>
          <w:sz w:val="32"/>
          <w:szCs w:val="32"/>
          <w:lang w:val="en-US" w:eastAsia="zh-CN"/>
        </w:rPr>
      </w:pPr>
    </w:p>
    <w:p w14:paraId="123BDFC3">
      <w:pPr>
        <w:tabs>
          <w:tab w:val="left" w:pos="7560"/>
        </w:tabs>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.司法救助</w:t>
      </w:r>
      <w:r>
        <w:rPr>
          <w:rFonts w:hint="eastAsia" w:ascii="Times New Roman" w:hAnsi="Times New Roman" w:eastAsia="仿宋_GB2312" w:cs="Times New Roman"/>
          <w:color w:val="000000"/>
          <w:sz w:val="32"/>
          <w:szCs w:val="32"/>
        </w:rPr>
        <w:t>专项</w:t>
      </w:r>
      <w:r>
        <w:rPr>
          <w:rFonts w:hint="eastAsia" w:ascii="Times New Roman" w:hAnsi="Times New Roman" w:eastAsia="仿宋_GB2312" w:cs="Times New Roman"/>
          <w:sz w:val="32"/>
          <w:szCs w:val="32"/>
        </w:rPr>
        <w:t>项目</w:t>
      </w:r>
    </w:p>
    <w:p w14:paraId="1B51E13B">
      <w:pPr>
        <w:rPr>
          <w:rFonts w:hint="default"/>
          <w:lang w:val="en-US" w:eastAsia="zh-CN"/>
        </w:rPr>
      </w:pPr>
      <w:r>
        <w:rPr>
          <w:rFonts w:hint="eastAsia" w:ascii="Times New Roman" w:hAnsi="Times New Roman" w:eastAsia="仿宋_GB2312" w:cs="Times New Roman"/>
          <w:sz w:val="32"/>
          <w:szCs w:val="32"/>
          <w:lang w:eastAsia="zh-CN"/>
        </w:rPr>
        <w:t>该项目为中央转移支付资金</w:t>
      </w:r>
      <w:r>
        <w:rPr>
          <w:rFonts w:hint="eastAsia" w:ascii="Times New Roman" w:hAnsi="Times New Roman" w:eastAsia="仿宋_GB2312" w:cs="Times New Roman"/>
          <w:sz w:val="32"/>
          <w:szCs w:val="32"/>
        </w:rPr>
        <w:t>，实际支出</w:t>
      </w:r>
      <w:r>
        <w:rPr>
          <w:rFonts w:hint="eastAsia" w:eastAsia="仿宋_GB2312" w:cs="Times New Roman"/>
          <w:sz w:val="32"/>
          <w:szCs w:val="32"/>
          <w:lang w:val="en-US" w:eastAsia="zh-CN"/>
        </w:rPr>
        <w:t>43.36</w:t>
      </w:r>
      <w:r>
        <w:rPr>
          <w:rFonts w:hint="eastAsia" w:ascii="Times New Roman" w:hAnsi="Times New Roman" w:eastAsia="仿宋_GB2312" w:cs="Times New Roman"/>
          <w:sz w:val="32"/>
          <w:szCs w:val="32"/>
        </w:rPr>
        <w:t>万元</w:t>
      </w:r>
      <w:r>
        <w:rPr>
          <w:rFonts w:hint="default" w:ascii="Times New Roman" w:hAnsi="Times New Roman" w:eastAsia="仿宋_GB2312" w:cs="Times New Roman"/>
          <w:color w:val="000000"/>
          <w:spacing w:val="6"/>
          <w:sz w:val="32"/>
          <w:szCs w:val="32"/>
          <w:u w:val="none"/>
          <w:lang w:eastAsia="zh-CN"/>
        </w:rPr>
        <w:t>。</w:t>
      </w:r>
      <w:r>
        <w:rPr>
          <w:rFonts w:hint="default" w:ascii="Times New Roman" w:hAnsi="Times New Roman" w:eastAsia="仿宋_GB2312" w:cs="Times New Roman"/>
          <w:color w:val="000000"/>
          <w:spacing w:val="6"/>
          <w:sz w:val="32"/>
          <w:szCs w:val="32"/>
          <w:u w:val="none"/>
          <w:lang w:val="en-US" w:eastAsia="zh-CN"/>
        </w:rPr>
        <w:t>项目资金</w:t>
      </w:r>
      <w:r>
        <w:rPr>
          <w:rFonts w:hint="eastAsia" w:ascii="Times New Roman" w:hAnsi="Times New Roman" w:eastAsia="仿宋_GB2312" w:cs="Times New Roman"/>
          <w:sz w:val="32"/>
          <w:szCs w:val="32"/>
        </w:rPr>
        <w:t>主要用于</w:t>
      </w:r>
      <w:r>
        <w:rPr>
          <w:rFonts w:hint="eastAsia" w:ascii="Times New Roman" w:hAnsi="Times New Roman" w:eastAsia="仿宋_GB2312" w:cs="Times New Roman"/>
          <w:sz w:val="32"/>
          <w:szCs w:val="32"/>
          <w:lang w:eastAsia="zh-CN"/>
        </w:rPr>
        <w:t>对遭受犯罪侵害和民事侵权，无法通过诉讼获得有效赔偿，生活面临急迫困难的当事人依法采取辅助性救济措施</w:t>
      </w:r>
    </w:p>
    <w:p w14:paraId="31ECC3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14:textFill>
            <w14:gradFill>
              <w14:gsLst>
                <w14:gs w14:pos="0">
                  <w14:srgbClr w14:val="FE4444"/>
                </w14:gs>
                <w14:gs w14:pos="100000">
                  <w14:srgbClr w14:val="832B2B"/>
                </w14:gs>
              </w14:gsLst>
              <w14:lin w14:scaled="0"/>
            </w14:gradFill>
          </w14:textFill>
        </w:rPr>
      </w:pPr>
    </w:p>
    <w:p w14:paraId="0CB0F2EC">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sz w:val="32"/>
          <w:szCs w:val="32"/>
          <w:lang w:eastAsia="zh-CN"/>
        </w:rPr>
        <w:t>反邪</w:t>
      </w:r>
      <w:r>
        <w:rPr>
          <w:rFonts w:hint="eastAsia" w:ascii="Times New Roman" w:hAnsi="Times New Roman" w:eastAsia="仿宋_GB2312" w:cs="Times New Roman"/>
          <w:sz w:val="32"/>
          <w:szCs w:val="32"/>
        </w:rPr>
        <w:t>项目</w:t>
      </w:r>
    </w:p>
    <w:p w14:paraId="4CE9ABFA">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2024年</w:t>
      </w:r>
      <w:r>
        <w:rPr>
          <w:rFonts w:hint="eastAsia" w:ascii="Times New Roman" w:hAnsi="Times New Roman" w:eastAsia="仿宋_GB2312" w:cs="Times New Roman"/>
          <w:sz w:val="32"/>
          <w:szCs w:val="32"/>
        </w:rPr>
        <w:t>实际支出</w:t>
      </w:r>
      <w:r>
        <w:rPr>
          <w:rFonts w:hint="eastAsia" w:eastAsia="仿宋_GB2312" w:cs="Times New Roman"/>
          <w:sz w:val="32"/>
          <w:szCs w:val="32"/>
          <w:lang w:val="en-US" w:eastAsia="zh-CN"/>
        </w:rPr>
        <w:t>7.4</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本年度未申请预算资金，无</w:t>
      </w:r>
      <w:r>
        <w:rPr>
          <w:rFonts w:hint="eastAsia" w:ascii="Times New Roman" w:hAnsi="Times New Roman" w:eastAsia="仿宋_GB2312" w:cs="Times New Roman"/>
          <w:sz w:val="32"/>
          <w:szCs w:val="32"/>
        </w:rPr>
        <w:t>结余结转</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项目为涉密项目，不作公开评价。</w:t>
      </w:r>
    </w:p>
    <w:p w14:paraId="500D6569">
      <w:pPr>
        <w:pStyle w:val="2"/>
        <w:rPr>
          <w:rFonts w:hint="eastAsia"/>
        </w:rPr>
      </w:pPr>
    </w:p>
    <w:p w14:paraId="2D69C9B1">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lang w:eastAsia="zh-CN"/>
        </w:rPr>
      </w:pP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.维稳</w:t>
      </w:r>
      <w:r>
        <w:rPr>
          <w:rFonts w:hint="eastAsia" w:ascii="Times New Roman" w:hAnsi="Times New Roman" w:eastAsia="仿宋_GB2312" w:cs="Times New Roman"/>
          <w:color w:val="000000"/>
          <w:sz w:val="32"/>
          <w:szCs w:val="32"/>
        </w:rPr>
        <w:t>专项</w:t>
      </w:r>
      <w:r>
        <w:rPr>
          <w:rFonts w:hint="eastAsia" w:ascii="Times New Roman" w:hAnsi="Times New Roman" w:eastAsia="仿宋_GB2312" w:cs="Times New Roman"/>
          <w:sz w:val="32"/>
          <w:szCs w:val="32"/>
        </w:rPr>
        <w:t>项目</w:t>
      </w:r>
      <w:r>
        <w:rPr>
          <w:rFonts w:hint="eastAsia" w:eastAsia="仿宋_GB2312" w:cs="Times New Roman"/>
          <w:sz w:val="32"/>
          <w:szCs w:val="32"/>
          <w:lang w:eastAsia="zh-CN"/>
        </w:rPr>
        <w:t>（平安建设）</w:t>
      </w:r>
    </w:p>
    <w:p w14:paraId="23BAFCC3">
      <w:pPr>
        <w:spacing w:line="580" w:lineRule="exact"/>
        <w:ind w:firstLine="640" w:firstLineChars="200"/>
        <w:rPr>
          <w:rFonts w:hint="eastAsia" w:ascii="Times New Roman" w:hAnsi="Times New Roman" w:cs="Times New Roman"/>
          <w:color w:val="auto"/>
          <w:lang w:eastAsia="zh-CN"/>
        </w:rPr>
      </w:pPr>
      <w:r>
        <w:rPr>
          <w:rFonts w:hint="eastAsia" w:ascii="Times New Roman" w:hAnsi="Times New Roman" w:eastAsia="仿宋_GB2312" w:cs="Times New Roman"/>
          <w:sz w:val="32"/>
          <w:szCs w:val="32"/>
          <w:lang w:val="en-US" w:eastAsia="zh-CN"/>
        </w:rPr>
        <w:t>年初预算资金</w:t>
      </w:r>
      <w:r>
        <w:rPr>
          <w:rFonts w:hint="eastAsia" w:ascii="Times New Roman" w:hAnsi="Times New Roman" w:eastAsia="仿宋_GB2312" w:cs="Times New Roman"/>
          <w:sz w:val="32"/>
          <w:szCs w:val="32"/>
          <w:highlight w:val="none"/>
          <w:lang w:val="en-US" w:eastAsia="zh-CN"/>
        </w:rPr>
        <w:t>30</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年中执行调增（减）</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rPr>
        <w:t>万元，实际支出</w:t>
      </w:r>
      <w:r>
        <w:rPr>
          <w:rFonts w:hint="eastAsia" w:eastAsia="仿宋_GB2312" w:cs="Times New Roman"/>
          <w:sz w:val="32"/>
          <w:szCs w:val="32"/>
          <w:lang w:val="en-US" w:eastAsia="zh-CN"/>
        </w:rPr>
        <w:t>21.58</w:t>
      </w:r>
      <w:r>
        <w:rPr>
          <w:rFonts w:hint="eastAsia" w:ascii="Times New Roman" w:hAnsi="Times New Roman" w:eastAsia="仿宋_GB2312" w:cs="Times New Roman"/>
          <w:sz w:val="32"/>
          <w:szCs w:val="32"/>
        </w:rPr>
        <w:t>万元，结余结</w:t>
      </w:r>
      <w:r>
        <w:rPr>
          <w:rFonts w:hint="default" w:ascii="Times New Roman" w:hAnsi="Times New Roman" w:eastAsia="仿宋_GB2312" w:cs="Times New Roman"/>
          <w:color w:val="000000"/>
          <w:spacing w:val="6"/>
          <w:sz w:val="32"/>
          <w:szCs w:val="32"/>
          <w:u w:val="none"/>
        </w:rPr>
        <w:t>转</w:t>
      </w:r>
      <w:r>
        <w:rPr>
          <w:rFonts w:hint="eastAsia" w:eastAsia="仿宋_GB2312" w:cs="Times New Roman"/>
          <w:color w:val="000000"/>
          <w:spacing w:val="6"/>
          <w:sz w:val="32"/>
          <w:szCs w:val="32"/>
          <w:highlight w:val="none"/>
          <w:u w:val="none"/>
          <w:lang w:val="en-US" w:eastAsia="zh-CN"/>
        </w:rPr>
        <w:t>8.42</w:t>
      </w:r>
      <w:r>
        <w:rPr>
          <w:rFonts w:hint="default" w:ascii="Times New Roman" w:hAnsi="Times New Roman" w:eastAsia="仿宋_GB2312" w:cs="Times New Roman"/>
          <w:color w:val="000000"/>
          <w:spacing w:val="6"/>
          <w:sz w:val="32"/>
          <w:szCs w:val="32"/>
          <w:u w:val="none"/>
        </w:rPr>
        <w:t>万元</w:t>
      </w:r>
      <w:r>
        <w:rPr>
          <w:rFonts w:hint="default" w:ascii="Times New Roman" w:hAnsi="Times New Roman" w:eastAsia="仿宋_GB2312" w:cs="Times New Roman"/>
          <w:color w:val="000000"/>
          <w:spacing w:val="6"/>
          <w:sz w:val="32"/>
          <w:szCs w:val="32"/>
          <w:u w:val="none"/>
          <w:lang w:eastAsia="zh-CN"/>
        </w:rPr>
        <w:t>。</w:t>
      </w:r>
      <w:r>
        <w:rPr>
          <w:rFonts w:hint="default" w:ascii="Times New Roman" w:hAnsi="Times New Roman" w:eastAsia="仿宋_GB2312" w:cs="Times New Roman"/>
          <w:color w:val="000000"/>
          <w:spacing w:val="6"/>
          <w:sz w:val="32"/>
          <w:szCs w:val="32"/>
          <w:u w:val="none"/>
          <w:lang w:val="en-US" w:eastAsia="zh-CN"/>
        </w:rPr>
        <w:t>项目资金</w:t>
      </w:r>
      <w:r>
        <w:rPr>
          <w:rFonts w:hint="eastAsia" w:ascii="Times New Roman" w:hAnsi="Times New Roman" w:eastAsia="仿宋_GB2312" w:cs="Times New Roman"/>
          <w:sz w:val="32"/>
          <w:szCs w:val="32"/>
        </w:rPr>
        <w:t>主要用于</w:t>
      </w:r>
      <w:r>
        <w:rPr>
          <w:rFonts w:hint="eastAsia" w:ascii="Times New Roman" w:hAnsi="Times New Roman" w:eastAsia="仿宋_GB2312" w:cs="Times New Roman"/>
          <w:sz w:val="32"/>
          <w:szCs w:val="32"/>
          <w:lang w:eastAsia="zh-CN"/>
        </w:rPr>
        <w:t>维护平安稳定大局</w:t>
      </w:r>
      <w:r>
        <w:rPr>
          <w:rFonts w:hint="default" w:ascii="Times New Roman" w:hAnsi="Times New Roman" w:eastAsia="仿宋_GB2312" w:cs="Times New Roman"/>
          <w:b w:val="0"/>
          <w:bCs w:val="0"/>
          <w:kern w:val="2"/>
          <w:sz w:val="32"/>
          <w:szCs w:val="32"/>
          <w:lang w:val="en-US" w:eastAsia="zh-CN"/>
        </w:rPr>
        <w:t>，突出防控风险、化解矛盾、服务发展的理念，</w:t>
      </w:r>
      <w:r>
        <w:rPr>
          <w:rFonts w:hint="default" w:ascii="Times New Roman" w:hAnsi="Times New Roman" w:eastAsia="仿宋_GB2312" w:cs="Times New Roman"/>
          <w:color w:val="auto"/>
          <w:sz w:val="32"/>
          <w:szCs w:val="32"/>
          <w:lang w:val="en-US" w:eastAsia="zh-CN"/>
        </w:rPr>
        <w:t>圆满完成各级“两会”、北斗峰会、株洲马拉松等30余次重要会议和活动的信访维稳安保任务</w:t>
      </w:r>
      <w:r>
        <w:rPr>
          <w:rFonts w:hint="eastAsia" w:eastAsia="仿宋_GB2312" w:cs="Times New Roman"/>
          <w:color w:val="auto"/>
          <w:sz w:val="32"/>
          <w:szCs w:val="32"/>
          <w:lang w:val="en-US" w:eastAsia="zh-CN"/>
        </w:rPr>
        <w:t>，</w:t>
      </w:r>
      <w:r>
        <w:rPr>
          <w:rFonts w:hint="default" w:ascii="Times New Roman" w:hAnsi="Times New Roman" w:eastAsia="仿宋_GB2312" w:cs="Times New Roman"/>
          <w:b w:val="0"/>
          <w:bCs w:val="0"/>
          <w:color w:val="auto"/>
          <w:kern w:val="2"/>
          <w:sz w:val="32"/>
          <w:szCs w:val="32"/>
          <w:lang w:val="en-US" w:eastAsia="zh-CN"/>
        </w:rPr>
        <w:t>实现了</w:t>
      </w:r>
      <w:r>
        <w:rPr>
          <w:rFonts w:hint="eastAsia" w:ascii="Times New Roman" w:hAnsi="Times New Roman" w:eastAsia="仿宋_GB2312" w:cs="Times New Roman"/>
          <w:b w:val="0"/>
          <w:bCs w:val="0"/>
          <w:color w:val="auto"/>
          <w:kern w:val="2"/>
          <w:sz w:val="32"/>
          <w:szCs w:val="32"/>
          <w:lang w:val="en-US" w:eastAsia="zh-CN"/>
        </w:rPr>
        <w:t>“</w:t>
      </w:r>
      <w:r>
        <w:rPr>
          <w:rFonts w:hint="default" w:ascii="Times New Roman" w:hAnsi="Times New Roman" w:eastAsia="仿宋_GB2312" w:cs="Times New Roman"/>
          <w:b w:val="0"/>
          <w:bCs w:val="0"/>
          <w:color w:val="auto"/>
          <w:kern w:val="2"/>
          <w:sz w:val="32"/>
          <w:szCs w:val="32"/>
          <w:lang w:val="en-US" w:eastAsia="zh-CN"/>
        </w:rPr>
        <w:t>七个不发生</w:t>
      </w:r>
      <w:r>
        <w:rPr>
          <w:rFonts w:hint="eastAsia" w:ascii="Times New Roman" w:hAnsi="Times New Roman" w:eastAsia="仿宋_GB2312" w:cs="Times New Roman"/>
          <w:b w:val="0"/>
          <w:bCs w:val="0"/>
          <w:color w:val="auto"/>
          <w:kern w:val="2"/>
          <w:sz w:val="32"/>
          <w:szCs w:val="32"/>
          <w:lang w:val="en-US" w:eastAsia="zh-CN"/>
        </w:rPr>
        <w:t>”</w:t>
      </w:r>
      <w:r>
        <w:rPr>
          <w:rFonts w:hint="default" w:ascii="Times New Roman" w:hAnsi="Times New Roman" w:eastAsia="仿宋_GB2312" w:cs="Times New Roman"/>
          <w:b w:val="0"/>
          <w:bCs w:val="0"/>
          <w:color w:val="auto"/>
          <w:kern w:val="2"/>
          <w:sz w:val="32"/>
          <w:szCs w:val="32"/>
          <w:lang w:val="en-US" w:eastAsia="zh-CN"/>
        </w:rPr>
        <w:t>的工作目标。</w:t>
      </w:r>
    </w:p>
    <w:p w14:paraId="7F560D2D">
      <w:pPr>
        <w:pStyle w:val="2"/>
        <w:spacing w:line="580" w:lineRule="exact"/>
        <w:ind w:firstLine="640" w:firstLineChars="200"/>
        <w:rPr>
          <w:rFonts w:hint="eastAsia" w:ascii="Times New Roman" w:hAnsi="Times New Roman" w:eastAsia="仿宋_GB2312" w:cs="Times New Roman"/>
          <w:color w:val="auto"/>
          <w:sz w:val="32"/>
          <w:szCs w:val="32"/>
        </w:rPr>
      </w:pPr>
    </w:p>
    <w:p w14:paraId="266F8236">
      <w:pPr>
        <w:tabs>
          <w:tab w:val="left" w:pos="7560"/>
        </w:tabs>
        <w:adjustRightInd w:val="0"/>
        <w:snapToGrid w:val="0"/>
        <w:spacing w:line="560" w:lineRule="exact"/>
        <w:ind w:firstLine="640" w:firstLineChars="200"/>
        <w:rPr>
          <w:rFonts w:hint="eastAsia"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综治</w:t>
      </w:r>
      <w:r>
        <w:rPr>
          <w:rFonts w:hint="eastAsia" w:ascii="Times New Roman" w:hAnsi="Times New Roman" w:eastAsia="仿宋_GB2312" w:cs="Times New Roman"/>
          <w:color w:val="auto"/>
          <w:sz w:val="32"/>
          <w:szCs w:val="32"/>
        </w:rPr>
        <w:t>项目</w:t>
      </w:r>
    </w:p>
    <w:p w14:paraId="65BE2688">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2024年</w:t>
      </w:r>
      <w:r>
        <w:rPr>
          <w:rFonts w:hint="eastAsia" w:ascii="Times New Roman" w:hAnsi="Times New Roman" w:eastAsia="仿宋_GB2312" w:cs="Times New Roman"/>
          <w:sz w:val="32"/>
          <w:szCs w:val="32"/>
        </w:rPr>
        <w:t>实际支出</w:t>
      </w:r>
      <w:r>
        <w:rPr>
          <w:rFonts w:hint="eastAsia" w:eastAsia="仿宋_GB2312" w:cs="Times New Roman"/>
          <w:sz w:val="32"/>
          <w:szCs w:val="32"/>
          <w:lang w:val="en-US" w:eastAsia="zh-CN"/>
        </w:rPr>
        <w:t>12.20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项目资金</w:t>
      </w:r>
      <w:r>
        <w:rPr>
          <w:rFonts w:hint="eastAsia" w:ascii="Times New Roman" w:hAnsi="Times New Roman" w:eastAsia="仿宋_GB2312" w:cs="Times New Roman"/>
          <w:sz w:val="32"/>
          <w:szCs w:val="32"/>
        </w:rPr>
        <w:t>主要用于</w:t>
      </w:r>
      <w:r>
        <w:rPr>
          <w:rFonts w:hint="eastAsia" w:ascii="Times New Roman" w:hAnsi="Times New Roman" w:eastAsia="仿宋_GB2312" w:cs="Times New Roman"/>
          <w:sz w:val="32"/>
          <w:szCs w:val="32"/>
          <w:lang w:eastAsia="zh-CN"/>
        </w:rPr>
        <w:t>平安建设、委托民调、铁路护路等综合治理事项</w:t>
      </w:r>
      <w:r>
        <w:rPr>
          <w:rFonts w:hint="eastAsia" w:ascii="Times New Roman" w:hAnsi="Times New Roman" w:eastAsia="仿宋_GB2312" w:cs="Times New Roman"/>
          <w:sz w:val="32"/>
          <w:szCs w:val="32"/>
        </w:rPr>
        <w:t>。</w:t>
      </w:r>
      <w:bookmarkStart w:id="0" w:name="OLE_LINK12"/>
      <w:bookmarkStart w:id="1" w:name="OLE_LINK11"/>
      <w:r>
        <w:rPr>
          <w:rFonts w:hint="default" w:ascii="Times New Roman" w:hAnsi="Times New Roman" w:eastAsia="仿宋_GB2312" w:cs="Times New Roman"/>
          <w:color w:val="auto"/>
          <w:sz w:val="32"/>
          <w:szCs w:val="32"/>
        </w:rPr>
        <w:t>区委政法委制定《芦淞“化解矛盾风险</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维护社会稳定”专项治理行动方案》，</w:t>
      </w:r>
      <w:r>
        <w:rPr>
          <w:rFonts w:hint="default" w:ascii="Times New Roman" w:hAnsi="Times New Roman" w:eastAsia="仿宋_GB2312" w:cs="Times New Roman"/>
          <w:bCs/>
          <w:color w:val="auto"/>
          <w:sz w:val="32"/>
          <w:szCs w:val="32"/>
        </w:rPr>
        <w:t>尤其针对</w:t>
      </w:r>
      <w:r>
        <w:rPr>
          <w:rFonts w:hint="default" w:ascii="Times New Roman" w:hAnsi="Times New Roman" w:eastAsia="仿宋_GB2312" w:cs="Times New Roman"/>
          <w:color w:val="auto"/>
          <w:sz w:val="32"/>
          <w:szCs w:val="32"/>
        </w:rPr>
        <w:t>八类重点人员及六类重点区域，按照“两下两上”工作法，落实台账管理、分级管理、分类管理进行摸排稳控。</w:t>
      </w:r>
      <w:bookmarkEnd w:id="0"/>
      <w:bookmarkEnd w:id="1"/>
      <w:r>
        <w:rPr>
          <w:rFonts w:hint="default" w:ascii="Times New Roman" w:hAnsi="Times New Roman" w:eastAsia="仿宋_GB2312" w:cs="Times New Roman"/>
          <w:color w:val="auto"/>
          <w:sz w:val="32"/>
          <w:szCs w:val="32"/>
          <w:lang w:val="en-US" w:eastAsia="zh-CN"/>
        </w:rPr>
        <w:t>经梳理研判，摸排掌握八大类重点人员6000余人、矛盾纠纷11900余起，均已进行甄别及交办</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2024年全区</w:t>
      </w:r>
      <w:r>
        <w:rPr>
          <w:rFonts w:hint="default" w:ascii="Times New Roman" w:hAnsi="Times New Roman" w:eastAsia="仿宋_GB2312" w:cs="Times New Roman"/>
          <w:b/>
          <w:bCs/>
          <w:color w:val="auto"/>
          <w:sz w:val="32"/>
          <w:szCs w:val="32"/>
          <w:lang w:val="en-US" w:eastAsia="zh-CN"/>
        </w:rPr>
        <w:t>未发生</w:t>
      </w:r>
      <w:r>
        <w:rPr>
          <w:rFonts w:hint="default" w:ascii="Times New Roman" w:hAnsi="Times New Roman" w:eastAsia="仿宋_GB2312" w:cs="Times New Roman"/>
          <w:color w:val="auto"/>
          <w:sz w:val="32"/>
          <w:szCs w:val="32"/>
          <w:lang w:val="en-US" w:eastAsia="zh-CN"/>
        </w:rPr>
        <w:t>影响国家政治安全的重大敏感案事件，</w:t>
      </w:r>
      <w:r>
        <w:rPr>
          <w:rFonts w:hint="default" w:ascii="Times New Roman" w:hAnsi="Times New Roman" w:eastAsia="仿宋_GB2312" w:cs="Times New Roman"/>
          <w:b/>
          <w:bCs/>
          <w:color w:val="auto"/>
          <w:sz w:val="32"/>
          <w:szCs w:val="32"/>
          <w:lang w:val="en-US" w:eastAsia="zh-CN"/>
        </w:rPr>
        <w:t>未发生</w:t>
      </w:r>
      <w:r>
        <w:rPr>
          <w:rFonts w:hint="default" w:ascii="Times New Roman" w:hAnsi="Times New Roman" w:eastAsia="仿宋_GB2312" w:cs="Times New Roman"/>
          <w:color w:val="auto"/>
          <w:sz w:val="32"/>
          <w:szCs w:val="32"/>
          <w:lang w:val="en-US" w:eastAsia="zh-CN"/>
        </w:rPr>
        <w:t>暴力恐怖</w:t>
      </w:r>
      <w:r>
        <w:rPr>
          <w:rFonts w:hint="default" w:ascii="Times New Roman" w:hAnsi="Times New Roman" w:eastAsia="仿宋_GB2312" w:cs="Times New Roman"/>
          <w:sz w:val="32"/>
          <w:szCs w:val="32"/>
          <w:lang w:val="en-US" w:eastAsia="zh-CN"/>
        </w:rPr>
        <w:t>案事件和影响恶劣的个人极端案事件，</w:t>
      </w:r>
      <w:r>
        <w:rPr>
          <w:rFonts w:hint="default" w:ascii="Times New Roman" w:hAnsi="Times New Roman" w:eastAsia="仿宋_GB2312" w:cs="Times New Roman"/>
          <w:b/>
          <w:bCs/>
          <w:sz w:val="32"/>
          <w:szCs w:val="32"/>
          <w:lang w:val="en-US" w:eastAsia="zh-CN"/>
        </w:rPr>
        <w:t>未发生</w:t>
      </w:r>
      <w:r>
        <w:rPr>
          <w:rFonts w:hint="default" w:ascii="Times New Roman" w:hAnsi="Times New Roman" w:eastAsia="仿宋_GB2312" w:cs="Times New Roman"/>
          <w:sz w:val="32"/>
          <w:szCs w:val="32"/>
          <w:lang w:val="en-US" w:eastAsia="zh-CN"/>
        </w:rPr>
        <w:t>规模性跨区域非法聚集、重大群体性事件，</w:t>
      </w:r>
      <w:r>
        <w:rPr>
          <w:rFonts w:hint="default" w:ascii="Times New Roman" w:hAnsi="Times New Roman" w:eastAsia="仿宋_GB2312" w:cs="Times New Roman"/>
          <w:b/>
          <w:bCs/>
          <w:sz w:val="32"/>
          <w:szCs w:val="32"/>
          <w:lang w:val="en-US" w:eastAsia="zh-CN"/>
        </w:rPr>
        <w:t>未发生</w:t>
      </w:r>
      <w:r>
        <w:rPr>
          <w:rFonts w:hint="default" w:ascii="Times New Roman" w:hAnsi="Times New Roman" w:eastAsia="仿宋_GB2312" w:cs="Times New Roman"/>
          <w:sz w:val="32"/>
          <w:szCs w:val="32"/>
          <w:lang w:val="en-US" w:eastAsia="zh-CN"/>
        </w:rPr>
        <w:t>重大网络安全案件和重大涉稳舆情炒作事件等一票否决事项</w:t>
      </w:r>
      <w:r>
        <w:rPr>
          <w:rFonts w:hint="eastAsia" w:eastAsia="仿宋_GB2312" w:cs="Times New Roman"/>
          <w:sz w:val="32"/>
          <w:szCs w:val="32"/>
          <w:lang w:val="en-US" w:eastAsia="zh-CN"/>
        </w:rPr>
        <w:t>.</w:t>
      </w:r>
    </w:p>
    <w:p w14:paraId="20DED6C4">
      <w:pPr>
        <w:rPr>
          <w:rFonts w:hint="default"/>
          <w:lang w:val="en-US" w:eastAsia="zh-CN"/>
        </w:rPr>
      </w:pPr>
    </w:p>
    <w:p w14:paraId="2777A6F9">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七、存在的问题及原因分析</w:t>
      </w:r>
    </w:p>
    <w:p w14:paraId="30815B22">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rPr>
        <w:t>绩效评价工作业务不强，日常工作中对绩效监管不够重视，导致对完成的工作所达到的投入和产出效能不能科学的分析。</w:t>
      </w:r>
    </w:p>
    <w:p w14:paraId="670589AE">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预</w:t>
      </w:r>
      <w:r>
        <w:rPr>
          <w:rFonts w:hint="eastAsia" w:ascii="Times New Roman" w:hAnsi="Times New Roman" w:eastAsia="仿宋_GB2312" w:cs="Times New Roman"/>
          <w:color w:val="auto"/>
          <w:sz w:val="32"/>
          <w:szCs w:val="32"/>
        </w:rPr>
        <w:t>算编制工作有待细化。预算编制不够明确和细化，预算编制的合理性需要提高。预算执行力度还要进一步加强。</w:t>
      </w:r>
    </w:p>
    <w:p w14:paraId="061CA1F6">
      <w:pPr>
        <w:numPr>
          <w:ilvl w:val="0"/>
          <w:numId w:val="3"/>
        </w:num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下一步改进措施</w:t>
      </w:r>
    </w:p>
    <w:p w14:paraId="2C913EA1">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rPr>
        <w:t>加强组织领导，增强预算编制的准确性，提高对预算编制与执行的认识，让各部门了解绩效工作，为绩效评价工作开展创造好的条件</w:t>
      </w:r>
    </w:p>
    <w:p w14:paraId="172E2892">
      <w:pPr>
        <w:tabs>
          <w:tab w:val="left" w:pos="7560"/>
        </w:tabs>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应进一步加强绩效评价工作业务，将绩效评价作为街道开展工作的必备程序，从而使投入的资金发挥最大效益。</w:t>
      </w:r>
    </w:p>
    <w:p w14:paraId="420A6EEC">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九、部门整体支出绩效自评结果拟应用和公开情况</w:t>
      </w:r>
    </w:p>
    <w:p w14:paraId="0299BEDB">
      <w:pPr>
        <w:pStyle w:val="10"/>
        <w:spacing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通过绩效自评，进一步掌握了资金使用情况和取得的效果。</w:t>
      </w:r>
    </w:p>
    <w:p w14:paraId="2C1CF761">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本单位没有独立网站，此次绩效自评报告将与202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年部门决算一起在芦淞区政府信息公开专栏中公开，接受群众监督。</w:t>
      </w:r>
    </w:p>
    <w:p w14:paraId="155DA02A">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p>
    <w:p w14:paraId="7E0224BC">
      <w:pPr>
        <w:pStyle w:val="10"/>
        <w:spacing w:line="580" w:lineRule="exact"/>
        <w:ind w:firstLine="640" w:firstLineChars="200"/>
        <w:rPr>
          <w:rFonts w:ascii="楷体" w:hAnsi="楷体" w:eastAsia="楷体" w:cs="楷体"/>
          <w:b/>
          <w:bCs/>
          <w:sz w:val="32"/>
          <w:szCs w:val="32"/>
        </w:rPr>
      </w:pPr>
      <w:bookmarkStart w:id="2" w:name="_GoBack"/>
      <w:bookmarkEnd w:id="2"/>
      <w:r>
        <w:rPr>
          <w:rFonts w:ascii="Times New Roman" w:hAnsi="Times New Roman" w:eastAsia="黑体" w:cs="Times New Roman"/>
          <w:sz w:val="32"/>
          <w:szCs w:val="32"/>
        </w:rPr>
        <w:br w:type="page"/>
      </w:r>
      <w:r>
        <w:rPr>
          <w:rFonts w:eastAsia="黑体"/>
          <w:sz w:val="32"/>
          <w:szCs w:val="32"/>
        </w:rPr>
        <w:br w:type="page"/>
      </w:r>
    </w:p>
    <w:p w14:paraId="6FB277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CD2FD"/>
    <w:multiLevelType w:val="singleLevel"/>
    <w:tmpl w:val="95CCD2FD"/>
    <w:lvl w:ilvl="0" w:tentative="0">
      <w:start w:val="8"/>
      <w:numFmt w:val="chineseCounting"/>
      <w:suff w:val="nothing"/>
      <w:lvlText w:val="%1、"/>
      <w:lvlJc w:val="left"/>
      <w:rPr>
        <w:rFonts w:hint="eastAsia"/>
      </w:rPr>
    </w:lvl>
  </w:abstractNum>
  <w:abstractNum w:abstractNumId="1">
    <w:nsid w:val="987AC716"/>
    <w:multiLevelType w:val="singleLevel"/>
    <w:tmpl w:val="987AC716"/>
    <w:lvl w:ilvl="0" w:tentative="0">
      <w:start w:val="1"/>
      <w:numFmt w:val="decimal"/>
      <w:suff w:val="nothing"/>
      <w:lvlText w:val="%1、"/>
      <w:lvlJc w:val="left"/>
    </w:lvl>
  </w:abstractNum>
  <w:abstractNum w:abstractNumId="2">
    <w:nsid w:val="4890FF15"/>
    <w:multiLevelType w:val="singleLevel"/>
    <w:tmpl w:val="4890FF15"/>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g3NjVmZmU4MjJhYzIzZjM0NWY1OWYwNjhhMzgifQ=="/>
  </w:docVars>
  <w:rsids>
    <w:rsidRoot w:val="00120D0C"/>
    <w:rsid w:val="00004E70"/>
    <w:rsid w:val="00120D0C"/>
    <w:rsid w:val="00207FA3"/>
    <w:rsid w:val="002F4437"/>
    <w:rsid w:val="00566D81"/>
    <w:rsid w:val="005A433C"/>
    <w:rsid w:val="008C4AEC"/>
    <w:rsid w:val="008C62A7"/>
    <w:rsid w:val="00A56C8A"/>
    <w:rsid w:val="00D5092F"/>
    <w:rsid w:val="00E55161"/>
    <w:rsid w:val="015876FF"/>
    <w:rsid w:val="016976BE"/>
    <w:rsid w:val="01A6665B"/>
    <w:rsid w:val="01EF5276"/>
    <w:rsid w:val="02665DCF"/>
    <w:rsid w:val="02A86D87"/>
    <w:rsid w:val="02AE4CCA"/>
    <w:rsid w:val="02D92DDA"/>
    <w:rsid w:val="03287320"/>
    <w:rsid w:val="03AE3AC0"/>
    <w:rsid w:val="03FA6217"/>
    <w:rsid w:val="046063A3"/>
    <w:rsid w:val="048E4A8E"/>
    <w:rsid w:val="04A074CB"/>
    <w:rsid w:val="04A8621F"/>
    <w:rsid w:val="04B64D67"/>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9E64FA8"/>
    <w:rsid w:val="0A2C26C1"/>
    <w:rsid w:val="0A3D57A2"/>
    <w:rsid w:val="0A4370BC"/>
    <w:rsid w:val="0A4D6F7D"/>
    <w:rsid w:val="0A94795B"/>
    <w:rsid w:val="0AB4192F"/>
    <w:rsid w:val="0B1F6B23"/>
    <w:rsid w:val="0B4524E9"/>
    <w:rsid w:val="0BA804E2"/>
    <w:rsid w:val="0BB94E2C"/>
    <w:rsid w:val="0BE27487"/>
    <w:rsid w:val="0BF47C23"/>
    <w:rsid w:val="0C1D6959"/>
    <w:rsid w:val="0C200572"/>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982333"/>
    <w:rsid w:val="13A52CDF"/>
    <w:rsid w:val="146C1DD9"/>
    <w:rsid w:val="14BF24DE"/>
    <w:rsid w:val="14CC54C7"/>
    <w:rsid w:val="14DD5FD7"/>
    <w:rsid w:val="14E33844"/>
    <w:rsid w:val="14EA23A8"/>
    <w:rsid w:val="15A27FE2"/>
    <w:rsid w:val="1627453B"/>
    <w:rsid w:val="17197045"/>
    <w:rsid w:val="175C6F5E"/>
    <w:rsid w:val="179A7791"/>
    <w:rsid w:val="17DC3DC3"/>
    <w:rsid w:val="181F357B"/>
    <w:rsid w:val="188345AC"/>
    <w:rsid w:val="188E2F73"/>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641B0F"/>
    <w:rsid w:val="1FA707DF"/>
    <w:rsid w:val="1FFE7B8C"/>
    <w:rsid w:val="203C025A"/>
    <w:rsid w:val="20775CA3"/>
    <w:rsid w:val="217A1AB1"/>
    <w:rsid w:val="22695B47"/>
    <w:rsid w:val="22DF7189"/>
    <w:rsid w:val="243235AA"/>
    <w:rsid w:val="24B10BAC"/>
    <w:rsid w:val="24D2061D"/>
    <w:rsid w:val="251132F3"/>
    <w:rsid w:val="253C38DE"/>
    <w:rsid w:val="254C6D0B"/>
    <w:rsid w:val="25B24E22"/>
    <w:rsid w:val="262B4FF6"/>
    <w:rsid w:val="264810A7"/>
    <w:rsid w:val="265A7CC8"/>
    <w:rsid w:val="27014400"/>
    <w:rsid w:val="271039B0"/>
    <w:rsid w:val="271B2298"/>
    <w:rsid w:val="273E5B7F"/>
    <w:rsid w:val="276D0D8C"/>
    <w:rsid w:val="27DE2311"/>
    <w:rsid w:val="283D039E"/>
    <w:rsid w:val="286C33CA"/>
    <w:rsid w:val="28E4125D"/>
    <w:rsid w:val="293314A5"/>
    <w:rsid w:val="29BB6A7E"/>
    <w:rsid w:val="29EC49AF"/>
    <w:rsid w:val="2A1414E2"/>
    <w:rsid w:val="2A9D0EDD"/>
    <w:rsid w:val="2AC43DDE"/>
    <w:rsid w:val="2AD91B55"/>
    <w:rsid w:val="2AEF4956"/>
    <w:rsid w:val="2B1C41DD"/>
    <w:rsid w:val="2BBE35CD"/>
    <w:rsid w:val="2BD6382B"/>
    <w:rsid w:val="2C7A0558"/>
    <w:rsid w:val="2C933EBB"/>
    <w:rsid w:val="2CDF6E04"/>
    <w:rsid w:val="2D284D02"/>
    <w:rsid w:val="2D3A266F"/>
    <w:rsid w:val="2D8470B0"/>
    <w:rsid w:val="2D85399E"/>
    <w:rsid w:val="2DC65E1F"/>
    <w:rsid w:val="2DF720F5"/>
    <w:rsid w:val="2E1C0F3D"/>
    <w:rsid w:val="2E3C7C69"/>
    <w:rsid w:val="2E69253C"/>
    <w:rsid w:val="2EEF2198"/>
    <w:rsid w:val="2F0246FC"/>
    <w:rsid w:val="2F080155"/>
    <w:rsid w:val="2FC04B0F"/>
    <w:rsid w:val="30343502"/>
    <w:rsid w:val="30470CFF"/>
    <w:rsid w:val="306918BE"/>
    <w:rsid w:val="30A37680"/>
    <w:rsid w:val="314932AB"/>
    <w:rsid w:val="31AF70F0"/>
    <w:rsid w:val="32D24F00"/>
    <w:rsid w:val="32D963A9"/>
    <w:rsid w:val="32ED21B4"/>
    <w:rsid w:val="331926DE"/>
    <w:rsid w:val="35124AFB"/>
    <w:rsid w:val="35164EC9"/>
    <w:rsid w:val="35167518"/>
    <w:rsid w:val="35EE1AE6"/>
    <w:rsid w:val="36216ACD"/>
    <w:rsid w:val="36AD5505"/>
    <w:rsid w:val="36C724C0"/>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3B6675A"/>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235C37"/>
    <w:rsid w:val="4B2A3C2D"/>
    <w:rsid w:val="4B7C2BF9"/>
    <w:rsid w:val="4B920728"/>
    <w:rsid w:val="4B9357A5"/>
    <w:rsid w:val="4BC67BFF"/>
    <w:rsid w:val="4C19263D"/>
    <w:rsid w:val="4C253F32"/>
    <w:rsid w:val="4C442E20"/>
    <w:rsid w:val="4C714499"/>
    <w:rsid w:val="4C845F8F"/>
    <w:rsid w:val="4D240AFF"/>
    <w:rsid w:val="4D343708"/>
    <w:rsid w:val="4D36566E"/>
    <w:rsid w:val="4DBB24B5"/>
    <w:rsid w:val="4E03467F"/>
    <w:rsid w:val="4EE91176"/>
    <w:rsid w:val="4EF96755"/>
    <w:rsid w:val="4EFF6E71"/>
    <w:rsid w:val="4F7317CB"/>
    <w:rsid w:val="4F7C135A"/>
    <w:rsid w:val="4FC01EDA"/>
    <w:rsid w:val="4FDB410D"/>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5A1590"/>
    <w:rsid w:val="58CE683B"/>
    <w:rsid w:val="59A40B9B"/>
    <w:rsid w:val="5A3C1A0D"/>
    <w:rsid w:val="5A6A2A29"/>
    <w:rsid w:val="5A9244F7"/>
    <w:rsid w:val="5AF97A89"/>
    <w:rsid w:val="5B352171"/>
    <w:rsid w:val="5B514882"/>
    <w:rsid w:val="5B5C757D"/>
    <w:rsid w:val="5B6B124E"/>
    <w:rsid w:val="5CED3860"/>
    <w:rsid w:val="5D155819"/>
    <w:rsid w:val="5D656D7E"/>
    <w:rsid w:val="5DCE0C96"/>
    <w:rsid w:val="5DE454AE"/>
    <w:rsid w:val="5DEC70B2"/>
    <w:rsid w:val="5E1F095F"/>
    <w:rsid w:val="5E482C04"/>
    <w:rsid w:val="5E5D637B"/>
    <w:rsid w:val="5EC735B0"/>
    <w:rsid w:val="5ED837A7"/>
    <w:rsid w:val="5F0F193D"/>
    <w:rsid w:val="5F2B6724"/>
    <w:rsid w:val="5FAE6E09"/>
    <w:rsid w:val="60C055B7"/>
    <w:rsid w:val="612D4EDB"/>
    <w:rsid w:val="61F20913"/>
    <w:rsid w:val="62455A4E"/>
    <w:rsid w:val="624B0B8B"/>
    <w:rsid w:val="62901222"/>
    <w:rsid w:val="62923B3C"/>
    <w:rsid w:val="62C32DEC"/>
    <w:rsid w:val="630D66DA"/>
    <w:rsid w:val="639F4202"/>
    <w:rsid w:val="63B0031B"/>
    <w:rsid w:val="640D5FD9"/>
    <w:rsid w:val="641E0B92"/>
    <w:rsid w:val="642C6292"/>
    <w:rsid w:val="643B0B1A"/>
    <w:rsid w:val="645E3C0F"/>
    <w:rsid w:val="647D1024"/>
    <w:rsid w:val="649324AE"/>
    <w:rsid w:val="64B66725"/>
    <w:rsid w:val="64C074E1"/>
    <w:rsid w:val="64F24C57"/>
    <w:rsid w:val="65025750"/>
    <w:rsid w:val="65191B9C"/>
    <w:rsid w:val="653021A9"/>
    <w:rsid w:val="65EB60C2"/>
    <w:rsid w:val="66022946"/>
    <w:rsid w:val="66A877C4"/>
    <w:rsid w:val="67303E4C"/>
    <w:rsid w:val="67347CE6"/>
    <w:rsid w:val="675A5E15"/>
    <w:rsid w:val="677549A9"/>
    <w:rsid w:val="67A65771"/>
    <w:rsid w:val="67F2708D"/>
    <w:rsid w:val="68030691"/>
    <w:rsid w:val="689E76A5"/>
    <w:rsid w:val="68DB1AF2"/>
    <w:rsid w:val="68E0427F"/>
    <w:rsid w:val="68F75735"/>
    <w:rsid w:val="690E546B"/>
    <w:rsid w:val="694757F4"/>
    <w:rsid w:val="6A18591D"/>
    <w:rsid w:val="6B3B48D5"/>
    <w:rsid w:val="6BBF4B8D"/>
    <w:rsid w:val="6C630660"/>
    <w:rsid w:val="6C6E6460"/>
    <w:rsid w:val="6C9165DC"/>
    <w:rsid w:val="6C9331C1"/>
    <w:rsid w:val="6C9611B5"/>
    <w:rsid w:val="6D2E13D1"/>
    <w:rsid w:val="6D3264BE"/>
    <w:rsid w:val="6D6D6826"/>
    <w:rsid w:val="6D9E11D0"/>
    <w:rsid w:val="6DCC19D2"/>
    <w:rsid w:val="6E050BC4"/>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2C6183"/>
    <w:rsid w:val="75786376"/>
    <w:rsid w:val="75F34010"/>
    <w:rsid w:val="765D45B4"/>
    <w:rsid w:val="76735213"/>
    <w:rsid w:val="772B072A"/>
    <w:rsid w:val="778F1D5A"/>
    <w:rsid w:val="7836349E"/>
    <w:rsid w:val="78A55F95"/>
    <w:rsid w:val="79167FE5"/>
    <w:rsid w:val="794F5B82"/>
    <w:rsid w:val="79E234DF"/>
    <w:rsid w:val="7A0966D2"/>
    <w:rsid w:val="7A0F2FD7"/>
    <w:rsid w:val="7A1B3CD1"/>
    <w:rsid w:val="7A5B19C4"/>
    <w:rsid w:val="7A702BF0"/>
    <w:rsid w:val="7B091C7D"/>
    <w:rsid w:val="7B5F57C0"/>
    <w:rsid w:val="7B877F0B"/>
    <w:rsid w:val="7BEA51AF"/>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rPr>
      <w:rFonts w:asciiTheme="minorHAnsi" w:hAnsiTheme="minorHAnsi" w:eastAsiaTheme="minorEastAsia" w:cstheme="minorBidi"/>
      <w:szCs w:val="22"/>
    </w:rPr>
  </w:style>
  <w:style w:type="paragraph" w:styleId="3">
    <w:name w:val="Normal Indent"/>
    <w:basedOn w:val="1"/>
    <w:qFormat/>
    <w:uiPriority w:val="0"/>
    <w:pPr>
      <w:ind w:firstLine="420" w:firstLineChars="200"/>
    </w:pPr>
  </w:style>
  <w:style w:type="paragraph" w:styleId="4">
    <w:name w:val="Body Text Indent"/>
    <w:basedOn w:val="1"/>
    <w:next w:val="5"/>
    <w:qFormat/>
    <w:uiPriority w:val="0"/>
    <w:pPr>
      <w:spacing w:after="120"/>
      <w:ind w:left="420" w:leftChars="200"/>
    </w:pPr>
  </w:style>
  <w:style w:type="paragraph" w:styleId="5">
    <w:name w:val="Body Text Indent 2"/>
    <w:basedOn w:val="1"/>
    <w:qFormat/>
    <w:uiPriority w:val="0"/>
    <w:pPr>
      <w:spacing w:after="120" w:line="480" w:lineRule="auto"/>
      <w:ind w:left="420" w:leftChars="200"/>
    </w:pPr>
    <w:rPr>
      <w:szCs w:val="24"/>
    </w:rPr>
  </w:style>
  <w:style w:type="paragraph" w:styleId="6">
    <w:name w:val="Body Text First Indent 2"/>
    <w:basedOn w:val="4"/>
    <w:next w:val="4"/>
    <w:qFormat/>
    <w:uiPriority w:val="0"/>
    <w:pPr>
      <w:spacing w:after="0"/>
      <w:ind w:left="0" w:leftChars="0" w:firstLine="420" w:firstLineChars="200"/>
    </w:pPr>
    <w:rPr>
      <w:sz w:val="28"/>
      <w:szCs w:val="22"/>
    </w:rPr>
  </w:style>
  <w:style w:type="paragraph" w:styleId="9">
    <w:name w:val="List Paragraph"/>
    <w:basedOn w:val="1"/>
    <w:qFormat/>
    <w:uiPriority w:val="34"/>
    <w:pPr>
      <w:ind w:firstLine="420" w:firstLineChars="200"/>
    </w:pPr>
    <w:rPr>
      <w:rFonts w:ascii="Calibri" w:hAnsi="Calibri"/>
      <w:szCs w:val="22"/>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2569</Words>
  <Characters>2737</Characters>
  <Lines>24</Lines>
  <Paragraphs>6</Paragraphs>
  <TotalTime>9</TotalTime>
  <ScaleCrop>false</ScaleCrop>
  <LinksUpToDate>false</LinksUpToDate>
  <CharactersWithSpaces>2743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宗</cp:lastModifiedBy>
  <cp:lastPrinted>2025-10-16T03:04:00Z</cp:lastPrinted>
  <dcterms:modified xsi:type="dcterms:W3CDTF">2026-01-27T06:35:02Z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93EC50B0E45E48D7810C2777B682F11B_13</vt:lpwstr>
  </property>
  <property fmtid="{D5CDD505-2E9C-101B-9397-08002B2CF9AE}" pid="4" name="KSOTemplateDocerSaveRecord">
    <vt:lpwstr>eyJoZGlkIjoiMTdlNzdmYmU0NmYwZjFkMThjYjNiYzgwYjhkYmE5MTUiLCJ1c2VySWQiOiIxNDI3OTU5OTA3In0=</vt:lpwstr>
  </property>
</Properties>
</file>