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F5D9E3">
      <w:pPr>
        <w:jc w:val="center"/>
        <w:rPr>
          <w:rFonts w:eastAsia="方正小标宋_GBK"/>
          <w:sz w:val="48"/>
          <w:szCs w:val="48"/>
        </w:rPr>
      </w:pPr>
      <w:bookmarkStart w:id="0" w:name="_GoBack"/>
      <w:bookmarkEnd w:id="0"/>
      <w:r>
        <w:rPr>
          <w:rFonts w:hint="eastAsia" w:eastAsia="方正小标宋_GBK"/>
          <w:sz w:val="48"/>
          <w:szCs w:val="48"/>
          <w:lang w:val="en-US" w:eastAsia="zh-CN"/>
        </w:rPr>
        <w:t>2024</w:t>
      </w:r>
      <w:r>
        <w:rPr>
          <w:rFonts w:eastAsia="方正小标宋_GBK"/>
          <w:sz w:val="48"/>
          <w:szCs w:val="48"/>
        </w:rPr>
        <w:t>年度</w:t>
      </w:r>
      <w:r>
        <w:rPr>
          <w:rFonts w:hint="eastAsia" w:eastAsia="方正小标宋_GBK"/>
          <w:sz w:val="48"/>
          <w:szCs w:val="48"/>
        </w:rPr>
        <w:t>株洲市芦淞区人民政府办公室</w:t>
      </w:r>
      <w:r>
        <w:rPr>
          <w:rFonts w:hint="eastAsia" w:eastAsia="方正小标宋_GBK"/>
          <w:sz w:val="48"/>
          <w:szCs w:val="48"/>
          <w:lang w:eastAsia="zh-CN"/>
        </w:rPr>
        <w:t>整体</w:t>
      </w:r>
      <w:r>
        <w:rPr>
          <w:rFonts w:eastAsia="方正小标宋_GBK"/>
          <w:sz w:val="48"/>
          <w:szCs w:val="48"/>
        </w:rPr>
        <w:t>支出绩效自评报告</w:t>
      </w:r>
    </w:p>
    <w:p w14:paraId="06BD2EF2">
      <w:pPr>
        <w:jc w:val="center"/>
        <w:rPr>
          <w:rFonts w:eastAsia="黑体"/>
          <w:sz w:val="32"/>
          <w:szCs w:val="32"/>
        </w:rPr>
      </w:pPr>
    </w:p>
    <w:p w14:paraId="32B961C1">
      <w:pPr>
        <w:jc w:val="center"/>
        <w:rPr>
          <w:rFonts w:eastAsia="黑体"/>
          <w:sz w:val="32"/>
          <w:szCs w:val="32"/>
        </w:rPr>
      </w:pPr>
    </w:p>
    <w:p w14:paraId="48074638">
      <w:pPr>
        <w:jc w:val="center"/>
        <w:rPr>
          <w:rFonts w:eastAsia="黑体"/>
          <w:sz w:val="32"/>
          <w:szCs w:val="32"/>
        </w:rPr>
      </w:pPr>
    </w:p>
    <w:p w14:paraId="6A45EDAC">
      <w:pPr>
        <w:jc w:val="center"/>
        <w:rPr>
          <w:rFonts w:eastAsia="黑体"/>
          <w:sz w:val="32"/>
          <w:szCs w:val="32"/>
        </w:rPr>
      </w:pPr>
    </w:p>
    <w:p w14:paraId="61AA1A53">
      <w:pPr>
        <w:jc w:val="center"/>
        <w:rPr>
          <w:rFonts w:eastAsia="黑体"/>
          <w:sz w:val="32"/>
          <w:szCs w:val="32"/>
        </w:rPr>
      </w:pPr>
    </w:p>
    <w:p w14:paraId="60C71CEF">
      <w:pPr>
        <w:jc w:val="center"/>
        <w:rPr>
          <w:rFonts w:eastAsia="黑体"/>
          <w:sz w:val="32"/>
          <w:szCs w:val="32"/>
        </w:rPr>
      </w:pPr>
    </w:p>
    <w:p w14:paraId="655F70C6">
      <w:pPr>
        <w:jc w:val="center"/>
        <w:rPr>
          <w:rFonts w:eastAsia="黑体"/>
          <w:sz w:val="32"/>
          <w:szCs w:val="32"/>
        </w:rPr>
      </w:pPr>
    </w:p>
    <w:p w14:paraId="0476C4DE">
      <w:pPr>
        <w:ind w:firstLine="880" w:firstLineChars="200"/>
        <w:jc w:val="center"/>
        <w:rPr>
          <w:rFonts w:eastAsia="黑体"/>
          <w:sz w:val="44"/>
          <w:szCs w:val="44"/>
        </w:rPr>
      </w:pPr>
    </w:p>
    <w:p w14:paraId="4B6E8B57">
      <w:pPr>
        <w:ind w:firstLine="880" w:firstLineChars="200"/>
        <w:jc w:val="center"/>
        <w:rPr>
          <w:rFonts w:eastAsia="黑体"/>
          <w:sz w:val="44"/>
          <w:szCs w:val="44"/>
        </w:rPr>
      </w:pPr>
    </w:p>
    <w:p w14:paraId="1E2E0573">
      <w:pPr>
        <w:ind w:firstLine="880" w:firstLineChars="200"/>
        <w:jc w:val="center"/>
        <w:rPr>
          <w:rFonts w:eastAsia="黑体"/>
          <w:sz w:val="44"/>
          <w:szCs w:val="44"/>
        </w:rPr>
      </w:pPr>
    </w:p>
    <w:p w14:paraId="2304FDD0">
      <w:pPr>
        <w:ind w:firstLine="720" w:firstLineChars="200"/>
        <w:jc w:val="center"/>
        <w:rPr>
          <w:rFonts w:eastAsia="黑体"/>
          <w:sz w:val="36"/>
          <w:szCs w:val="36"/>
        </w:rPr>
      </w:pPr>
      <w:r>
        <w:rPr>
          <w:rFonts w:eastAsia="黑体"/>
          <w:sz w:val="36"/>
          <w:szCs w:val="36"/>
        </w:rPr>
        <w:t>单位名称（盖章）：</w:t>
      </w:r>
    </w:p>
    <w:p w14:paraId="6F92C1D1">
      <w:pPr>
        <w:jc w:val="center"/>
        <w:rPr>
          <w:rFonts w:eastAsia="黑体"/>
          <w:sz w:val="36"/>
          <w:szCs w:val="36"/>
        </w:rPr>
      </w:pPr>
    </w:p>
    <w:p w14:paraId="40CAF117">
      <w:pPr>
        <w:jc w:val="center"/>
        <w:rPr>
          <w:rFonts w:eastAsia="黑体"/>
          <w:sz w:val="32"/>
          <w:szCs w:val="32"/>
        </w:rPr>
      </w:pPr>
    </w:p>
    <w:p w14:paraId="0064EFF6">
      <w:pPr>
        <w:jc w:val="center"/>
        <w:rPr>
          <w:rFonts w:eastAsia="黑体"/>
          <w:sz w:val="32"/>
          <w:szCs w:val="32"/>
        </w:rPr>
      </w:pPr>
    </w:p>
    <w:p w14:paraId="76CC390B">
      <w:pPr>
        <w:jc w:val="center"/>
        <w:rPr>
          <w:rFonts w:eastAsia="黑体"/>
          <w:sz w:val="32"/>
          <w:szCs w:val="32"/>
        </w:rPr>
      </w:pPr>
    </w:p>
    <w:p w14:paraId="18000E1F">
      <w:pPr>
        <w:jc w:val="center"/>
        <w:rPr>
          <w:rFonts w:eastAsia="黑体"/>
          <w:sz w:val="32"/>
          <w:szCs w:val="32"/>
        </w:rPr>
      </w:pPr>
    </w:p>
    <w:p w14:paraId="00C19B59">
      <w:pPr>
        <w:jc w:val="center"/>
        <w:rPr>
          <w:rFonts w:eastAsia="黑体"/>
          <w:sz w:val="32"/>
          <w:szCs w:val="32"/>
        </w:rPr>
      </w:pPr>
    </w:p>
    <w:p w14:paraId="6E7CA2B2">
      <w:pPr>
        <w:jc w:val="center"/>
        <w:rPr>
          <w:rFonts w:eastAsia="黑体"/>
          <w:sz w:val="32"/>
          <w:szCs w:val="32"/>
        </w:rPr>
      </w:pPr>
    </w:p>
    <w:p w14:paraId="48CE3933">
      <w:pPr>
        <w:jc w:val="center"/>
        <w:rPr>
          <w:rFonts w:eastAsia="仿宋_GB2312"/>
          <w:sz w:val="32"/>
          <w:szCs w:val="32"/>
        </w:rPr>
      </w:pPr>
      <w:r>
        <w:rPr>
          <w:rFonts w:eastAsia="仿宋_GB2312"/>
          <w:sz w:val="32"/>
          <w:szCs w:val="32"/>
        </w:rPr>
        <w:t>（此页为封面）</w:t>
      </w:r>
    </w:p>
    <w:p w14:paraId="7505B1A1">
      <w:pPr>
        <w:spacing w:line="600" w:lineRule="exact"/>
        <w:ind w:firstLine="640" w:firstLineChars="200"/>
        <w:rPr>
          <w:rFonts w:eastAsia="黑体"/>
          <w:sz w:val="32"/>
          <w:szCs w:val="32"/>
        </w:rPr>
      </w:pPr>
      <w:r>
        <w:rPr>
          <w:rFonts w:eastAsia="仿宋_GB2312"/>
          <w:sz w:val="32"/>
          <w:szCs w:val="32"/>
        </w:rPr>
        <w:br w:type="page"/>
      </w:r>
      <w:r>
        <w:rPr>
          <w:rFonts w:eastAsia="黑体"/>
          <w:sz w:val="32"/>
          <w:szCs w:val="32"/>
        </w:rPr>
        <w:t>一、基本情况</w:t>
      </w:r>
    </w:p>
    <w:p w14:paraId="7AB3E758">
      <w:pPr>
        <w:spacing w:line="600" w:lineRule="exact"/>
        <w:ind w:firstLine="643" w:firstLineChars="200"/>
        <w:rPr>
          <w:rFonts w:eastAsia="楷体_GB2312"/>
          <w:b/>
          <w:sz w:val="32"/>
          <w:szCs w:val="32"/>
        </w:rPr>
      </w:pPr>
      <w:r>
        <w:rPr>
          <w:rFonts w:eastAsia="楷体_GB2312"/>
          <w:b/>
          <w:sz w:val="32"/>
          <w:szCs w:val="32"/>
        </w:rPr>
        <w:t>（一）</w:t>
      </w:r>
      <w:r>
        <w:rPr>
          <w:rFonts w:hint="eastAsia" w:eastAsia="楷体_GB2312"/>
          <w:b/>
          <w:sz w:val="32"/>
          <w:szCs w:val="32"/>
        </w:rPr>
        <w:t>区政府办</w:t>
      </w:r>
      <w:r>
        <w:rPr>
          <w:rFonts w:eastAsia="楷体_GB2312"/>
          <w:b/>
          <w:sz w:val="32"/>
          <w:szCs w:val="32"/>
        </w:rPr>
        <w:t>基本情况</w:t>
      </w:r>
    </w:p>
    <w:p w14:paraId="7A005240">
      <w:pPr>
        <w:tabs>
          <w:tab w:val="left" w:pos="7560"/>
        </w:tabs>
        <w:adjustRightInd w:val="0"/>
        <w:snapToGrid w:val="0"/>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rPr>
        <w:t>主要职能</w:t>
      </w:r>
    </w:p>
    <w:p w14:paraId="5E59E44B">
      <w:pPr>
        <w:tabs>
          <w:tab w:val="left" w:pos="7560"/>
        </w:tabs>
        <w:adjustRightInd w:val="0"/>
        <w:snapToGrid w:val="0"/>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rPr>
        <w:t>协助区人民政府领导同志审核或组织起草以区人民政府、区人民政府办公室名义发布的公文。</w:t>
      </w:r>
    </w:p>
    <w:p w14:paraId="4B495219">
      <w:pPr>
        <w:tabs>
          <w:tab w:val="left" w:pos="7560"/>
        </w:tabs>
        <w:adjustRightInd w:val="0"/>
        <w:snapToGrid w:val="0"/>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rPr>
        <w:t>研究区人民政府各部门、镇、街道请示区人民政府的事项，并提出初步意见，报区人民政府领导同志审批。</w:t>
      </w:r>
    </w:p>
    <w:p w14:paraId="268A03A8">
      <w:pPr>
        <w:tabs>
          <w:tab w:val="left" w:pos="7560"/>
        </w:tabs>
        <w:adjustRightInd w:val="0"/>
        <w:snapToGrid w:val="0"/>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rPr>
        <w:t>负责区人民政府重要会议的组织和服务工作；协助区人民政府领导同志组织会议决定事项的实施；起草区人民政府领导同志的重要报告和讲话。</w:t>
      </w:r>
    </w:p>
    <w:p w14:paraId="2765359A">
      <w:pPr>
        <w:tabs>
          <w:tab w:val="left" w:pos="7560"/>
        </w:tabs>
        <w:adjustRightInd w:val="0"/>
        <w:snapToGrid w:val="0"/>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rPr>
        <w:t>根据区人民政府领导同志的指示或工作需要，协调区人民政府各单位（部门）之间的工作，对出现的争议问题提出处理意见，报区人民政府领导同志决定。</w:t>
      </w:r>
    </w:p>
    <w:p w14:paraId="456E7DB1">
      <w:pPr>
        <w:tabs>
          <w:tab w:val="left" w:pos="7560"/>
        </w:tabs>
        <w:adjustRightInd w:val="0"/>
        <w:snapToGrid w:val="0"/>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rPr>
        <w:t>负责对国务院、省人民政府、市人民政府、区人民政府重要决定、决策和区人民政府领导同志有关指示的执行落实情况进行督查并跟踪调研，及时向区人民政府报告。</w:t>
      </w:r>
    </w:p>
    <w:p w14:paraId="2A78C1B4">
      <w:pPr>
        <w:tabs>
          <w:tab w:val="left" w:pos="7560"/>
        </w:tabs>
        <w:adjustRightInd w:val="0"/>
        <w:snapToGrid w:val="0"/>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（6）</w:t>
      </w:r>
      <w:r>
        <w:rPr>
          <w:rFonts w:hint="eastAsia" w:ascii="Times New Roman" w:hAnsi="Times New Roman" w:eastAsia="仿宋_GB2312" w:cs="Times New Roman"/>
          <w:sz w:val="32"/>
          <w:szCs w:val="32"/>
        </w:rPr>
        <w:t>组织开展人大代表建议、政协委员提案（微建议）办理工作。</w:t>
      </w:r>
    </w:p>
    <w:p w14:paraId="4CEF8A5B">
      <w:pPr>
        <w:tabs>
          <w:tab w:val="left" w:pos="7560"/>
        </w:tabs>
        <w:adjustRightInd w:val="0"/>
        <w:snapToGrid w:val="0"/>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（7）</w:t>
      </w:r>
      <w:r>
        <w:rPr>
          <w:rFonts w:hint="eastAsia" w:ascii="Times New Roman" w:hAnsi="Times New Roman" w:eastAsia="仿宋_GB2312" w:cs="Times New Roman"/>
          <w:sz w:val="32"/>
          <w:szCs w:val="32"/>
        </w:rPr>
        <w:t>负责区人民政府的日常文书处理、机要、档案等工作。</w:t>
      </w:r>
    </w:p>
    <w:p w14:paraId="7B2841CB">
      <w:pPr>
        <w:tabs>
          <w:tab w:val="left" w:pos="7560"/>
        </w:tabs>
        <w:adjustRightInd w:val="0"/>
        <w:snapToGrid w:val="0"/>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（8）</w:t>
      </w:r>
      <w:r>
        <w:rPr>
          <w:rFonts w:hint="eastAsia" w:ascii="Times New Roman" w:hAnsi="Times New Roman" w:eastAsia="仿宋_GB2312" w:cs="Times New Roman"/>
          <w:sz w:val="32"/>
          <w:szCs w:val="32"/>
        </w:rPr>
        <w:t>负责向市人民政府和区人民政府领导同志报告重要信息和情况；协助处理区人民政府各部门、镇、各街道向区人民政府反映的重要问题；负责区人民政府值班和市长热线、区长热线的办理工作。</w:t>
      </w:r>
    </w:p>
    <w:p w14:paraId="6A58FE8C">
      <w:pPr>
        <w:tabs>
          <w:tab w:val="left" w:pos="7560"/>
        </w:tabs>
        <w:adjustRightInd w:val="0"/>
        <w:snapToGrid w:val="0"/>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（9）</w:t>
      </w:r>
      <w:r>
        <w:rPr>
          <w:rFonts w:hint="eastAsia" w:ascii="Times New Roman" w:hAnsi="Times New Roman" w:eastAsia="仿宋_GB2312" w:cs="Times New Roman"/>
          <w:sz w:val="32"/>
          <w:szCs w:val="32"/>
        </w:rPr>
        <w:t>负责有关政务信息的收集和上传下达，收集、编辑、报送市人民政府及区人民政府领导同志参阅的信息资料，为区人民政府领导同志决策提供服务。</w:t>
      </w:r>
    </w:p>
    <w:p w14:paraId="4AA704FF">
      <w:pPr>
        <w:tabs>
          <w:tab w:val="left" w:pos="7560"/>
        </w:tabs>
        <w:adjustRightInd w:val="0"/>
        <w:snapToGrid w:val="0"/>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（10）</w:t>
      </w:r>
      <w:r>
        <w:rPr>
          <w:rFonts w:hint="eastAsia" w:ascii="Times New Roman" w:hAnsi="Times New Roman" w:eastAsia="仿宋_GB2312" w:cs="Times New Roman"/>
          <w:sz w:val="32"/>
          <w:szCs w:val="32"/>
        </w:rPr>
        <w:t>负责管理全区政府信息公开工作。</w:t>
      </w:r>
    </w:p>
    <w:p w14:paraId="118238AF">
      <w:pPr>
        <w:tabs>
          <w:tab w:val="left" w:pos="7560"/>
        </w:tabs>
        <w:adjustRightInd w:val="0"/>
        <w:snapToGrid w:val="0"/>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（11）</w:t>
      </w:r>
      <w:r>
        <w:rPr>
          <w:rFonts w:hint="eastAsia" w:ascii="Times New Roman" w:hAnsi="Times New Roman" w:eastAsia="仿宋_GB2312" w:cs="Times New Roman"/>
          <w:sz w:val="32"/>
          <w:szCs w:val="32"/>
        </w:rPr>
        <w:t>负责统筹指导全区优化经济发展环境工作。</w:t>
      </w:r>
    </w:p>
    <w:p w14:paraId="7D20BB0B">
      <w:pPr>
        <w:tabs>
          <w:tab w:val="left" w:pos="7560"/>
        </w:tabs>
        <w:adjustRightInd w:val="0"/>
        <w:snapToGrid w:val="0"/>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（12）</w:t>
      </w:r>
      <w:r>
        <w:rPr>
          <w:rFonts w:hint="eastAsia" w:ascii="Times New Roman" w:hAnsi="Times New Roman" w:eastAsia="仿宋_GB2312" w:cs="Times New Roman"/>
          <w:sz w:val="32"/>
          <w:szCs w:val="32"/>
        </w:rPr>
        <w:t>负责对全区经济建设、社会发展等全局性重大课题进行调查研究，提出政策建议，为区人民政府确定经济、社会发展战略提供建议和意见。</w:t>
      </w:r>
    </w:p>
    <w:p w14:paraId="71FD8855">
      <w:pPr>
        <w:ind w:firstLine="640" w:firstLineChars="200"/>
        <w:jc w:val="left"/>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rPr>
        <w:t>（十三</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负责管理指导全区金融工作。</w:t>
      </w:r>
    </w:p>
    <w:p w14:paraId="37C6BADC">
      <w:pPr>
        <w:ind w:firstLine="640" w:firstLineChars="20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eastAsia="zh-CN"/>
        </w:rPr>
        <w:t>（十四）</w:t>
      </w:r>
      <w:r>
        <w:rPr>
          <w:rFonts w:hint="eastAsia" w:ascii="Times New Roman" w:hAnsi="Times New Roman" w:eastAsia="仿宋_GB2312" w:cs="仿宋_GB2312"/>
          <w:sz w:val="32"/>
          <w:szCs w:val="32"/>
        </w:rPr>
        <w:t>完成区委、区政府交办的其他任务。</w:t>
      </w:r>
    </w:p>
    <w:p w14:paraId="38A5835C">
      <w:pPr>
        <w:tabs>
          <w:tab w:val="left" w:pos="7560"/>
        </w:tabs>
        <w:adjustRightInd w:val="0"/>
        <w:snapToGrid w:val="0"/>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（二）</w:t>
      </w:r>
      <w:r>
        <w:rPr>
          <w:rFonts w:hint="eastAsia" w:ascii="Times New Roman" w:hAnsi="Times New Roman" w:eastAsia="仿宋_GB2312" w:cs="Times New Roman"/>
          <w:sz w:val="32"/>
          <w:szCs w:val="32"/>
        </w:rPr>
        <w:t>机构情况</w:t>
      </w:r>
    </w:p>
    <w:p w14:paraId="6FC029B0">
      <w:pPr>
        <w:tabs>
          <w:tab w:val="left" w:pos="7560"/>
        </w:tabs>
        <w:adjustRightInd w:val="0"/>
        <w:snapToGrid w:val="0"/>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株洲市芦淞区人民政府办公室是区政府工作部门，为正科级。设下列内设机构：政府督查室，综合调研室，后勤服务室，区政府总值班室</w:t>
      </w:r>
      <w:r>
        <w:rPr>
          <w:rFonts w:hint="eastAsia" w:eastAsia="仿宋_GB2312" w:cs="Times New Roman"/>
          <w:sz w:val="32"/>
          <w:szCs w:val="32"/>
          <w:lang w:eastAsia="zh-CN"/>
        </w:rPr>
        <w:t>、金融工作室</w:t>
      </w:r>
      <w:r>
        <w:rPr>
          <w:rFonts w:hint="eastAsia" w:ascii="Times New Roman" w:hAnsi="Times New Roman" w:eastAsia="仿宋_GB2312" w:cs="Times New Roman"/>
          <w:sz w:val="32"/>
          <w:szCs w:val="32"/>
        </w:rPr>
        <w:t>。</w:t>
      </w:r>
    </w:p>
    <w:p w14:paraId="3DAAF89B">
      <w:pPr>
        <w:tabs>
          <w:tab w:val="left" w:pos="7560"/>
        </w:tabs>
        <w:adjustRightInd w:val="0"/>
        <w:snapToGrid w:val="0"/>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株洲市芦淞区经济研究中心为株洲市芦淞区政府直属正科级公益一类事业单位，未独立核算，在区政府办列支相关经费开支。</w:t>
      </w:r>
    </w:p>
    <w:p w14:paraId="535FF49D">
      <w:pPr>
        <w:tabs>
          <w:tab w:val="left" w:pos="7560"/>
        </w:tabs>
        <w:adjustRightInd w:val="0"/>
        <w:snapToGrid w:val="0"/>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（三）</w:t>
      </w:r>
      <w:r>
        <w:rPr>
          <w:rFonts w:hint="eastAsia" w:ascii="Times New Roman" w:hAnsi="Times New Roman" w:eastAsia="仿宋_GB2312" w:cs="Times New Roman"/>
          <w:sz w:val="32"/>
          <w:szCs w:val="32"/>
        </w:rPr>
        <w:t>人员情况</w:t>
      </w:r>
    </w:p>
    <w:p w14:paraId="1A9D92E4">
      <w:pPr>
        <w:spacing w:line="600" w:lineRule="exact"/>
        <w:ind w:firstLine="640" w:firstLineChars="200"/>
        <w:rPr>
          <w:rFonts w:eastAsia="楷体_GB2312"/>
          <w:b/>
          <w:sz w:val="32"/>
          <w:szCs w:val="32"/>
        </w:rPr>
      </w:pPr>
      <w:r>
        <w:rPr>
          <w:rFonts w:hint="eastAsia" w:ascii="仿宋_GB2312" w:hAnsi="仿宋" w:eastAsia="仿宋_GB2312" w:cs="Times New Roman"/>
          <w:kern w:val="2"/>
          <w:sz w:val="32"/>
          <w:szCs w:val="32"/>
          <w:highlight w:val="none"/>
          <w:lang w:val="en-US" w:eastAsia="zh-CN" w:bidi="ar-SA"/>
        </w:rPr>
        <w:t>截止2024年12月底，株洲市芦淞区人民政府办公室行政编制22名，工勤编2名，事业编2人，区经济研究中心事业编制11名，共37人，年末实有在编在职人员36人（包含区经济研究中心11人）,退休13人,无固期人员1人。</w:t>
      </w:r>
    </w:p>
    <w:p w14:paraId="0988FCFA">
      <w:pPr>
        <w:spacing w:line="600" w:lineRule="exact"/>
        <w:ind w:firstLine="643" w:firstLineChars="200"/>
        <w:rPr>
          <w:rFonts w:eastAsia="楷体_GB2312"/>
          <w:b/>
          <w:sz w:val="32"/>
          <w:szCs w:val="32"/>
        </w:rPr>
      </w:pPr>
      <w:r>
        <w:rPr>
          <w:rFonts w:eastAsia="楷体_GB2312"/>
          <w:b/>
          <w:sz w:val="32"/>
          <w:szCs w:val="32"/>
        </w:rPr>
        <w:t>（二）</w:t>
      </w:r>
      <w:r>
        <w:rPr>
          <w:rFonts w:hint="eastAsia" w:eastAsia="楷体_GB2312"/>
          <w:b/>
          <w:sz w:val="32"/>
          <w:szCs w:val="32"/>
        </w:rPr>
        <w:t>区政府办</w:t>
      </w:r>
      <w:r>
        <w:rPr>
          <w:rFonts w:eastAsia="楷体_GB2312"/>
          <w:b/>
          <w:sz w:val="32"/>
          <w:szCs w:val="32"/>
        </w:rPr>
        <w:t>年度整体支出绩效目标，</w:t>
      </w:r>
      <w:r>
        <w:rPr>
          <w:rFonts w:hint="eastAsia" w:eastAsia="楷体_GB2312"/>
          <w:b/>
          <w:sz w:val="32"/>
          <w:szCs w:val="32"/>
          <w:lang w:eastAsia="zh-CN"/>
        </w:rPr>
        <w:t>部门</w:t>
      </w:r>
      <w:r>
        <w:rPr>
          <w:rFonts w:eastAsia="楷体_GB2312"/>
          <w:b/>
          <w:sz w:val="32"/>
          <w:szCs w:val="32"/>
        </w:rPr>
        <w:t>专项资金绩效目标、其他项目支出（除省级专项资金以外）绩效目标</w:t>
      </w:r>
    </w:p>
    <w:p w14:paraId="22C7BCF4">
      <w:pPr>
        <w:spacing w:line="600" w:lineRule="exact"/>
        <w:ind w:firstLine="643" w:firstLineChars="200"/>
        <w:rPr>
          <w:rFonts w:hint="eastAsia" w:ascii="Calibri" w:hAnsi="Calibri" w:eastAsia="仿宋" w:cs="Times New Roman"/>
          <w:color w:val="auto"/>
          <w:kern w:val="2"/>
          <w:sz w:val="32"/>
          <w:szCs w:val="32"/>
          <w:lang w:val="en-US" w:eastAsia="zh-CN" w:bidi="ar-SA"/>
        </w:rPr>
      </w:pPr>
      <w:r>
        <w:rPr>
          <w:rFonts w:hint="eastAsia" w:ascii="Calibri" w:hAnsi="Calibri" w:eastAsia="仿宋" w:cs="Times New Roman"/>
          <w:b/>
          <w:bCs/>
          <w:color w:val="auto"/>
          <w:kern w:val="2"/>
          <w:sz w:val="32"/>
          <w:szCs w:val="32"/>
          <w:lang w:val="en-US" w:eastAsia="zh-CN" w:bidi="ar-SA"/>
        </w:rPr>
        <w:t>1、年度整体支出绩效目标</w:t>
      </w:r>
    </w:p>
    <w:p w14:paraId="40BD7FF7">
      <w:pPr>
        <w:spacing w:line="600" w:lineRule="exact"/>
        <w:ind w:firstLine="640" w:firstLineChars="200"/>
        <w:rPr>
          <w:rFonts w:hint="eastAsia" w:ascii="Calibri" w:hAnsi="Calibri" w:eastAsia="仿宋" w:cs="Times New Roman"/>
          <w:color w:val="auto"/>
          <w:kern w:val="2"/>
          <w:sz w:val="32"/>
          <w:szCs w:val="32"/>
          <w:lang w:val="en-US" w:eastAsia="zh-CN" w:bidi="ar-SA"/>
        </w:rPr>
      </w:pPr>
      <w:r>
        <w:rPr>
          <w:rFonts w:hint="eastAsia" w:ascii="Calibri" w:hAnsi="Calibri" w:eastAsia="仿宋" w:cs="Times New Roman"/>
          <w:color w:val="auto"/>
          <w:kern w:val="2"/>
          <w:sz w:val="32"/>
          <w:szCs w:val="32"/>
          <w:lang w:val="en-US" w:eastAsia="zh-CN" w:bidi="ar-SA"/>
        </w:rPr>
        <w:t>按时足额发放干部职工工资、津贴、缴纳政策性社会保障资金；保障在职人员、无固定期限合同人员的正常办公，保障离退休人员生活秩序；保障政务服务、建议提案办理、优化经济环境、督查工作、总值班室、市长热线、综合调研、金融工作、后勤工作的正常开展；保障全面完成省市区布置的各项任务。</w:t>
      </w:r>
    </w:p>
    <w:p w14:paraId="58B0315D">
      <w:pPr>
        <w:spacing w:line="600" w:lineRule="exact"/>
        <w:ind w:firstLine="643" w:firstLineChars="200"/>
        <w:rPr>
          <w:rFonts w:hint="eastAsia" w:ascii="Calibri" w:hAnsi="Calibri" w:eastAsia="仿宋" w:cs="Times New Roman"/>
          <w:b/>
          <w:bCs/>
          <w:color w:val="auto"/>
          <w:kern w:val="2"/>
          <w:sz w:val="32"/>
          <w:szCs w:val="32"/>
          <w:lang w:val="en-US" w:eastAsia="zh-CN" w:bidi="ar-SA"/>
        </w:rPr>
      </w:pPr>
      <w:r>
        <w:rPr>
          <w:rFonts w:hint="eastAsia" w:ascii="Calibri" w:hAnsi="Calibri" w:eastAsia="仿宋" w:cs="Times New Roman"/>
          <w:b/>
          <w:bCs/>
          <w:color w:val="auto"/>
          <w:kern w:val="2"/>
          <w:sz w:val="32"/>
          <w:szCs w:val="32"/>
          <w:lang w:val="en-US" w:eastAsia="zh-CN" w:bidi="ar-SA"/>
        </w:rPr>
        <w:t>2、部门专项资金绩效目标</w:t>
      </w:r>
    </w:p>
    <w:p w14:paraId="04BEE6DC">
      <w:pPr>
        <w:spacing w:line="600" w:lineRule="exact"/>
        <w:ind w:firstLine="640" w:firstLineChars="200"/>
        <w:rPr>
          <w:rFonts w:hint="eastAsia" w:ascii="Calibri" w:hAnsi="Calibri" w:eastAsia="仿宋" w:cs="Times New Roman"/>
          <w:color w:val="auto"/>
          <w:kern w:val="2"/>
          <w:sz w:val="32"/>
          <w:szCs w:val="32"/>
          <w:lang w:val="en-US" w:eastAsia="zh-CN" w:bidi="ar-SA"/>
        </w:rPr>
      </w:pPr>
      <w:r>
        <w:rPr>
          <w:rFonts w:hint="eastAsia" w:ascii="Calibri" w:hAnsi="Calibri" w:eastAsia="仿宋" w:cs="Times New Roman"/>
          <w:color w:val="auto"/>
          <w:kern w:val="2"/>
          <w:sz w:val="32"/>
          <w:szCs w:val="32"/>
          <w:lang w:val="en-US" w:eastAsia="zh-CN" w:bidi="ar-SA"/>
        </w:rPr>
        <w:t>业务经费：负责组织和服务区政府重要会议和接待活动，做好会议活动筹备、物资准备、资料印刷等工作；完成市、区两级人大建议和政协提案，完成市、区两级政协委员微建议办理工作。及时进行工作调度，确保我区突发事件发生后，信息不迟报、漏报、瞒报；在市对区季度及全年市长热线工作考核中取得更好成绩；切实发挥督查利剑作用，在市对区绩效考核中争取优秀，向上对接，争取真抓实干激励表彰和典型经验表彰、负责管理和指导全区金融工作。</w:t>
      </w:r>
    </w:p>
    <w:p w14:paraId="26DA74C5">
      <w:pPr>
        <w:spacing w:line="600" w:lineRule="exact"/>
        <w:ind w:firstLine="640" w:firstLineChars="200"/>
        <w:rPr>
          <w:rFonts w:hint="eastAsia" w:ascii="Calibri" w:hAnsi="Calibri" w:eastAsia="仿宋" w:cs="Times New Roman"/>
          <w:color w:val="auto"/>
          <w:kern w:val="2"/>
          <w:sz w:val="32"/>
          <w:szCs w:val="32"/>
          <w:lang w:val="en-US" w:eastAsia="zh-CN" w:bidi="ar-SA"/>
        </w:rPr>
      </w:pPr>
      <w:r>
        <w:rPr>
          <w:rFonts w:hint="eastAsia" w:ascii="Calibri" w:hAnsi="Calibri" w:eastAsia="仿宋" w:cs="Times New Roman"/>
          <w:color w:val="auto"/>
          <w:kern w:val="2"/>
          <w:sz w:val="32"/>
          <w:szCs w:val="32"/>
          <w:lang w:val="en-US" w:eastAsia="zh-CN" w:bidi="ar-SA"/>
        </w:rPr>
        <w:t>车辆经费：确保公务车辆正常运行。</w:t>
      </w:r>
    </w:p>
    <w:p w14:paraId="3ADA1CA9">
      <w:pPr>
        <w:spacing w:line="600" w:lineRule="exact"/>
        <w:ind w:firstLine="640" w:firstLineChars="200"/>
        <w:rPr>
          <w:rFonts w:hint="eastAsia" w:ascii="Calibri" w:hAnsi="Calibri" w:eastAsia="仿宋" w:cs="Times New Roman"/>
          <w:color w:val="auto"/>
          <w:kern w:val="2"/>
          <w:sz w:val="32"/>
          <w:szCs w:val="32"/>
          <w:lang w:val="en-US" w:eastAsia="zh-CN" w:bidi="ar-SA"/>
        </w:rPr>
      </w:pPr>
      <w:r>
        <w:rPr>
          <w:rFonts w:hint="eastAsia" w:ascii="Calibri" w:hAnsi="Calibri" w:eastAsia="仿宋" w:cs="Times New Roman"/>
          <w:color w:val="auto"/>
          <w:kern w:val="2"/>
          <w:sz w:val="32"/>
          <w:szCs w:val="32"/>
          <w:lang w:val="en-US" w:eastAsia="zh-CN" w:bidi="ar-SA"/>
        </w:rPr>
        <w:t>挂职领导经费：保障挂职期间工作正常开展。</w:t>
      </w:r>
    </w:p>
    <w:p w14:paraId="2103AE43">
      <w:pPr>
        <w:spacing w:line="600" w:lineRule="exact"/>
        <w:ind w:firstLine="640" w:firstLineChars="200"/>
        <w:rPr>
          <w:rFonts w:hint="eastAsia" w:ascii="Calibri" w:hAnsi="Calibri" w:eastAsia="仿宋" w:cs="Times New Roman"/>
          <w:color w:val="auto"/>
          <w:kern w:val="2"/>
          <w:sz w:val="32"/>
          <w:szCs w:val="32"/>
          <w:lang w:val="en-US" w:eastAsia="zh-CN" w:bidi="ar-SA"/>
        </w:rPr>
      </w:pPr>
      <w:r>
        <w:rPr>
          <w:rFonts w:hint="eastAsia" w:ascii="Calibri" w:hAnsi="Calibri" w:eastAsia="仿宋" w:cs="Times New Roman"/>
          <w:color w:val="auto"/>
          <w:kern w:val="2"/>
          <w:sz w:val="32"/>
          <w:szCs w:val="32"/>
          <w:lang w:val="en-US" w:eastAsia="zh-CN" w:bidi="ar-SA"/>
        </w:rPr>
        <w:t>周转房经费：保障周转房设施设备正常使用。</w:t>
      </w:r>
    </w:p>
    <w:p w14:paraId="592595F9">
      <w:pPr>
        <w:spacing w:line="600" w:lineRule="exact"/>
        <w:ind w:firstLine="640" w:firstLineChars="200"/>
        <w:rPr>
          <w:rFonts w:hint="default" w:ascii="Calibri" w:hAnsi="Calibri" w:eastAsia="仿宋" w:cs="Times New Roman"/>
          <w:color w:val="auto"/>
          <w:kern w:val="2"/>
          <w:sz w:val="32"/>
          <w:szCs w:val="32"/>
          <w:highlight w:val="yellow"/>
          <w:lang w:val="en-US" w:eastAsia="zh-CN" w:bidi="ar-SA"/>
        </w:rPr>
      </w:pPr>
      <w:r>
        <w:rPr>
          <w:rFonts w:hint="eastAsia" w:ascii="Calibri" w:hAnsi="Calibri" w:eastAsia="仿宋" w:cs="Times New Roman"/>
          <w:color w:val="auto"/>
          <w:kern w:val="2"/>
          <w:sz w:val="32"/>
          <w:szCs w:val="32"/>
          <w:lang w:val="en-US" w:eastAsia="zh-CN" w:bidi="ar-SA"/>
        </w:rPr>
        <w:t>保密专项：保障相关工作安全、有序开展。</w:t>
      </w:r>
    </w:p>
    <w:p w14:paraId="65FF2321">
      <w:pPr>
        <w:pStyle w:val="4"/>
        <w:spacing w:line="600" w:lineRule="exact"/>
        <w:ind w:firstLine="640"/>
        <w:rPr>
          <w:rFonts w:ascii="Times New Roman" w:hAnsi="Times New Roman" w:eastAsia="黑体"/>
          <w:sz w:val="32"/>
          <w:szCs w:val="32"/>
        </w:rPr>
      </w:pPr>
      <w:r>
        <w:rPr>
          <w:rFonts w:ascii="Times New Roman" w:hAnsi="Times New Roman" w:eastAsia="黑体"/>
          <w:sz w:val="32"/>
          <w:szCs w:val="32"/>
        </w:rPr>
        <w:t>二、一般公共预算支出情况</w:t>
      </w:r>
    </w:p>
    <w:p w14:paraId="4D9219E2">
      <w:pPr>
        <w:pStyle w:val="4"/>
        <w:spacing w:line="600" w:lineRule="exact"/>
        <w:ind w:firstLine="643"/>
        <w:rPr>
          <w:rFonts w:ascii="Times New Roman" w:hAnsi="Times New Roman" w:eastAsia="楷体_GB2312"/>
          <w:b/>
          <w:sz w:val="32"/>
          <w:szCs w:val="32"/>
        </w:rPr>
      </w:pPr>
      <w:r>
        <w:rPr>
          <w:rFonts w:ascii="Times New Roman" w:hAnsi="Times New Roman" w:eastAsia="楷体_GB2312"/>
          <w:b/>
          <w:sz w:val="32"/>
          <w:szCs w:val="32"/>
        </w:rPr>
        <w:t>（一）基本支出情况</w:t>
      </w:r>
    </w:p>
    <w:p w14:paraId="27ADE61F">
      <w:pPr>
        <w:pStyle w:val="4"/>
        <w:spacing w:line="600" w:lineRule="exact"/>
        <w:ind w:firstLine="643"/>
        <w:rPr>
          <w:rFonts w:hint="default" w:ascii="Times New Roman" w:hAnsi="Times New Roman" w:eastAsia="仿宋" w:cs="Times New Roman"/>
          <w:color w:val="auto"/>
          <w:kern w:val="2"/>
          <w:sz w:val="32"/>
          <w:szCs w:val="32"/>
          <w:lang w:val="en-US" w:eastAsia="zh-CN" w:bidi="ar-SA"/>
        </w:rPr>
      </w:pPr>
      <w:r>
        <w:rPr>
          <w:rFonts w:hint="eastAsia" w:ascii="Times New Roman" w:hAnsi="Times New Roman" w:eastAsia="仿宋" w:cs="Times New Roman"/>
          <w:color w:val="auto"/>
          <w:kern w:val="2"/>
          <w:sz w:val="32"/>
          <w:szCs w:val="32"/>
          <w:lang w:val="en-US" w:eastAsia="zh-CN" w:bidi="ar-SA"/>
        </w:rPr>
        <w:t>1、</w:t>
      </w:r>
      <w:r>
        <w:rPr>
          <w:rFonts w:ascii="Times New Roman" w:hAnsi="Times New Roman" w:eastAsia="仿宋" w:cs="Times New Roman"/>
          <w:color w:val="auto"/>
          <w:kern w:val="2"/>
          <w:sz w:val="32"/>
          <w:szCs w:val="32"/>
          <w:lang w:val="en-US" w:eastAsia="zh-CN" w:bidi="ar-SA"/>
        </w:rPr>
        <w:t>202</w:t>
      </w:r>
      <w:r>
        <w:rPr>
          <w:rFonts w:hint="eastAsia" w:ascii="Times New Roman" w:hAnsi="Times New Roman" w:eastAsia="仿宋" w:cs="Times New Roman"/>
          <w:color w:val="auto"/>
          <w:kern w:val="2"/>
          <w:sz w:val="32"/>
          <w:szCs w:val="32"/>
          <w:lang w:val="en-US" w:eastAsia="zh-CN" w:bidi="ar-SA"/>
        </w:rPr>
        <w:t>4</w:t>
      </w:r>
      <w:r>
        <w:rPr>
          <w:rFonts w:ascii="Times New Roman" w:hAnsi="Times New Roman" w:eastAsia="仿宋" w:cs="Times New Roman"/>
          <w:color w:val="auto"/>
          <w:kern w:val="2"/>
          <w:sz w:val="32"/>
          <w:szCs w:val="32"/>
          <w:lang w:val="en-US" w:eastAsia="zh-CN" w:bidi="ar-SA"/>
        </w:rPr>
        <w:t>年预算资金</w:t>
      </w:r>
      <w:r>
        <w:rPr>
          <w:rFonts w:hint="eastAsia" w:ascii="Times New Roman" w:hAnsi="Times New Roman" w:eastAsia="仿宋" w:cs="Times New Roman"/>
          <w:color w:val="auto"/>
          <w:kern w:val="2"/>
          <w:sz w:val="32"/>
          <w:szCs w:val="32"/>
          <w:lang w:val="en-US" w:eastAsia="zh-CN" w:bidi="ar-SA"/>
        </w:rPr>
        <w:t>659.28万元。</w:t>
      </w:r>
    </w:p>
    <w:p w14:paraId="36097CFC">
      <w:pPr>
        <w:pStyle w:val="4"/>
        <w:spacing w:line="600" w:lineRule="exact"/>
        <w:ind w:firstLine="643"/>
        <w:rPr>
          <w:rFonts w:hint="default" w:eastAsia="仿宋"/>
          <w:color w:val="auto"/>
          <w:sz w:val="32"/>
          <w:szCs w:val="32"/>
          <w:lang w:val="en-US" w:eastAsia="zh-CN"/>
        </w:rPr>
      </w:pPr>
      <w:r>
        <w:rPr>
          <w:rFonts w:hint="eastAsia" w:ascii="Times New Roman" w:hAnsi="Times New Roman" w:eastAsia="仿宋" w:cs="Times New Roman"/>
          <w:color w:val="auto"/>
          <w:kern w:val="2"/>
          <w:sz w:val="32"/>
          <w:szCs w:val="32"/>
          <w:lang w:val="en-US" w:eastAsia="zh-CN" w:bidi="ar-SA"/>
        </w:rPr>
        <w:t>2、2024年度</w:t>
      </w:r>
      <w:r>
        <w:rPr>
          <w:rFonts w:ascii="Times New Roman" w:hAnsi="Times New Roman" w:eastAsia="仿宋" w:cs="Times New Roman"/>
          <w:color w:val="auto"/>
          <w:kern w:val="2"/>
          <w:sz w:val="32"/>
          <w:szCs w:val="32"/>
          <w:lang w:val="en-US" w:eastAsia="zh-CN" w:bidi="ar-SA"/>
        </w:rPr>
        <w:t>单位</w:t>
      </w:r>
      <w:r>
        <w:rPr>
          <w:rFonts w:hint="eastAsia" w:ascii="Times New Roman" w:hAnsi="Times New Roman" w:eastAsia="仿宋" w:cs="Times New Roman"/>
          <w:color w:val="auto"/>
          <w:kern w:val="2"/>
          <w:sz w:val="32"/>
          <w:szCs w:val="32"/>
          <w:lang w:val="en-US" w:eastAsia="zh-CN" w:bidi="ar-SA"/>
        </w:rPr>
        <w:t>一般公共预算财政拨款</w:t>
      </w:r>
      <w:r>
        <w:rPr>
          <w:rFonts w:ascii="Times New Roman" w:hAnsi="Times New Roman" w:eastAsia="仿宋" w:cs="Times New Roman"/>
          <w:color w:val="auto"/>
          <w:kern w:val="2"/>
          <w:sz w:val="32"/>
          <w:szCs w:val="32"/>
          <w:lang w:val="en-US" w:eastAsia="zh-CN" w:bidi="ar-SA"/>
        </w:rPr>
        <w:t>收入</w:t>
      </w:r>
      <w:r>
        <w:rPr>
          <w:rFonts w:hint="eastAsia" w:ascii="Times New Roman" w:hAnsi="Times New Roman" w:eastAsia="仿宋" w:cs="Times New Roman"/>
          <w:color w:val="auto"/>
          <w:kern w:val="2"/>
          <w:sz w:val="32"/>
          <w:szCs w:val="32"/>
          <w:lang w:val="en-US" w:eastAsia="zh-CN" w:bidi="ar-SA"/>
        </w:rPr>
        <w:t>744.97万元。</w:t>
      </w:r>
    </w:p>
    <w:p w14:paraId="65368BC4">
      <w:pPr>
        <w:spacing w:line="580" w:lineRule="exact"/>
        <w:ind w:firstLine="640" w:firstLineChars="200"/>
        <w:rPr>
          <w:rFonts w:hint="eastAsia" w:eastAsia="仿宋"/>
          <w:color w:val="0000FF"/>
          <w:sz w:val="32"/>
          <w:szCs w:val="32"/>
          <w:lang w:val="en-US" w:eastAsia="zh-CN"/>
        </w:rPr>
      </w:pPr>
      <w:r>
        <w:rPr>
          <w:rFonts w:eastAsia="仿宋"/>
          <w:color w:val="auto"/>
          <w:sz w:val="32"/>
          <w:szCs w:val="32"/>
        </w:rPr>
        <w:t>3</w:t>
      </w:r>
      <w:r>
        <w:rPr>
          <w:rFonts w:hint="eastAsia" w:eastAsia="仿宋"/>
          <w:color w:val="auto"/>
          <w:sz w:val="32"/>
          <w:szCs w:val="32"/>
          <w:lang w:eastAsia="zh-CN"/>
        </w:rPr>
        <w:t>、</w:t>
      </w:r>
      <w:r>
        <w:rPr>
          <w:rFonts w:hint="eastAsia" w:eastAsia="仿宋"/>
          <w:color w:val="auto"/>
          <w:sz w:val="32"/>
          <w:szCs w:val="32"/>
          <w:lang w:val="en-US" w:eastAsia="zh-CN"/>
        </w:rPr>
        <w:t>2024年度</w:t>
      </w:r>
      <w:r>
        <w:rPr>
          <w:rFonts w:eastAsia="仿宋"/>
          <w:color w:val="auto"/>
          <w:sz w:val="32"/>
          <w:szCs w:val="32"/>
        </w:rPr>
        <w:t>单位</w:t>
      </w:r>
      <w:r>
        <w:rPr>
          <w:rFonts w:hint="eastAsia" w:eastAsia="仿宋"/>
          <w:color w:val="auto"/>
          <w:sz w:val="32"/>
          <w:szCs w:val="32"/>
        </w:rPr>
        <w:t>一般公共预算财政拨款</w:t>
      </w:r>
      <w:r>
        <w:rPr>
          <w:rFonts w:hint="eastAsia" w:eastAsia="仿宋"/>
          <w:color w:val="auto"/>
          <w:sz w:val="32"/>
          <w:szCs w:val="32"/>
          <w:lang w:eastAsia="zh-CN"/>
        </w:rPr>
        <w:t>支出744.97</w:t>
      </w:r>
      <w:r>
        <w:rPr>
          <w:rFonts w:hint="eastAsia" w:eastAsia="仿宋"/>
          <w:color w:val="auto"/>
          <w:sz w:val="32"/>
          <w:szCs w:val="32"/>
          <w:lang w:val="en-US" w:eastAsia="zh-CN"/>
        </w:rPr>
        <w:t>万元，</w:t>
      </w:r>
      <w:r>
        <w:rPr>
          <w:rFonts w:eastAsia="仿宋"/>
          <w:color w:val="auto"/>
          <w:sz w:val="32"/>
          <w:szCs w:val="32"/>
        </w:rPr>
        <w:t>其中：项目支出</w:t>
      </w:r>
      <w:r>
        <w:rPr>
          <w:rFonts w:hint="eastAsia" w:eastAsia="仿宋"/>
          <w:color w:val="auto"/>
          <w:sz w:val="32"/>
          <w:szCs w:val="32"/>
          <w:lang w:val="en-US" w:eastAsia="zh-CN"/>
        </w:rPr>
        <w:t>54.49</w:t>
      </w:r>
      <w:r>
        <w:rPr>
          <w:rFonts w:eastAsia="仿宋"/>
          <w:color w:val="auto"/>
          <w:sz w:val="32"/>
          <w:szCs w:val="32"/>
        </w:rPr>
        <w:t>万元，基本支出</w:t>
      </w:r>
      <w:r>
        <w:rPr>
          <w:rFonts w:hint="eastAsia" w:eastAsia="仿宋"/>
          <w:color w:val="auto"/>
          <w:sz w:val="32"/>
          <w:szCs w:val="32"/>
          <w:lang w:val="en-US" w:eastAsia="zh-CN"/>
        </w:rPr>
        <w:t>690.48</w:t>
      </w:r>
      <w:r>
        <w:rPr>
          <w:rFonts w:eastAsia="仿宋"/>
          <w:color w:val="auto"/>
          <w:sz w:val="32"/>
          <w:szCs w:val="32"/>
        </w:rPr>
        <w:t>万元，其中：人员经费</w:t>
      </w:r>
      <w:r>
        <w:rPr>
          <w:rFonts w:hint="eastAsia" w:eastAsia="仿宋"/>
          <w:color w:val="auto"/>
          <w:sz w:val="32"/>
          <w:szCs w:val="32"/>
          <w:lang w:val="en-US" w:eastAsia="zh-CN"/>
        </w:rPr>
        <w:t>564.97</w:t>
      </w:r>
      <w:r>
        <w:rPr>
          <w:rFonts w:eastAsia="仿宋"/>
          <w:color w:val="auto"/>
          <w:sz w:val="32"/>
          <w:szCs w:val="32"/>
        </w:rPr>
        <w:t>万元，公用经费</w:t>
      </w:r>
      <w:r>
        <w:rPr>
          <w:rFonts w:hint="eastAsia" w:eastAsia="仿宋"/>
          <w:color w:val="auto"/>
          <w:sz w:val="32"/>
          <w:szCs w:val="32"/>
          <w:lang w:val="en-US" w:eastAsia="zh-CN"/>
        </w:rPr>
        <w:t>125.51万</w:t>
      </w:r>
      <w:r>
        <w:rPr>
          <w:rFonts w:eastAsia="仿宋"/>
          <w:color w:val="auto"/>
          <w:sz w:val="32"/>
          <w:szCs w:val="32"/>
        </w:rPr>
        <w:t>元。</w:t>
      </w:r>
    </w:p>
    <w:p w14:paraId="546FC3FA">
      <w:pPr>
        <w:pStyle w:val="4"/>
        <w:numPr>
          <w:ilvl w:val="0"/>
          <w:numId w:val="1"/>
        </w:numPr>
        <w:spacing w:line="600" w:lineRule="exact"/>
        <w:ind w:firstLine="643"/>
        <w:rPr>
          <w:rFonts w:ascii="Times New Roman" w:hAnsi="Times New Roman" w:eastAsia="楷体_GB2312"/>
          <w:b/>
          <w:sz w:val="32"/>
          <w:szCs w:val="32"/>
          <w:lang w:val="en-US" w:eastAsia="zh-CN"/>
        </w:rPr>
      </w:pPr>
      <w:r>
        <w:rPr>
          <w:rFonts w:ascii="Times New Roman" w:hAnsi="Times New Roman" w:eastAsia="楷体_GB2312"/>
          <w:b/>
          <w:sz w:val="32"/>
          <w:szCs w:val="32"/>
          <w:lang w:val="en-US" w:eastAsia="zh-CN"/>
        </w:rPr>
        <w:t>项目支出情况</w:t>
      </w:r>
    </w:p>
    <w:p w14:paraId="7D11CB47">
      <w:pPr>
        <w:pStyle w:val="4"/>
        <w:numPr>
          <w:ilvl w:val="0"/>
          <w:numId w:val="0"/>
        </w:numPr>
        <w:spacing w:line="600" w:lineRule="exact"/>
        <w:ind w:firstLine="640" w:firstLineChars="200"/>
        <w:rPr>
          <w:rFonts w:hint="default" w:ascii="Times New Roman" w:hAnsi="Times New Roman" w:eastAsia="仿宋" w:cs="Times New Roman"/>
          <w:color w:val="auto"/>
          <w:kern w:val="2"/>
          <w:sz w:val="32"/>
          <w:szCs w:val="32"/>
          <w:lang w:val="en-US" w:eastAsia="zh-CN" w:bidi="ar-SA"/>
        </w:rPr>
      </w:pPr>
      <w:r>
        <w:rPr>
          <w:rFonts w:hint="eastAsia" w:ascii="Times New Roman" w:hAnsi="Times New Roman" w:eastAsia="仿宋" w:cs="Times New Roman"/>
          <w:color w:val="auto"/>
          <w:kern w:val="2"/>
          <w:sz w:val="32"/>
          <w:szCs w:val="32"/>
          <w:lang w:val="en-US" w:eastAsia="zh-CN" w:bidi="ar-SA"/>
        </w:rPr>
        <w:t>2024年度项目支出合计54.49万元，其中：车辆经费专项5.09万元，挂职干部经费5.61万元，任职领导经费0.36万元，业务经费29.93万元，保密专项4.63万元，产业发展资金8.87万元。</w:t>
      </w:r>
    </w:p>
    <w:p w14:paraId="7FAE22B4">
      <w:pPr>
        <w:pStyle w:val="4"/>
        <w:spacing w:line="600" w:lineRule="exact"/>
        <w:ind w:firstLine="640"/>
        <w:rPr>
          <w:rFonts w:ascii="Times New Roman" w:hAnsi="Times New Roman" w:eastAsia="黑体"/>
          <w:sz w:val="32"/>
          <w:szCs w:val="32"/>
        </w:rPr>
      </w:pPr>
      <w:r>
        <w:rPr>
          <w:rFonts w:ascii="Times New Roman" w:hAnsi="Times New Roman" w:eastAsia="黑体"/>
          <w:sz w:val="32"/>
          <w:szCs w:val="32"/>
        </w:rPr>
        <w:t>三、政府性基金预算支出情况</w:t>
      </w:r>
    </w:p>
    <w:p w14:paraId="711BED95">
      <w:pPr>
        <w:pStyle w:val="4"/>
        <w:spacing w:line="560" w:lineRule="exact"/>
        <w:ind w:firstLine="640"/>
        <w:rPr>
          <w:rFonts w:hint="eastAsia" w:ascii="Times New Roman" w:hAnsi="Times New Roman" w:eastAsia="黑体"/>
          <w:sz w:val="32"/>
          <w:szCs w:val="32"/>
          <w:lang w:eastAsia="zh-CN"/>
        </w:rPr>
      </w:pPr>
      <w:r>
        <w:rPr>
          <w:rFonts w:hint="eastAsia" w:ascii="Times New Roman" w:hAnsi="Times New Roman" w:eastAsia="仿宋"/>
          <w:sz w:val="32"/>
          <w:szCs w:val="32"/>
        </w:rPr>
        <w:t>无。</w:t>
      </w:r>
    </w:p>
    <w:p w14:paraId="222B2C09">
      <w:pPr>
        <w:pStyle w:val="4"/>
        <w:spacing w:line="600" w:lineRule="exact"/>
        <w:ind w:firstLine="640"/>
        <w:rPr>
          <w:rFonts w:ascii="Times New Roman" w:hAnsi="Times New Roman" w:eastAsia="黑体"/>
          <w:sz w:val="32"/>
          <w:szCs w:val="32"/>
        </w:rPr>
      </w:pPr>
      <w:r>
        <w:rPr>
          <w:rFonts w:ascii="Times New Roman" w:hAnsi="Times New Roman" w:eastAsia="黑体"/>
          <w:sz w:val="32"/>
          <w:szCs w:val="32"/>
        </w:rPr>
        <w:t>四、国有资本经营预算支出情况</w:t>
      </w:r>
    </w:p>
    <w:p w14:paraId="2B05F104">
      <w:pPr>
        <w:pStyle w:val="4"/>
        <w:spacing w:line="560" w:lineRule="exact"/>
        <w:ind w:firstLine="640"/>
        <w:rPr>
          <w:rFonts w:hint="eastAsia" w:ascii="Times New Roman" w:hAnsi="Times New Roman" w:eastAsia="黑体"/>
          <w:sz w:val="32"/>
          <w:szCs w:val="32"/>
          <w:lang w:eastAsia="zh-CN"/>
        </w:rPr>
      </w:pPr>
      <w:r>
        <w:rPr>
          <w:rFonts w:hint="eastAsia" w:ascii="Times New Roman" w:hAnsi="Times New Roman" w:eastAsia="仿宋"/>
          <w:sz w:val="32"/>
          <w:szCs w:val="32"/>
        </w:rPr>
        <w:t>无。</w:t>
      </w:r>
    </w:p>
    <w:p w14:paraId="69913414">
      <w:pPr>
        <w:pStyle w:val="4"/>
        <w:spacing w:line="600" w:lineRule="exact"/>
        <w:ind w:firstLine="640"/>
        <w:rPr>
          <w:rFonts w:ascii="Times New Roman" w:hAnsi="Times New Roman" w:eastAsia="黑体"/>
          <w:sz w:val="32"/>
          <w:szCs w:val="32"/>
        </w:rPr>
      </w:pPr>
      <w:r>
        <w:rPr>
          <w:rFonts w:ascii="Times New Roman" w:hAnsi="Times New Roman" w:eastAsia="黑体"/>
          <w:sz w:val="32"/>
          <w:szCs w:val="32"/>
        </w:rPr>
        <w:t>五、社会保险基金预算支出情况</w:t>
      </w:r>
    </w:p>
    <w:p w14:paraId="26A12FE5">
      <w:pPr>
        <w:pStyle w:val="4"/>
        <w:spacing w:line="560" w:lineRule="exact"/>
        <w:ind w:firstLine="640"/>
        <w:rPr>
          <w:rFonts w:ascii="Times New Roman" w:hAnsi="Times New Roman" w:eastAsia="黑体"/>
          <w:sz w:val="32"/>
          <w:szCs w:val="32"/>
        </w:rPr>
      </w:pPr>
      <w:r>
        <w:rPr>
          <w:rFonts w:hint="eastAsia" w:ascii="Times New Roman" w:hAnsi="Times New Roman" w:eastAsia="仿宋"/>
          <w:sz w:val="32"/>
          <w:szCs w:val="32"/>
        </w:rPr>
        <w:t>无。</w:t>
      </w:r>
    </w:p>
    <w:p w14:paraId="13AD24BE">
      <w:pPr>
        <w:spacing w:line="600" w:lineRule="exact"/>
        <w:ind w:firstLine="640" w:firstLineChars="200"/>
        <w:rPr>
          <w:rFonts w:eastAsia="黑体"/>
          <w:sz w:val="32"/>
          <w:szCs w:val="32"/>
        </w:rPr>
      </w:pPr>
      <w:r>
        <w:rPr>
          <w:rFonts w:eastAsia="黑体"/>
          <w:sz w:val="32"/>
          <w:szCs w:val="32"/>
        </w:rPr>
        <w:t>六、</w:t>
      </w:r>
      <w:r>
        <w:rPr>
          <w:rFonts w:hint="eastAsia" w:eastAsia="黑体"/>
          <w:sz w:val="32"/>
          <w:szCs w:val="32"/>
          <w:lang w:eastAsia="zh-CN"/>
        </w:rPr>
        <w:t>资金使用及</w:t>
      </w:r>
      <w:r>
        <w:rPr>
          <w:rFonts w:eastAsia="黑体"/>
          <w:sz w:val="32"/>
          <w:szCs w:val="32"/>
        </w:rPr>
        <w:t>绩效情况</w:t>
      </w:r>
    </w:p>
    <w:p w14:paraId="7755E9D1">
      <w:pPr>
        <w:spacing w:line="600" w:lineRule="exact"/>
        <w:ind w:firstLine="643" w:firstLineChars="200"/>
        <w:rPr>
          <w:rFonts w:hint="eastAsia" w:ascii="Times New Roman" w:hAnsi="Times New Roman" w:eastAsia="楷体_GB2312" w:cs="Times New Roman"/>
          <w:b/>
          <w:kern w:val="2"/>
          <w:sz w:val="32"/>
          <w:szCs w:val="32"/>
          <w:lang w:val="en-US" w:eastAsia="zh-CN" w:bidi="ar-SA"/>
        </w:rPr>
      </w:pPr>
      <w:r>
        <w:rPr>
          <w:rFonts w:hint="eastAsia" w:ascii="Times New Roman" w:hAnsi="Times New Roman" w:eastAsia="楷体_GB2312" w:cs="Times New Roman"/>
          <w:b/>
          <w:kern w:val="2"/>
          <w:sz w:val="32"/>
          <w:szCs w:val="32"/>
          <w:lang w:val="en-US" w:eastAsia="zh-CN" w:bidi="ar-SA"/>
        </w:rPr>
        <w:t>(一）部门整体支出绩效情况</w:t>
      </w:r>
    </w:p>
    <w:p w14:paraId="5418805C">
      <w:pPr>
        <w:spacing w:line="600" w:lineRule="exact"/>
        <w:ind w:firstLine="640" w:firstLineChars="200"/>
        <w:rPr>
          <w:rFonts w:hint="eastAsia" w:eastAsia="仿宋_GB2312"/>
          <w:color w:val="000000"/>
          <w:sz w:val="32"/>
          <w:szCs w:val="32"/>
        </w:rPr>
      </w:pPr>
      <w:r>
        <w:rPr>
          <w:rFonts w:hint="eastAsia" w:eastAsia="仿宋_GB2312"/>
          <w:color w:val="000000"/>
          <w:sz w:val="32"/>
          <w:szCs w:val="32"/>
        </w:rPr>
        <w:t>一年来，区政府办紧紧围绕区委、区政府重大决策部署，认真落实区委“128”年度发展思路，充分发挥统筹协调、参谋辅政、督促检查、服务保障等职能作用，全力保障区政府各项工作高效有序运转。现将一年来工作情况报告如下：</w:t>
      </w:r>
    </w:p>
    <w:p w14:paraId="6BCFE5F1">
      <w:pPr>
        <w:spacing w:line="600" w:lineRule="exact"/>
        <w:ind w:firstLine="640" w:firstLineChars="200"/>
        <w:rPr>
          <w:rFonts w:hint="eastAsia" w:eastAsia="仿宋_GB2312"/>
          <w:color w:val="000000"/>
          <w:sz w:val="32"/>
          <w:szCs w:val="32"/>
        </w:rPr>
      </w:pPr>
      <w:r>
        <w:rPr>
          <w:rFonts w:hint="eastAsia" w:eastAsia="仿宋_GB2312"/>
          <w:color w:val="000000"/>
          <w:sz w:val="32"/>
          <w:szCs w:val="32"/>
        </w:rPr>
        <w:t>1.坚持党建引领、政治铸魂，队伍建设展现新面貌</w:t>
      </w:r>
    </w:p>
    <w:p w14:paraId="1FEDAB7D">
      <w:pPr>
        <w:spacing w:line="600" w:lineRule="exact"/>
        <w:ind w:firstLine="640" w:firstLineChars="200"/>
        <w:rPr>
          <w:rFonts w:hint="eastAsia" w:eastAsia="仿宋_GB2312"/>
          <w:color w:val="000000"/>
          <w:sz w:val="32"/>
          <w:szCs w:val="32"/>
        </w:rPr>
      </w:pPr>
      <w:r>
        <w:rPr>
          <w:rFonts w:hint="eastAsia" w:eastAsia="仿宋_GB2312"/>
          <w:color w:val="000000"/>
          <w:sz w:val="32"/>
          <w:szCs w:val="32"/>
        </w:rPr>
        <w:t>一是强化政治建设显担当。坚定正确政治方向，坚持以习近平新时代中国特色社会主义思想为指导，牢牢把握办公室政治机关定位，不断提高政治判断力、领悟力、执行力，切实增强“四个意识”、坚定“四个自信”、做到“两个维护”，确保各项工作沿着正确方向向前推进。持续强化理论武装，全面落实“第一议题”学习制度，认真开展习近平新时代中国特色社会主义思想、党的二十大和二十届三中全会精神传达学习，扎实开展党纪学习教育，开展集体学习12次，专题党课4次。坚决服从区委领导，坚持重大事项及时向区委请示报告制度，做到政令畅通、令行禁止，以实际行动贯彻落实中央、省、市和区委各项决策部署。</w:t>
      </w:r>
    </w:p>
    <w:p w14:paraId="40670583">
      <w:pPr>
        <w:spacing w:line="600" w:lineRule="exact"/>
        <w:ind w:firstLine="640" w:firstLineChars="200"/>
        <w:rPr>
          <w:rFonts w:hint="eastAsia" w:eastAsia="仿宋_GB2312"/>
          <w:color w:val="000000"/>
          <w:sz w:val="32"/>
          <w:szCs w:val="32"/>
        </w:rPr>
      </w:pPr>
      <w:r>
        <w:rPr>
          <w:rFonts w:hint="eastAsia" w:eastAsia="仿宋_GB2312"/>
          <w:color w:val="000000"/>
          <w:sz w:val="32"/>
          <w:szCs w:val="32"/>
        </w:rPr>
        <w:t>二是扛牢主体责任夯基础。把坚持党的全面领导贯穿办公室工作全过程，坚持“‘一把手’带头抓、班子成员一起抓”，制定政府办党组全面从严治党工作计划及“两个责任清单”，把全面从严治党工作同中心工作同部署、同推动、同落实。全面落实意识形态工作责任制，党组书记旗帜鲜明地站在意识形态工作“第一线”，班子成员齐抓共管，认真落实“两级责任制”，健全“三级网络”，深入践行“四个纳入”要求，开展意识形态工作专题会议2次。高度重视舆论监督，积极关注网络问政平台上群众呼声，第一时间调查核实并回复，引导正确舆论导向。</w:t>
      </w:r>
    </w:p>
    <w:p w14:paraId="08A60EB3">
      <w:pPr>
        <w:spacing w:line="600" w:lineRule="exact"/>
        <w:ind w:firstLine="640" w:firstLineChars="200"/>
        <w:rPr>
          <w:rFonts w:hint="eastAsia" w:eastAsia="仿宋_GB2312"/>
          <w:color w:val="000000"/>
          <w:sz w:val="32"/>
          <w:szCs w:val="32"/>
        </w:rPr>
      </w:pPr>
      <w:r>
        <w:rPr>
          <w:rFonts w:hint="eastAsia" w:eastAsia="仿宋_GB2312"/>
          <w:color w:val="000000"/>
          <w:sz w:val="32"/>
          <w:szCs w:val="32"/>
        </w:rPr>
        <w:t>三是加强自身建设明纪律。严肃党内政治生活，认真落实“三会一课”、主题党日、民主生活会等制度，开展主题党日活动12次，民主生活会1次。高质高效完成党支部支委补选，完成党员转正1名、发展预备党员1名，全面加强党员队伍建设，充分发挥党员先锋模范作用。严格落实领导干部“一岗双责”，认真做好巡查整改各项工作，组织支部党员观看警示教育片，及时发送节假日廉洁提醒。开展集体廉政谈话和个人谈心谈话，认真查摆政府办违纪风险点，筑牢防变拒腐的思想道德防线。</w:t>
      </w:r>
    </w:p>
    <w:p w14:paraId="3629619A">
      <w:pPr>
        <w:spacing w:line="600" w:lineRule="exact"/>
        <w:ind w:firstLine="640" w:firstLineChars="200"/>
        <w:rPr>
          <w:rFonts w:hint="eastAsia" w:eastAsia="仿宋_GB2312"/>
          <w:color w:val="000000"/>
          <w:sz w:val="32"/>
          <w:szCs w:val="32"/>
        </w:rPr>
      </w:pPr>
      <w:r>
        <w:rPr>
          <w:rFonts w:hint="eastAsia" w:eastAsia="仿宋_GB2312"/>
          <w:color w:val="000000"/>
          <w:sz w:val="32"/>
          <w:szCs w:val="32"/>
        </w:rPr>
        <w:t>2.坚持严谨细致、真抓实干，服务效能迈上新台阶</w:t>
      </w:r>
    </w:p>
    <w:p w14:paraId="486029F3">
      <w:pPr>
        <w:spacing w:line="600" w:lineRule="exact"/>
        <w:ind w:firstLine="640" w:firstLineChars="200"/>
        <w:rPr>
          <w:rFonts w:hint="eastAsia" w:eastAsia="仿宋_GB2312"/>
          <w:color w:val="000000"/>
          <w:sz w:val="32"/>
          <w:szCs w:val="32"/>
        </w:rPr>
      </w:pPr>
      <w:r>
        <w:rPr>
          <w:rFonts w:hint="eastAsia" w:eastAsia="仿宋_GB2312"/>
          <w:color w:val="000000"/>
          <w:sz w:val="32"/>
          <w:szCs w:val="32"/>
        </w:rPr>
        <w:t xml:space="preserve">一是参谋辅政精准发力。重点围绕区委、区政府工作安排，深入开展调查研究，全面完成各项文稿起草任务，共撰写领导讲话、工作情况汇报等各类综合材料120余篇100多万字，文稿质量得到了区政府领导的充分肯定。政务信息力争上游，严格按照省、市相关要求，将信息报送打造成展示芦淞特色发展经验的窗口，累计收集编发政务信息230余篇，多期稿件被《国办综合》《湖南信息》等采用刊发。政务信息工作在全市连续排名第一。 </w:t>
      </w:r>
    </w:p>
    <w:p w14:paraId="18CB2C31">
      <w:pPr>
        <w:spacing w:line="600" w:lineRule="exact"/>
        <w:ind w:firstLine="640" w:firstLineChars="200"/>
        <w:rPr>
          <w:rFonts w:hint="eastAsia" w:eastAsia="仿宋_GB2312"/>
          <w:color w:val="000000"/>
          <w:sz w:val="32"/>
          <w:szCs w:val="32"/>
        </w:rPr>
      </w:pPr>
      <w:r>
        <w:rPr>
          <w:rFonts w:hint="eastAsia" w:eastAsia="仿宋_GB2312"/>
          <w:color w:val="000000"/>
          <w:sz w:val="32"/>
          <w:szCs w:val="32"/>
        </w:rPr>
        <w:t>二是政务服务不断优化。高质量办文，精简文件成果进一步巩固，印发芦政发、芦政办发等普发性文件12个。高效率办会，完善会前准备、会中服务、会后落实三大环节，全面推行套会、并会制度，减少陪会人员、压缩会议时间，成功组织召开低空经济产业链推进会、芦淞区“四上”企业培育动员会、芦淞区“八大行动”工作推进会、芦淞区产业发展与创新成果转化大会、区政府月度重点工作碰头会、“实干芦淞”月讲堂等重要会议20余次，区政府常务会议16次。高标准接待，完成了接待国、省、市政府领导莅商调研检查200余批（次），严谨细致参与服博会、航空嘉年华、科技活动周开幕式、六·五环境日株洲主场宣传活动、白关丝瓜节等节会活动筹备工作。</w:t>
      </w:r>
    </w:p>
    <w:p w14:paraId="0219C74B">
      <w:pPr>
        <w:spacing w:line="600" w:lineRule="exact"/>
        <w:ind w:firstLine="640" w:firstLineChars="200"/>
        <w:rPr>
          <w:rFonts w:hint="eastAsia" w:eastAsia="仿宋_GB2312"/>
          <w:color w:val="000000"/>
          <w:sz w:val="32"/>
          <w:szCs w:val="32"/>
        </w:rPr>
      </w:pPr>
      <w:r>
        <w:rPr>
          <w:rFonts w:hint="eastAsia" w:eastAsia="仿宋_GB2312"/>
          <w:color w:val="000000"/>
          <w:sz w:val="32"/>
          <w:szCs w:val="32"/>
        </w:rPr>
        <w:t>三是督查督办扎实有效，针对上级和本级主要领导指示批示、预安销号、月度重点工作等开展重点督办，对电动车集中整治、大气污染防治、保交楼保交房、市场群火灾隐患整改等工作进行专项督办，全年共开展各类专项督查、联合督查20余次，形成督查通报4期；承办市政府月度交办110件次，承办市长批示件13件，下发交办函10余期，交办件数565件次，确保区政府各项重点工作高效推进。</w:t>
      </w:r>
    </w:p>
    <w:p w14:paraId="06F8CD17">
      <w:pPr>
        <w:spacing w:line="600" w:lineRule="exact"/>
        <w:ind w:firstLine="640" w:firstLineChars="200"/>
        <w:rPr>
          <w:rFonts w:hint="eastAsia" w:eastAsia="仿宋_GB2312"/>
          <w:color w:val="000000"/>
          <w:sz w:val="32"/>
          <w:szCs w:val="32"/>
        </w:rPr>
      </w:pPr>
      <w:r>
        <w:rPr>
          <w:rFonts w:hint="eastAsia" w:eastAsia="仿宋_GB2312"/>
          <w:color w:val="000000"/>
          <w:sz w:val="32"/>
          <w:szCs w:val="32"/>
        </w:rPr>
        <w:t>四是建议提案高效办理。今年共承办市人大建议18件，市政协提案5件，区人大建议64件，区政协提案55件，均按时间节点要求全部办结，其中市人大建议、市政协提案、区人大建议的见面率、满意率均达到100%，区政协提案的见面率为100%，满意率为100%。建议提案工作连续两年获评市优秀。</w:t>
      </w:r>
    </w:p>
    <w:p w14:paraId="6A3DA367">
      <w:pPr>
        <w:spacing w:line="600" w:lineRule="exact"/>
        <w:ind w:firstLine="640" w:firstLineChars="200"/>
        <w:rPr>
          <w:rFonts w:hint="eastAsia" w:eastAsia="仿宋_GB2312"/>
          <w:color w:val="000000"/>
          <w:sz w:val="32"/>
          <w:szCs w:val="32"/>
        </w:rPr>
      </w:pPr>
      <w:r>
        <w:rPr>
          <w:rFonts w:hint="eastAsia" w:eastAsia="仿宋_GB2312"/>
          <w:color w:val="000000"/>
          <w:sz w:val="32"/>
          <w:szCs w:val="32"/>
        </w:rPr>
        <w:t>五是应急值守严格落实。实行24小时专职人员在岗值班制度，尤其节假日、汛期等特殊时期，关键岗位保持在职在岗，确保了各类突发事件得到快速高效处置。建立“随时关注、及时转办、限时办结、快速答复”的群众留言和便民热线办理机制，共办理市长热线、市长信箱16977件，办结16864件，办结率99.3%，12345政务热线办理工作获评全市先进。</w:t>
      </w:r>
    </w:p>
    <w:p w14:paraId="2039F66A">
      <w:pPr>
        <w:spacing w:line="600" w:lineRule="exact"/>
        <w:ind w:firstLine="640" w:firstLineChars="200"/>
        <w:rPr>
          <w:rFonts w:hint="eastAsia" w:eastAsia="仿宋_GB2312"/>
          <w:color w:val="000000"/>
          <w:sz w:val="32"/>
          <w:szCs w:val="32"/>
        </w:rPr>
      </w:pPr>
      <w:r>
        <w:rPr>
          <w:rFonts w:hint="eastAsia" w:eastAsia="仿宋_GB2312"/>
          <w:color w:val="000000"/>
          <w:sz w:val="32"/>
          <w:szCs w:val="32"/>
        </w:rPr>
        <w:t>3.坚持统筹协调、系统推进，专项工作实现新突破</w:t>
      </w:r>
    </w:p>
    <w:p w14:paraId="7F204CBD">
      <w:pPr>
        <w:spacing w:line="600" w:lineRule="exact"/>
        <w:ind w:firstLine="640" w:firstLineChars="200"/>
        <w:rPr>
          <w:rFonts w:hint="eastAsia" w:eastAsia="仿宋_GB2312"/>
          <w:color w:val="000000"/>
          <w:sz w:val="32"/>
          <w:szCs w:val="32"/>
        </w:rPr>
      </w:pPr>
      <w:r>
        <w:rPr>
          <w:rFonts w:hint="eastAsia" w:eastAsia="仿宋_GB2312"/>
          <w:color w:val="000000"/>
          <w:sz w:val="32"/>
          <w:szCs w:val="32"/>
        </w:rPr>
        <w:t>一是认真落实“八大行动”。全年组织召开“八大行动”相关会议21次，完成重点任务67项，31个重点项目完成建设或完成年度建设目标，出台区级政策7项。52项工作亮点和典型经验被省市推广，其中成立低空经济发展、服饰产业转企升规工作专班、服饰电商创新发展经验、“三聚焦”推动科技成果精准转化以及SA750U成功首飞等4项工作经验被省平台推广。创新提升、主体强身、民生可感3项工作获省政府“八大行动”通报表扬，获奖数量排名全市第一。</w:t>
      </w:r>
    </w:p>
    <w:p w14:paraId="074F4B98">
      <w:pPr>
        <w:spacing w:line="600" w:lineRule="exact"/>
        <w:ind w:firstLine="640" w:firstLineChars="200"/>
        <w:rPr>
          <w:rFonts w:hint="eastAsia" w:eastAsia="仿宋_GB2312"/>
          <w:color w:val="000000"/>
          <w:sz w:val="32"/>
          <w:szCs w:val="32"/>
        </w:rPr>
      </w:pPr>
      <w:r>
        <w:rPr>
          <w:rFonts w:hint="eastAsia" w:eastAsia="仿宋_GB2312"/>
          <w:color w:val="000000"/>
          <w:sz w:val="32"/>
          <w:szCs w:val="32"/>
        </w:rPr>
        <w:t>二是扎实开展“四上”企业培育攻坚行动。牵头成立工作专班，出台《芦淞区高质量发展“四上”企业培育专项行动工作方案》及考核方案，制定促进芦淞区服饰类企业高质量发展的若干措施。实行“专业组一周一调度、工作一月一通报”的工作机制，组织召开调度会、培训会20余次。全年净增“四上”企业59家，排名全市第一。</w:t>
      </w:r>
    </w:p>
    <w:p w14:paraId="7164C901">
      <w:pPr>
        <w:spacing w:line="600" w:lineRule="exact"/>
        <w:ind w:firstLine="640" w:firstLineChars="200"/>
        <w:rPr>
          <w:rFonts w:eastAsia="仿宋_GB2312"/>
          <w:color w:val="000000"/>
          <w:sz w:val="32"/>
          <w:szCs w:val="32"/>
        </w:rPr>
      </w:pPr>
      <w:r>
        <w:rPr>
          <w:rFonts w:hint="eastAsia" w:eastAsia="仿宋_GB2312"/>
          <w:color w:val="000000"/>
          <w:sz w:val="32"/>
          <w:szCs w:val="32"/>
        </w:rPr>
        <w:t>三是努力提升金融服务水平。深化政银企联动，积极争取金融资源，举办大型银企对接会2场、“点对点”式银企对接会6场，先后为泛航智能、高精传动等企业解决融资4200余万元。稳步推进金融改革试点工作，全区知识价值信用贷款投放金额1.44亿元，动产融资业务投放金额6446万元。有效推动政策性贷款，共申报项目20个，上报融资需求14.13亿元。稳妥推进金融风险防控工作，常态化开展金融领域风险排查和宣传教育，牢牢守住不发生系统性区域性金融风险底线。</w:t>
      </w:r>
      <w:r>
        <w:rPr>
          <w:rFonts w:eastAsia="仿宋_GB2312"/>
          <w:color w:val="000000"/>
          <w:sz w:val="32"/>
          <w:szCs w:val="32"/>
        </w:rPr>
        <w:t>。</w:t>
      </w:r>
    </w:p>
    <w:p w14:paraId="2E5D5B38">
      <w:pPr>
        <w:spacing w:line="600" w:lineRule="exact"/>
        <w:ind w:firstLine="643" w:firstLineChars="200"/>
        <w:rPr>
          <w:rFonts w:hint="eastAsia" w:ascii="Times New Roman" w:hAnsi="Times New Roman" w:eastAsia="楷体_GB2312" w:cs="Times New Roman"/>
          <w:b/>
          <w:kern w:val="2"/>
          <w:sz w:val="32"/>
          <w:szCs w:val="32"/>
          <w:lang w:val="en-US" w:eastAsia="zh-CN" w:bidi="ar-SA"/>
        </w:rPr>
      </w:pPr>
      <w:r>
        <w:rPr>
          <w:rFonts w:hint="eastAsia" w:eastAsia="楷体_GB2312" w:cs="Times New Roman"/>
          <w:b/>
          <w:kern w:val="2"/>
          <w:sz w:val="32"/>
          <w:szCs w:val="32"/>
          <w:lang w:val="en-US" w:eastAsia="zh-CN" w:bidi="ar-SA"/>
        </w:rPr>
        <w:t>（二）</w:t>
      </w:r>
      <w:r>
        <w:rPr>
          <w:rFonts w:hint="eastAsia" w:ascii="Times New Roman" w:hAnsi="Times New Roman" w:eastAsia="楷体_GB2312" w:cs="Times New Roman"/>
          <w:b/>
          <w:kern w:val="2"/>
          <w:sz w:val="32"/>
          <w:szCs w:val="32"/>
          <w:lang w:val="en-US" w:eastAsia="zh-CN" w:bidi="ar-SA"/>
        </w:rPr>
        <w:t>专项资金支出绩效情况</w:t>
      </w:r>
    </w:p>
    <w:p w14:paraId="4D3B8CA7">
      <w:pPr>
        <w:tabs>
          <w:tab w:val="left" w:pos="7560"/>
        </w:tabs>
        <w:adjustRightInd w:val="0"/>
        <w:snapToGrid w:val="0"/>
        <w:spacing w:line="560" w:lineRule="exact"/>
        <w:ind w:firstLine="640" w:firstLineChars="200"/>
        <w:rPr>
          <w:rFonts w:hint="eastAsia" w:ascii="Times New Roman" w:hAnsi="Times New Roman" w:eastAsia="仿宋_GB2312" w:cs="Times New Roman"/>
          <w:sz w:val="32"/>
          <w:szCs w:val="32"/>
          <w:shd w:val="clear" w:color="auto" w:fill="auto"/>
          <w:lang w:val="en-US" w:eastAsia="zh-CN"/>
        </w:rPr>
      </w:pPr>
      <w:r>
        <w:rPr>
          <w:rFonts w:hint="eastAsia" w:ascii="Times New Roman" w:hAnsi="Times New Roman" w:eastAsia="仿宋_GB2312" w:cs="Times New Roman"/>
          <w:b w:val="0"/>
          <w:color w:val="000000" w:themeColor="text1"/>
          <w:sz w:val="32"/>
          <w:szCs w:val="32"/>
          <w14:textFill>
            <w14:solidFill>
              <w14:schemeClr w14:val="tx1"/>
            </w14:solidFill>
          </w14:textFill>
        </w:rPr>
        <w:t>本部门202</w:t>
      </w:r>
      <w:r>
        <w:rPr>
          <w:rFonts w:hint="eastAsia" w:eastAsia="仿宋_GB2312" w:cs="Times New Roman"/>
          <w:b w:val="0"/>
          <w:color w:val="000000" w:themeColor="text1"/>
          <w:sz w:val="32"/>
          <w:szCs w:val="32"/>
          <w:lang w:val="en-US" w:eastAsia="zh-CN"/>
          <w14:textFill>
            <w14:solidFill>
              <w14:schemeClr w14:val="tx1"/>
            </w14:solidFill>
          </w14:textFill>
        </w:rPr>
        <w:t>4</w:t>
      </w:r>
      <w:r>
        <w:rPr>
          <w:rFonts w:hint="eastAsia" w:ascii="Times New Roman" w:hAnsi="Times New Roman" w:eastAsia="仿宋_GB2312" w:cs="Times New Roman"/>
          <w:b w:val="0"/>
          <w:color w:val="000000" w:themeColor="text1"/>
          <w:sz w:val="32"/>
          <w:szCs w:val="32"/>
          <w14:textFill>
            <w14:solidFill>
              <w14:schemeClr w14:val="tx1"/>
            </w14:solidFill>
          </w14:textFill>
        </w:rPr>
        <w:t>年专项资金共</w:t>
      </w:r>
      <w:r>
        <w:rPr>
          <w:rFonts w:hint="eastAsia" w:ascii="Times New Roman" w:hAnsi="Times New Roman" w:eastAsia="仿宋_GB2312" w:cs="Times New Roman"/>
          <w:b w:val="0"/>
          <w:color w:val="000000" w:themeColor="text1"/>
          <w:sz w:val="32"/>
          <w:szCs w:val="32"/>
          <w:lang w:val="en-US" w:eastAsia="zh-CN"/>
          <w14:textFill>
            <w14:solidFill>
              <w14:schemeClr w14:val="tx1"/>
            </w14:solidFill>
          </w14:textFill>
        </w:rPr>
        <w:t>6</w:t>
      </w:r>
      <w:r>
        <w:rPr>
          <w:rFonts w:hint="eastAsia" w:ascii="Times New Roman" w:hAnsi="Times New Roman" w:eastAsia="仿宋_GB2312" w:cs="Times New Roman"/>
          <w:b w:val="0"/>
          <w:color w:val="000000" w:themeColor="text1"/>
          <w:sz w:val="32"/>
          <w:szCs w:val="32"/>
          <w14:textFill>
            <w14:solidFill>
              <w14:schemeClr w14:val="tx1"/>
            </w14:solidFill>
          </w14:textFill>
        </w:rPr>
        <w:t>个</w:t>
      </w:r>
      <w:r>
        <w:rPr>
          <w:rFonts w:hint="eastAsia" w:ascii="Times New Roman" w:hAnsi="Times New Roman" w:eastAsia="仿宋_GB2312" w:cs="Times New Roman"/>
          <w:b w:val="0"/>
          <w:color w:val="000000" w:themeColor="text1"/>
          <w:sz w:val="32"/>
          <w:szCs w:val="32"/>
          <w:lang w:eastAsia="zh-CN"/>
          <w14:textFill>
            <w14:solidFill>
              <w14:schemeClr w14:val="tx1"/>
            </w14:solidFill>
          </w14:textFill>
        </w:rPr>
        <w:t>，</w:t>
      </w:r>
      <w:r>
        <w:rPr>
          <w:rFonts w:hint="eastAsia" w:ascii="Times New Roman" w:hAnsi="Times New Roman" w:eastAsia="仿宋_GB2312" w:cs="Times New Roman"/>
          <w:b w:val="0"/>
          <w:color w:val="000000" w:themeColor="text1"/>
          <w:sz w:val="32"/>
          <w:szCs w:val="32"/>
          <w:lang w:val="en-US" w:eastAsia="zh-CN"/>
          <w14:textFill>
            <w14:solidFill>
              <w14:schemeClr w14:val="tx1"/>
            </w14:solidFill>
          </w14:textFill>
        </w:rPr>
        <w:t>具体情况如下</w:t>
      </w:r>
      <w:r>
        <w:rPr>
          <w:rFonts w:hint="eastAsia" w:ascii="Times New Roman" w:hAnsi="Times New Roman" w:eastAsia="仿宋_GB2312" w:cs="Times New Roman"/>
          <w:b w:val="0"/>
          <w:color w:val="000000" w:themeColor="text1"/>
          <w:sz w:val="32"/>
          <w:szCs w:val="32"/>
          <w:lang w:eastAsia="zh-CN"/>
          <w14:textFill>
            <w14:solidFill>
              <w14:schemeClr w14:val="tx1"/>
            </w14:solidFill>
          </w14:textFill>
        </w:rPr>
        <w:t>：</w:t>
      </w:r>
    </w:p>
    <w:p w14:paraId="7B9BCECB">
      <w:pPr>
        <w:tabs>
          <w:tab w:val="left" w:pos="7560"/>
        </w:tabs>
        <w:adjustRightInd w:val="0"/>
        <w:snapToGrid w:val="0"/>
        <w:spacing w:line="560" w:lineRule="exact"/>
        <w:ind w:firstLine="640" w:firstLineChars="200"/>
        <w:rPr>
          <w:rFonts w:hint="eastAsia" w:ascii="Times New Roman" w:hAnsi="Times New Roman" w:eastAsia="仿宋_GB2312" w:cs="Times New Roman"/>
          <w:sz w:val="32"/>
          <w:szCs w:val="32"/>
          <w:shd w:val="clear" w:color="auto" w:fill="auto"/>
        </w:rPr>
      </w:pPr>
      <w:r>
        <w:rPr>
          <w:rFonts w:hint="eastAsia" w:ascii="Times New Roman" w:hAnsi="Times New Roman" w:eastAsia="仿宋_GB2312" w:cs="Times New Roman"/>
          <w:sz w:val="32"/>
          <w:szCs w:val="32"/>
          <w:shd w:val="clear" w:color="auto" w:fill="auto"/>
          <w:lang w:val="en-US" w:eastAsia="zh-CN"/>
        </w:rPr>
        <w:t>1.</w:t>
      </w:r>
      <w:r>
        <w:rPr>
          <w:rFonts w:hint="eastAsia" w:ascii="Times New Roman" w:hAnsi="Times New Roman" w:eastAsia="仿宋_GB2312" w:cs="Times New Roman"/>
          <w:sz w:val="32"/>
          <w:szCs w:val="32"/>
          <w:shd w:val="clear" w:color="auto" w:fill="auto"/>
        </w:rPr>
        <w:t>业务经费</w:t>
      </w:r>
      <w:r>
        <w:rPr>
          <w:rFonts w:hint="eastAsia" w:ascii="Times New Roman" w:hAnsi="Times New Roman" w:eastAsia="仿宋_GB2312" w:cs="Times New Roman"/>
          <w:sz w:val="32"/>
          <w:szCs w:val="32"/>
          <w:shd w:val="clear" w:color="auto" w:fill="auto"/>
          <w:lang w:eastAsia="zh-CN"/>
        </w:rPr>
        <w:t>，</w:t>
      </w:r>
      <w:r>
        <w:rPr>
          <w:rFonts w:hint="eastAsia" w:ascii="Times New Roman" w:hAnsi="Times New Roman" w:eastAsia="仿宋_GB2312" w:cs="Times New Roman"/>
          <w:b w:val="0"/>
          <w:color w:val="000000" w:themeColor="text1"/>
          <w:sz w:val="32"/>
          <w:szCs w:val="32"/>
          <w14:textFill>
            <w14:solidFill>
              <w14:schemeClr w14:val="tx1"/>
            </w14:solidFill>
          </w14:textFill>
        </w:rPr>
        <w:t>预算支出</w:t>
      </w:r>
      <w:r>
        <w:rPr>
          <w:rFonts w:hint="eastAsia" w:eastAsia="仿宋_GB2312" w:cs="Times New Roman"/>
          <w:b w:val="0"/>
          <w:color w:val="000000" w:themeColor="text1"/>
          <w:sz w:val="32"/>
          <w:szCs w:val="32"/>
          <w:lang w:val="en-US" w:eastAsia="zh-CN"/>
          <w14:textFill>
            <w14:solidFill>
              <w14:schemeClr w14:val="tx1"/>
            </w14:solidFill>
          </w14:textFill>
        </w:rPr>
        <w:t>38.5</w:t>
      </w:r>
      <w:r>
        <w:rPr>
          <w:rFonts w:hint="eastAsia" w:ascii="Times New Roman" w:hAnsi="Times New Roman" w:eastAsia="仿宋_GB2312" w:cs="Times New Roman"/>
          <w:b w:val="0"/>
          <w:color w:val="000000" w:themeColor="text1"/>
          <w:sz w:val="32"/>
          <w:szCs w:val="32"/>
          <w14:textFill>
            <w14:solidFill>
              <w14:schemeClr w14:val="tx1"/>
            </w14:solidFill>
          </w14:textFill>
        </w:rPr>
        <w:t>万元，</w:t>
      </w:r>
      <w:r>
        <w:rPr>
          <w:rFonts w:hint="eastAsia" w:ascii="Times New Roman" w:hAnsi="Times New Roman" w:eastAsia="仿宋_GB2312" w:cs="Times New Roman"/>
          <w:sz w:val="32"/>
          <w:szCs w:val="32"/>
        </w:rPr>
        <w:t>年中执行调</w:t>
      </w:r>
      <w:r>
        <w:rPr>
          <w:rFonts w:hint="eastAsia" w:eastAsia="仿宋_GB2312" w:cs="Times New Roman"/>
          <w:sz w:val="32"/>
          <w:szCs w:val="32"/>
          <w:lang w:val="en-US" w:eastAsia="zh-CN"/>
        </w:rPr>
        <w:t>减8.57</w:t>
      </w:r>
      <w:r>
        <w:rPr>
          <w:rFonts w:hint="eastAsia" w:ascii="Times New Roman" w:hAnsi="Times New Roman" w:eastAsia="仿宋_GB2312" w:cs="Times New Roman"/>
          <w:sz w:val="32"/>
          <w:szCs w:val="32"/>
        </w:rPr>
        <w:t>万元，</w:t>
      </w:r>
      <w:r>
        <w:rPr>
          <w:rFonts w:hint="eastAsia" w:ascii="Times New Roman" w:hAnsi="Times New Roman" w:eastAsia="仿宋_GB2312" w:cs="Times New Roman"/>
          <w:b w:val="0"/>
          <w:color w:val="000000" w:themeColor="text1"/>
          <w:sz w:val="32"/>
          <w:szCs w:val="32"/>
          <w14:textFill>
            <w14:solidFill>
              <w14:schemeClr w14:val="tx1"/>
            </w14:solidFill>
          </w14:textFill>
        </w:rPr>
        <w:t>实际支出</w:t>
      </w:r>
      <w:r>
        <w:rPr>
          <w:rFonts w:hint="eastAsia" w:eastAsia="仿宋_GB2312" w:cs="Times New Roman"/>
          <w:sz w:val="32"/>
          <w:szCs w:val="32"/>
          <w:shd w:val="clear" w:color="auto" w:fill="auto"/>
          <w:lang w:val="en-US" w:eastAsia="zh-CN"/>
        </w:rPr>
        <w:t>29.93</w:t>
      </w:r>
      <w:r>
        <w:rPr>
          <w:rFonts w:hint="eastAsia" w:ascii="Times New Roman" w:hAnsi="Times New Roman" w:eastAsia="仿宋_GB2312" w:cs="Times New Roman"/>
          <w:b w:val="0"/>
          <w:color w:val="000000" w:themeColor="text1"/>
          <w:sz w:val="32"/>
          <w:szCs w:val="32"/>
          <w14:textFill>
            <w14:solidFill>
              <w14:schemeClr w14:val="tx1"/>
            </w14:solidFill>
          </w14:textFill>
        </w:rPr>
        <w:t>万元，</w:t>
      </w:r>
      <w:r>
        <w:rPr>
          <w:rFonts w:hint="eastAsia" w:ascii="Times New Roman" w:hAnsi="Times New Roman" w:eastAsia="仿宋_GB2312" w:cs="Times New Roman"/>
          <w:sz w:val="32"/>
          <w:szCs w:val="32"/>
        </w:rPr>
        <w:t>结余结转</w:t>
      </w:r>
      <w:r>
        <w:rPr>
          <w:rFonts w:hint="eastAsia" w:ascii="Times New Roman" w:hAnsi="Times New Roman" w:eastAsia="仿宋_GB2312" w:cs="Times New Roman"/>
          <w:sz w:val="32"/>
          <w:szCs w:val="32"/>
          <w:highlight w:val="none"/>
          <w:lang w:val="en-US" w:eastAsia="zh-CN"/>
        </w:rPr>
        <w:t>0</w:t>
      </w:r>
      <w:r>
        <w:rPr>
          <w:rFonts w:hint="eastAsia"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b w:val="0"/>
          <w:color w:val="000000" w:themeColor="text1"/>
          <w:sz w:val="32"/>
          <w:szCs w:val="32"/>
          <w14:textFill>
            <w14:solidFill>
              <w14:schemeClr w14:val="tx1"/>
            </w14:solidFill>
          </w14:textFill>
        </w:rPr>
        <w:t>该专项资金支出</w:t>
      </w:r>
      <w:r>
        <w:rPr>
          <w:rFonts w:hint="eastAsia" w:ascii="Times New Roman" w:hAnsi="Times New Roman" w:eastAsia="仿宋_GB2312" w:cs="Times New Roman"/>
          <w:b w:val="0"/>
          <w:color w:val="000000" w:themeColor="text1"/>
          <w:sz w:val="32"/>
          <w:szCs w:val="32"/>
          <w:lang w:val="en-US" w:eastAsia="zh-CN"/>
          <w14:textFill>
            <w14:solidFill>
              <w14:schemeClr w14:val="tx1"/>
            </w14:solidFill>
          </w14:textFill>
        </w:rPr>
        <w:t>主要用于支付办公用品、加班餐费、宣传资料印刷等费用，</w:t>
      </w:r>
      <w:r>
        <w:rPr>
          <w:rFonts w:hint="eastAsia" w:ascii="Times New Roman" w:hAnsi="Times New Roman" w:eastAsia="仿宋_GB2312" w:cs="Times New Roman"/>
          <w:sz w:val="32"/>
          <w:szCs w:val="32"/>
          <w:shd w:val="clear" w:color="auto" w:fill="auto"/>
        </w:rPr>
        <w:t>项目实施及绩效情况：基本顺利保障政务服务、建议提案办理、优化经济环境、督查工作、总值班室、市长热线、综合调研、后勤服务等各项工作的正常开展。</w:t>
      </w:r>
    </w:p>
    <w:p w14:paraId="47F282F2">
      <w:pPr>
        <w:tabs>
          <w:tab w:val="left" w:pos="7560"/>
        </w:tabs>
        <w:adjustRightInd w:val="0"/>
        <w:snapToGrid w:val="0"/>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rPr>
        <w:t>车辆经费</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b w:val="0"/>
          <w:color w:val="000000" w:themeColor="text1"/>
          <w:sz w:val="32"/>
          <w:szCs w:val="32"/>
          <w14:textFill>
            <w14:solidFill>
              <w14:schemeClr w14:val="tx1"/>
            </w14:solidFill>
          </w14:textFill>
        </w:rPr>
        <w:t>预算支出</w:t>
      </w:r>
      <w:r>
        <w:rPr>
          <w:rFonts w:hint="eastAsia" w:ascii="Times New Roman" w:hAnsi="Times New Roman" w:eastAsia="仿宋_GB2312" w:cs="Times New Roman"/>
          <w:b w:val="0"/>
          <w:color w:val="000000" w:themeColor="text1"/>
          <w:sz w:val="32"/>
          <w:szCs w:val="32"/>
          <w:lang w:val="en-US" w:eastAsia="zh-CN"/>
          <w14:textFill>
            <w14:solidFill>
              <w14:schemeClr w14:val="tx1"/>
            </w14:solidFill>
          </w14:textFill>
        </w:rPr>
        <w:t>5</w:t>
      </w:r>
      <w:r>
        <w:rPr>
          <w:rFonts w:hint="eastAsia" w:ascii="Times New Roman" w:hAnsi="Times New Roman" w:eastAsia="仿宋_GB2312" w:cs="Times New Roman"/>
          <w:b w:val="0"/>
          <w:color w:val="000000" w:themeColor="text1"/>
          <w:sz w:val="32"/>
          <w:szCs w:val="32"/>
          <w14:textFill>
            <w14:solidFill>
              <w14:schemeClr w14:val="tx1"/>
            </w14:solidFill>
          </w14:textFill>
        </w:rPr>
        <w:t>万元，</w:t>
      </w:r>
      <w:r>
        <w:rPr>
          <w:rFonts w:hint="eastAsia" w:ascii="Times New Roman" w:hAnsi="Times New Roman" w:eastAsia="仿宋_GB2312" w:cs="Times New Roman"/>
          <w:sz w:val="32"/>
          <w:szCs w:val="32"/>
        </w:rPr>
        <w:t>年中执行调</w:t>
      </w:r>
      <w:r>
        <w:rPr>
          <w:rFonts w:hint="eastAsia" w:eastAsia="仿宋_GB2312" w:cs="Times New Roman"/>
          <w:sz w:val="32"/>
          <w:szCs w:val="32"/>
          <w:lang w:val="en-US" w:eastAsia="zh-CN"/>
        </w:rPr>
        <w:t>增0.09</w:t>
      </w:r>
      <w:r>
        <w:rPr>
          <w:rFonts w:hint="eastAsia" w:ascii="Times New Roman" w:hAnsi="Times New Roman" w:eastAsia="仿宋_GB2312" w:cs="Times New Roman"/>
          <w:sz w:val="32"/>
          <w:szCs w:val="32"/>
        </w:rPr>
        <w:t>万元，</w:t>
      </w:r>
      <w:r>
        <w:rPr>
          <w:rFonts w:hint="eastAsia" w:ascii="Times New Roman" w:hAnsi="Times New Roman" w:eastAsia="仿宋_GB2312" w:cs="Times New Roman"/>
          <w:b w:val="0"/>
          <w:color w:val="000000" w:themeColor="text1"/>
          <w:sz w:val="32"/>
          <w:szCs w:val="32"/>
          <w14:textFill>
            <w14:solidFill>
              <w14:schemeClr w14:val="tx1"/>
            </w14:solidFill>
          </w14:textFill>
        </w:rPr>
        <w:t>实际支出</w:t>
      </w:r>
      <w:r>
        <w:rPr>
          <w:rFonts w:hint="eastAsia" w:ascii="Times New Roman" w:hAnsi="Times New Roman" w:eastAsia="仿宋_GB2312" w:cs="Times New Roman"/>
          <w:sz w:val="32"/>
          <w:szCs w:val="32"/>
          <w:shd w:val="clear" w:color="auto" w:fill="auto"/>
          <w:lang w:val="en-US" w:eastAsia="zh-CN"/>
        </w:rPr>
        <w:t>5.09</w:t>
      </w:r>
      <w:r>
        <w:rPr>
          <w:rFonts w:hint="eastAsia" w:ascii="Times New Roman" w:hAnsi="Times New Roman" w:eastAsia="仿宋_GB2312" w:cs="Times New Roman"/>
          <w:b w:val="0"/>
          <w:color w:val="000000" w:themeColor="text1"/>
          <w:sz w:val="32"/>
          <w:szCs w:val="32"/>
          <w14:textFill>
            <w14:solidFill>
              <w14:schemeClr w14:val="tx1"/>
            </w14:solidFill>
          </w14:textFill>
        </w:rPr>
        <w:t>万元，</w:t>
      </w:r>
      <w:r>
        <w:rPr>
          <w:rFonts w:hint="eastAsia" w:ascii="Times New Roman" w:hAnsi="Times New Roman" w:eastAsia="仿宋_GB2312" w:cs="Times New Roman"/>
          <w:sz w:val="32"/>
          <w:szCs w:val="32"/>
        </w:rPr>
        <w:t>结余结转</w:t>
      </w:r>
      <w:r>
        <w:rPr>
          <w:rFonts w:hint="eastAsia" w:ascii="Times New Roman" w:hAnsi="Times New Roman" w:eastAsia="仿宋_GB2312" w:cs="Times New Roman"/>
          <w:sz w:val="32"/>
          <w:szCs w:val="32"/>
          <w:highlight w:val="none"/>
          <w:lang w:val="en-US" w:eastAsia="zh-CN"/>
        </w:rPr>
        <w:t>0</w:t>
      </w:r>
      <w:r>
        <w:rPr>
          <w:rFonts w:hint="eastAsia"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b w:val="0"/>
          <w:color w:val="000000" w:themeColor="text1"/>
          <w:sz w:val="32"/>
          <w:szCs w:val="32"/>
          <w14:textFill>
            <w14:solidFill>
              <w14:schemeClr w14:val="tx1"/>
            </w14:solidFill>
          </w14:textFill>
        </w:rPr>
        <w:t>该专项资金支出</w:t>
      </w:r>
      <w:r>
        <w:rPr>
          <w:rFonts w:hint="eastAsia" w:ascii="Times New Roman" w:hAnsi="Times New Roman" w:eastAsia="仿宋_GB2312" w:cs="Times New Roman"/>
          <w:b w:val="0"/>
          <w:color w:val="000000" w:themeColor="text1"/>
          <w:sz w:val="32"/>
          <w:szCs w:val="32"/>
          <w:lang w:val="en-US" w:eastAsia="zh-CN"/>
          <w14:textFill>
            <w14:solidFill>
              <w14:schemeClr w14:val="tx1"/>
            </w14:solidFill>
          </w14:textFill>
        </w:rPr>
        <w:t>主要用于支付公车维修保养、通行费、油费及车辆保险等费用，</w:t>
      </w:r>
      <w:r>
        <w:rPr>
          <w:rFonts w:hint="eastAsia" w:ascii="Times New Roman" w:hAnsi="Times New Roman" w:eastAsia="仿宋_GB2312" w:cs="Times New Roman"/>
          <w:sz w:val="32"/>
          <w:szCs w:val="32"/>
          <w:shd w:val="clear" w:color="auto" w:fill="auto"/>
        </w:rPr>
        <w:t>项目实施及绩效情况：</w:t>
      </w:r>
      <w:r>
        <w:rPr>
          <w:rFonts w:hint="eastAsia" w:ascii="Times New Roman" w:hAnsi="Times New Roman" w:eastAsia="仿宋_GB2312" w:cs="Times New Roman"/>
          <w:sz w:val="32"/>
          <w:szCs w:val="32"/>
        </w:rPr>
        <w:t xml:space="preserve">基本有效保障公务车辆的正常运行。 </w:t>
      </w:r>
    </w:p>
    <w:p w14:paraId="6E73EB96">
      <w:pPr>
        <w:tabs>
          <w:tab w:val="left" w:pos="7560"/>
        </w:tabs>
        <w:adjustRightInd w:val="0"/>
        <w:snapToGrid w:val="0"/>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rPr>
        <w:t>挂职领导经费</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b w:val="0"/>
          <w:color w:val="000000" w:themeColor="text1"/>
          <w:sz w:val="32"/>
          <w:szCs w:val="32"/>
          <w14:textFill>
            <w14:solidFill>
              <w14:schemeClr w14:val="tx1"/>
            </w14:solidFill>
          </w14:textFill>
        </w:rPr>
        <w:t>预算支出</w:t>
      </w:r>
      <w:r>
        <w:rPr>
          <w:rFonts w:hint="eastAsia" w:ascii="Times New Roman" w:hAnsi="Times New Roman" w:eastAsia="仿宋_GB2312" w:cs="Times New Roman"/>
          <w:b w:val="0"/>
          <w:color w:val="000000" w:themeColor="text1"/>
          <w:sz w:val="32"/>
          <w:szCs w:val="32"/>
          <w:lang w:val="en-US" w:eastAsia="zh-CN"/>
          <w14:textFill>
            <w14:solidFill>
              <w14:schemeClr w14:val="tx1"/>
            </w14:solidFill>
          </w14:textFill>
        </w:rPr>
        <w:t>6</w:t>
      </w:r>
      <w:r>
        <w:rPr>
          <w:rFonts w:hint="eastAsia" w:ascii="Times New Roman" w:hAnsi="Times New Roman" w:eastAsia="仿宋_GB2312" w:cs="Times New Roman"/>
          <w:b w:val="0"/>
          <w:color w:val="000000" w:themeColor="text1"/>
          <w:sz w:val="32"/>
          <w:szCs w:val="32"/>
          <w14:textFill>
            <w14:solidFill>
              <w14:schemeClr w14:val="tx1"/>
            </w14:solidFill>
          </w14:textFill>
        </w:rPr>
        <w:t>万元，</w:t>
      </w:r>
      <w:r>
        <w:rPr>
          <w:rFonts w:hint="eastAsia" w:ascii="Times New Roman" w:hAnsi="Times New Roman" w:eastAsia="仿宋_GB2312" w:cs="Times New Roman"/>
          <w:sz w:val="32"/>
          <w:szCs w:val="32"/>
        </w:rPr>
        <w:t>年中执行调</w:t>
      </w:r>
      <w:r>
        <w:rPr>
          <w:rFonts w:hint="eastAsia" w:ascii="Times New Roman" w:hAnsi="Times New Roman" w:eastAsia="仿宋_GB2312" w:cs="Times New Roman"/>
          <w:sz w:val="32"/>
          <w:szCs w:val="32"/>
          <w:lang w:val="en-US" w:eastAsia="zh-CN"/>
        </w:rPr>
        <w:t>减</w:t>
      </w:r>
      <w:r>
        <w:rPr>
          <w:rFonts w:hint="eastAsia" w:eastAsia="仿宋_GB2312" w:cs="Times New Roman"/>
          <w:sz w:val="32"/>
          <w:szCs w:val="32"/>
          <w:lang w:val="en-US" w:eastAsia="zh-CN"/>
        </w:rPr>
        <w:t>0.39</w:t>
      </w:r>
      <w:r>
        <w:rPr>
          <w:rFonts w:hint="eastAsia" w:ascii="Times New Roman" w:hAnsi="Times New Roman" w:eastAsia="仿宋_GB2312" w:cs="Times New Roman"/>
          <w:sz w:val="32"/>
          <w:szCs w:val="32"/>
        </w:rPr>
        <w:t>万元，</w:t>
      </w:r>
      <w:r>
        <w:rPr>
          <w:rFonts w:hint="eastAsia" w:ascii="Times New Roman" w:hAnsi="Times New Roman" w:eastAsia="仿宋_GB2312" w:cs="Times New Roman"/>
          <w:b w:val="0"/>
          <w:color w:val="000000" w:themeColor="text1"/>
          <w:sz w:val="32"/>
          <w:szCs w:val="32"/>
          <w14:textFill>
            <w14:solidFill>
              <w14:schemeClr w14:val="tx1"/>
            </w14:solidFill>
          </w14:textFill>
        </w:rPr>
        <w:t>实际支出</w:t>
      </w:r>
      <w:r>
        <w:rPr>
          <w:rFonts w:hint="eastAsia" w:ascii="Times New Roman" w:hAnsi="Times New Roman" w:eastAsia="仿宋_GB2312" w:cs="Times New Roman"/>
          <w:sz w:val="32"/>
          <w:szCs w:val="32"/>
          <w:shd w:val="clear" w:color="auto" w:fill="auto"/>
          <w:lang w:val="en-US" w:eastAsia="zh-CN"/>
        </w:rPr>
        <w:t>5.61</w:t>
      </w:r>
      <w:r>
        <w:rPr>
          <w:rFonts w:hint="eastAsia" w:ascii="Times New Roman" w:hAnsi="Times New Roman" w:eastAsia="仿宋_GB2312" w:cs="Times New Roman"/>
          <w:b w:val="0"/>
          <w:color w:val="000000" w:themeColor="text1"/>
          <w:sz w:val="32"/>
          <w:szCs w:val="32"/>
          <w14:textFill>
            <w14:solidFill>
              <w14:schemeClr w14:val="tx1"/>
            </w14:solidFill>
          </w14:textFill>
        </w:rPr>
        <w:t>万元，</w:t>
      </w:r>
      <w:r>
        <w:rPr>
          <w:rFonts w:hint="eastAsia" w:ascii="Times New Roman" w:hAnsi="Times New Roman" w:eastAsia="仿宋_GB2312" w:cs="Times New Roman"/>
          <w:sz w:val="32"/>
          <w:szCs w:val="32"/>
        </w:rPr>
        <w:t>结余结转</w:t>
      </w:r>
      <w:r>
        <w:rPr>
          <w:rFonts w:hint="eastAsia" w:ascii="Times New Roman" w:hAnsi="Times New Roman" w:eastAsia="仿宋_GB2312" w:cs="Times New Roman"/>
          <w:sz w:val="32"/>
          <w:szCs w:val="32"/>
          <w:highlight w:val="none"/>
          <w:lang w:val="en-US" w:eastAsia="zh-CN"/>
        </w:rPr>
        <w:t>0</w:t>
      </w:r>
      <w:r>
        <w:rPr>
          <w:rFonts w:hint="eastAsia"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b w:val="0"/>
          <w:color w:val="000000" w:themeColor="text1"/>
          <w:sz w:val="32"/>
          <w:szCs w:val="32"/>
          <w14:textFill>
            <w14:solidFill>
              <w14:schemeClr w14:val="tx1"/>
            </w14:solidFill>
          </w14:textFill>
        </w:rPr>
        <w:t>该专项资金支出</w:t>
      </w:r>
      <w:r>
        <w:rPr>
          <w:rFonts w:hint="eastAsia" w:ascii="Times New Roman" w:hAnsi="Times New Roman" w:eastAsia="仿宋_GB2312" w:cs="Times New Roman"/>
          <w:b w:val="0"/>
          <w:color w:val="000000" w:themeColor="text1"/>
          <w:sz w:val="32"/>
          <w:szCs w:val="32"/>
          <w:lang w:val="en-US" w:eastAsia="zh-CN"/>
          <w14:textFill>
            <w14:solidFill>
              <w14:schemeClr w14:val="tx1"/>
            </w14:solidFill>
          </w14:textFill>
        </w:rPr>
        <w:t>主要用于支付加班餐费及办公用品等费用，</w:t>
      </w:r>
      <w:r>
        <w:rPr>
          <w:rFonts w:hint="eastAsia" w:ascii="Times New Roman" w:hAnsi="Times New Roman" w:eastAsia="仿宋_GB2312" w:cs="Times New Roman"/>
          <w:sz w:val="32"/>
          <w:szCs w:val="32"/>
          <w:shd w:val="clear" w:color="auto" w:fill="auto"/>
        </w:rPr>
        <w:t>项目实施及绩效情况：</w:t>
      </w:r>
      <w:r>
        <w:rPr>
          <w:rFonts w:hint="eastAsia" w:ascii="Times New Roman" w:hAnsi="Times New Roman" w:eastAsia="仿宋_GB2312" w:cs="Times New Roman"/>
          <w:sz w:val="32"/>
          <w:szCs w:val="32"/>
        </w:rPr>
        <w:t>基本顺利保障挂职干部正常开展挂职期间的各项工作。</w:t>
      </w:r>
    </w:p>
    <w:p w14:paraId="6DDF1213">
      <w:pPr>
        <w:tabs>
          <w:tab w:val="left" w:pos="7560"/>
        </w:tabs>
        <w:adjustRightInd w:val="0"/>
        <w:snapToGrid w:val="0"/>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rPr>
        <w:t>任职领导周转房经费</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b w:val="0"/>
          <w:color w:val="000000" w:themeColor="text1"/>
          <w:sz w:val="32"/>
          <w:szCs w:val="32"/>
          <w14:textFill>
            <w14:solidFill>
              <w14:schemeClr w14:val="tx1"/>
            </w14:solidFill>
          </w14:textFill>
        </w:rPr>
        <w:t>预算支出</w:t>
      </w:r>
      <w:r>
        <w:rPr>
          <w:rFonts w:hint="eastAsia" w:eastAsia="仿宋_GB2312" w:cs="Times New Roman"/>
          <w:b w:val="0"/>
          <w:color w:val="000000" w:themeColor="text1"/>
          <w:sz w:val="32"/>
          <w:szCs w:val="32"/>
          <w:lang w:val="en-US" w:eastAsia="zh-CN"/>
          <w14:textFill>
            <w14:solidFill>
              <w14:schemeClr w14:val="tx1"/>
            </w14:solidFill>
          </w14:textFill>
        </w:rPr>
        <w:t>0</w:t>
      </w:r>
      <w:r>
        <w:rPr>
          <w:rFonts w:hint="eastAsia" w:ascii="Times New Roman" w:hAnsi="Times New Roman" w:eastAsia="仿宋_GB2312" w:cs="Times New Roman"/>
          <w:b w:val="0"/>
          <w:color w:val="000000" w:themeColor="text1"/>
          <w:sz w:val="32"/>
          <w:szCs w:val="32"/>
          <w14:textFill>
            <w14:solidFill>
              <w14:schemeClr w14:val="tx1"/>
            </w14:solidFill>
          </w14:textFill>
        </w:rPr>
        <w:t>万元，</w:t>
      </w:r>
      <w:r>
        <w:rPr>
          <w:rFonts w:hint="eastAsia" w:ascii="Times New Roman" w:hAnsi="Times New Roman" w:eastAsia="仿宋_GB2312" w:cs="Times New Roman"/>
          <w:sz w:val="32"/>
          <w:szCs w:val="32"/>
        </w:rPr>
        <w:t>年中执行调</w:t>
      </w:r>
      <w:r>
        <w:rPr>
          <w:rFonts w:hint="eastAsia" w:eastAsia="仿宋_GB2312" w:cs="Times New Roman"/>
          <w:sz w:val="32"/>
          <w:szCs w:val="32"/>
          <w:lang w:val="en-US" w:eastAsia="zh-CN"/>
        </w:rPr>
        <w:t>增0.36</w:t>
      </w:r>
      <w:r>
        <w:rPr>
          <w:rFonts w:hint="eastAsia" w:ascii="Times New Roman" w:hAnsi="Times New Roman" w:eastAsia="仿宋_GB2312" w:cs="Times New Roman"/>
          <w:sz w:val="32"/>
          <w:szCs w:val="32"/>
        </w:rPr>
        <w:t>万元，</w:t>
      </w:r>
      <w:r>
        <w:rPr>
          <w:rFonts w:hint="eastAsia" w:ascii="Times New Roman" w:hAnsi="Times New Roman" w:eastAsia="仿宋_GB2312" w:cs="Times New Roman"/>
          <w:b w:val="0"/>
          <w:color w:val="000000" w:themeColor="text1"/>
          <w:sz w:val="32"/>
          <w:szCs w:val="32"/>
          <w14:textFill>
            <w14:solidFill>
              <w14:schemeClr w14:val="tx1"/>
            </w14:solidFill>
          </w14:textFill>
        </w:rPr>
        <w:t>实际支出</w:t>
      </w:r>
      <w:r>
        <w:rPr>
          <w:rFonts w:hint="eastAsia" w:ascii="Times New Roman" w:hAnsi="Times New Roman" w:eastAsia="仿宋_GB2312" w:cs="Times New Roman"/>
          <w:sz w:val="32"/>
          <w:szCs w:val="32"/>
          <w:shd w:val="clear" w:color="auto" w:fill="auto"/>
          <w:lang w:val="en-US" w:eastAsia="zh-CN"/>
        </w:rPr>
        <w:t>0.36</w:t>
      </w:r>
      <w:r>
        <w:rPr>
          <w:rFonts w:hint="eastAsia" w:ascii="Times New Roman" w:hAnsi="Times New Roman" w:eastAsia="仿宋_GB2312" w:cs="Times New Roman"/>
          <w:b w:val="0"/>
          <w:color w:val="000000" w:themeColor="text1"/>
          <w:sz w:val="32"/>
          <w:szCs w:val="32"/>
          <w14:textFill>
            <w14:solidFill>
              <w14:schemeClr w14:val="tx1"/>
            </w14:solidFill>
          </w14:textFill>
        </w:rPr>
        <w:t>万元，</w:t>
      </w:r>
      <w:r>
        <w:rPr>
          <w:rFonts w:hint="eastAsia" w:ascii="Times New Roman" w:hAnsi="Times New Roman" w:eastAsia="仿宋_GB2312" w:cs="Times New Roman"/>
          <w:sz w:val="32"/>
          <w:szCs w:val="32"/>
        </w:rPr>
        <w:t>结余结转</w:t>
      </w:r>
      <w:r>
        <w:rPr>
          <w:rFonts w:hint="eastAsia" w:ascii="Times New Roman" w:hAnsi="Times New Roman" w:eastAsia="仿宋_GB2312" w:cs="Times New Roman"/>
          <w:sz w:val="32"/>
          <w:szCs w:val="32"/>
          <w:highlight w:val="none"/>
          <w:lang w:val="en-US" w:eastAsia="zh-CN"/>
        </w:rPr>
        <w:t>0</w:t>
      </w:r>
      <w:r>
        <w:rPr>
          <w:rFonts w:hint="eastAsia"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b w:val="0"/>
          <w:color w:val="000000" w:themeColor="text1"/>
          <w:sz w:val="32"/>
          <w:szCs w:val="32"/>
          <w14:textFill>
            <w14:solidFill>
              <w14:schemeClr w14:val="tx1"/>
            </w14:solidFill>
          </w14:textFill>
        </w:rPr>
        <w:t>该专项资金支出</w:t>
      </w:r>
      <w:r>
        <w:rPr>
          <w:rFonts w:hint="eastAsia" w:ascii="Times New Roman" w:hAnsi="Times New Roman" w:eastAsia="仿宋_GB2312" w:cs="Times New Roman"/>
          <w:b w:val="0"/>
          <w:color w:val="000000" w:themeColor="text1"/>
          <w:sz w:val="32"/>
          <w:szCs w:val="32"/>
          <w:lang w:val="en-US" w:eastAsia="zh-CN"/>
          <w14:textFill>
            <w14:solidFill>
              <w14:schemeClr w14:val="tx1"/>
            </w14:solidFill>
          </w14:textFill>
        </w:rPr>
        <w:t>主要用于支付保洁费，</w:t>
      </w:r>
      <w:r>
        <w:rPr>
          <w:rFonts w:hint="eastAsia" w:ascii="Times New Roman" w:hAnsi="Times New Roman" w:eastAsia="仿宋_GB2312" w:cs="Times New Roman"/>
          <w:sz w:val="32"/>
          <w:szCs w:val="32"/>
          <w:shd w:val="clear" w:color="auto" w:fill="auto"/>
        </w:rPr>
        <w:t>项目实施及绩效情况：</w:t>
      </w:r>
      <w:r>
        <w:rPr>
          <w:rFonts w:hint="eastAsia" w:ascii="Times New Roman" w:hAnsi="Times New Roman" w:eastAsia="仿宋_GB2312" w:cs="Times New Roman"/>
          <w:sz w:val="32"/>
          <w:szCs w:val="32"/>
        </w:rPr>
        <w:t>基本顺利保障周转房设施设备正常使用。</w:t>
      </w:r>
    </w:p>
    <w:p w14:paraId="2F066715">
      <w:pPr>
        <w:tabs>
          <w:tab w:val="left" w:pos="7560"/>
        </w:tabs>
        <w:adjustRightInd w:val="0"/>
        <w:snapToGrid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rPr>
        <w:t>保密专项</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b w:val="0"/>
          <w:color w:val="000000" w:themeColor="text1"/>
          <w:sz w:val="32"/>
          <w:szCs w:val="32"/>
          <w14:textFill>
            <w14:solidFill>
              <w14:schemeClr w14:val="tx1"/>
            </w14:solidFill>
          </w14:textFill>
        </w:rPr>
        <w:t>预算支出</w:t>
      </w:r>
      <w:r>
        <w:rPr>
          <w:rFonts w:hint="eastAsia" w:ascii="Times New Roman" w:hAnsi="Times New Roman" w:eastAsia="仿宋_GB2312" w:cs="Times New Roman"/>
          <w:b w:val="0"/>
          <w:color w:val="000000" w:themeColor="text1"/>
          <w:sz w:val="32"/>
          <w:szCs w:val="32"/>
          <w:lang w:val="en-US" w:eastAsia="zh-CN"/>
          <w14:textFill>
            <w14:solidFill>
              <w14:schemeClr w14:val="tx1"/>
            </w14:solidFill>
          </w14:textFill>
        </w:rPr>
        <w:t>8</w:t>
      </w:r>
      <w:r>
        <w:rPr>
          <w:rFonts w:hint="eastAsia" w:ascii="Times New Roman" w:hAnsi="Times New Roman" w:eastAsia="仿宋_GB2312" w:cs="Times New Roman"/>
          <w:b w:val="0"/>
          <w:color w:val="000000" w:themeColor="text1"/>
          <w:sz w:val="32"/>
          <w:szCs w:val="32"/>
          <w14:textFill>
            <w14:solidFill>
              <w14:schemeClr w14:val="tx1"/>
            </w14:solidFill>
          </w14:textFill>
        </w:rPr>
        <w:t>万元，</w:t>
      </w:r>
      <w:r>
        <w:rPr>
          <w:rFonts w:hint="eastAsia" w:ascii="Times New Roman" w:hAnsi="Times New Roman" w:eastAsia="仿宋_GB2312" w:cs="Times New Roman"/>
          <w:sz w:val="32"/>
          <w:szCs w:val="32"/>
        </w:rPr>
        <w:t>年中执行调</w:t>
      </w:r>
      <w:r>
        <w:rPr>
          <w:rFonts w:hint="eastAsia" w:ascii="Times New Roman" w:hAnsi="Times New Roman" w:eastAsia="仿宋_GB2312" w:cs="Times New Roman"/>
          <w:sz w:val="32"/>
          <w:szCs w:val="32"/>
          <w:lang w:val="en-US" w:eastAsia="zh-CN"/>
        </w:rPr>
        <w:t>减</w:t>
      </w:r>
      <w:r>
        <w:rPr>
          <w:rFonts w:hint="eastAsia" w:eastAsia="仿宋_GB2312" w:cs="Times New Roman"/>
          <w:sz w:val="32"/>
          <w:szCs w:val="32"/>
          <w:lang w:val="en-US" w:eastAsia="zh-CN"/>
        </w:rPr>
        <w:t>3.37</w:t>
      </w:r>
      <w:r>
        <w:rPr>
          <w:rFonts w:hint="eastAsia" w:ascii="Times New Roman" w:hAnsi="Times New Roman" w:eastAsia="仿宋_GB2312" w:cs="Times New Roman"/>
          <w:sz w:val="32"/>
          <w:szCs w:val="32"/>
        </w:rPr>
        <w:t>万元，</w:t>
      </w:r>
      <w:r>
        <w:rPr>
          <w:rFonts w:hint="eastAsia" w:ascii="Times New Roman" w:hAnsi="Times New Roman" w:eastAsia="仿宋_GB2312" w:cs="Times New Roman"/>
          <w:b w:val="0"/>
          <w:color w:val="000000" w:themeColor="text1"/>
          <w:sz w:val="32"/>
          <w:szCs w:val="32"/>
          <w14:textFill>
            <w14:solidFill>
              <w14:schemeClr w14:val="tx1"/>
            </w14:solidFill>
          </w14:textFill>
        </w:rPr>
        <w:t>实际支出</w:t>
      </w:r>
      <w:r>
        <w:rPr>
          <w:rFonts w:hint="eastAsia" w:ascii="Times New Roman" w:hAnsi="Times New Roman" w:eastAsia="仿宋_GB2312" w:cs="Times New Roman"/>
          <w:sz w:val="32"/>
          <w:szCs w:val="32"/>
          <w:shd w:val="clear" w:color="auto" w:fill="auto"/>
          <w:lang w:val="en-US" w:eastAsia="zh-CN"/>
        </w:rPr>
        <w:t>4.63</w:t>
      </w:r>
      <w:r>
        <w:rPr>
          <w:rFonts w:hint="eastAsia" w:ascii="Times New Roman" w:hAnsi="Times New Roman" w:eastAsia="仿宋_GB2312" w:cs="Times New Roman"/>
          <w:b w:val="0"/>
          <w:color w:val="000000" w:themeColor="text1"/>
          <w:sz w:val="32"/>
          <w:szCs w:val="32"/>
          <w14:textFill>
            <w14:solidFill>
              <w14:schemeClr w14:val="tx1"/>
            </w14:solidFill>
          </w14:textFill>
        </w:rPr>
        <w:t>万元，</w:t>
      </w:r>
      <w:r>
        <w:rPr>
          <w:rFonts w:hint="eastAsia" w:ascii="Times New Roman" w:hAnsi="Times New Roman" w:eastAsia="仿宋_GB2312" w:cs="Times New Roman"/>
          <w:sz w:val="32"/>
          <w:szCs w:val="32"/>
        </w:rPr>
        <w:t>结余结转</w:t>
      </w:r>
      <w:r>
        <w:rPr>
          <w:rFonts w:hint="eastAsia" w:ascii="Times New Roman" w:hAnsi="Times New Roman" w:eastAsia="仿宋_GB2312" w:cs="Times New Roman"/>
          <w:sz w:val="32"/>
          <w:szCs w:val="32"/>
          <w:highlight w:val="none"/>
          <w:lang w:val="en-US" w:eastAsia="zh-CN"/>
        </w:rPr>
        <w:t>0</w:t>
      </w:r>
      <w:r>
        <w:rPr>
          <w:rFonts w:hint="eastAsia"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b w:val="0"/>
          <w:color w:val="000000" w:themeColor="text1"/>
          <w:sz w:val="32"/>
          <w:szCs w:val="32"/>
          <w14:textFill>
            <w14:solidFill>
              <w14:schemeClr w14:val="tx1"/>
            </w14:solidFill>
          </w14:textFill>
        </w:rPr>
        <w:t>该专项资金支出</w:t>
      </w:r>
      <w:r>
        <w:rPr>
          <w:rFonts w:hint="eastAsia" w:ascii="Times New Roman" w:hAnsi="Times New Roman" w:eastAsia="仿宋_GB2312" w:cs="Times New Roman"/>
          <w:b w:val="0"/>
          <w:color w:val="000000" w:themeColor="text1"/>
          <w:sz w:val="32"/>
          <w:szCs w:val="32"/>
          <w:lang w:val="en-US" w:eastAsia="zh-CN"/>
          <w14:textFill>
            <w14:solidFill>
              <w14:schemeClr w14:val="tx1"/>
            </w14:solidFill>
          </w14:textFill>
        </w:rPr>
        <w:t>主要用于购买保密计算机</w:t>
      </w:r>
      <w:r>
        <w:rPr>
          <w:rFonts w:hint="eastAsia" w:eastAsia="仿宋_GB2312" w:cs="Times New Roman"/>
          <w:b w:val="0"/>
          <w:color w:val="000000" w:themeColor="text1"/>
          <w:sz w:val="32"/>
          <w:szCs w:val="32"/>
          <w:lang w:val="en-US" w:eastAsia="zh-CN"/>
          <w14:textFill>
            <w14:solidFill>
              <w14:schemeClr w14:val="tx1"/>
            </w14:solidFill>
          </w14:textFill>
        </w:rPr>
        <w:t>、</w:t>
      </w:r>
      <w:r>
        <w:rPr>
          <w:rFonts w:hint="eastAsia" w:ascii="Times New Roman" w:hAnsi="Times New Roman" w:eastAsia="仿宋_GB2312" w:cs="Times New Roman"/>
          <w:b w:val="0"/>
          <w:color w:val="000000" w:themeColor="text1"/>
          <w:sz w:val="32"/>
          <w:szCs w:val="32"/>
          <w:lang w:val="en-US" w:eastAsia="zh-CN"/>
          <w14:textFill>
            <w14:solidFill>
              <w14:schemeClr w14:val="tx1"/>
            </w14:solidFill>
          </w14:textFill>
        </w:rPr>
        <w:t>办公软件</w:t>
      </w:r>
      <w:r>
        <w:rPr>
          <w:rFonts w:hint="eastAsia" w:eastAsia="仿宋_GB2312" w:cs="Times New Roman"/>
          <w:b w:val="0"/>
          <w:color w:val="000000" w:themeColor="text1"/>
          <w:sz w:val="32"/>
          <w:szCs w:val="32"/>
          <w:lang w:val="en-US" w:eastAsia="zh-CN"/>
          <w14:textFill>
            <w14:solidFill>
              <w14:schemeClr w14:val="tx1"/>
            </w14:solidFill>
          </w14:textFill>
        </w:rPr>
        <w:t>及办公用品等</w:t>
      </w:r>
      <w:r>
        <w:rPr>
          <w:rFonts w:hint="eastAsia" w:ascii="Times New Roman" w:hAnsi="Times New Roman" w:eastAsia="仿宋_GB2312" w:cs="Times New Roman"/>
          <w:b w:val="0"/>
          <w:color w:val="000000" w:themeColor="text1"/>
          <w:sz w:val="32"/>
          <w:szCs w:val="32"/>
          <w:lang w:val="en-US" w:eastAsia="zh-CN"/>
          <w14:textFill>
            <w14:solidFill>
              <w14:schemeClr w14:val="tx1"/>
            </w14:solidFill>
          </w14:textFill>
        </w:rPr>
        <w:t>，</w:t>
      </w:r>
      <w:r>
        <w:rPr>
          <w:rFonts w:hint="eastAsia" w:ascii="Times New Roman" w:hAnsi="Times New Roman" w:eastAsia="仿宋_GB2312" w:cs="Times New Roman"/>
          <w:sz w:val="32"/>
          <w:szCs w:val="32"/>
          <w:shd w:val="clear" w:color="auto" w:fill="auto"/>
        </w:rPr>
        <w:t>项目实施及绩效情况</w:t>
      </w:r>
      <w:r>
        <w:rPr>
          <w:rFonts w:hint="eastAsia" w:ascii="Times New Roman" w:hAnsi="Times New Roman" w:eastAsia="仿宋_GB2312" w:cs="Times New Roman"/>
          <w:sz w:val="32"/>
          <w:szCs w:val="32"/>
        </w:rPr>
        <w:t>：基本保障保密相关工作安全、有序开展。</w:t>
      </w:r>
    </w:p>
    <w:p w14:paraId="2ED552A6">
      <w:pPr>
        <w:pStyle w:val="4"/>
        <w:spacing w:line="600" w:lineRule="exact"/>
        <w:ind w:firstLine="640"/>
        <w:rPr>
          <w:rFonts w:hint="eastAsia" w:ascii="Times New Roman" w:hAnsi="Times New Roman" w:eastAsia="仿宋_GB2312"/>
          <w:sz w:val="32"/>
          <w:szCs w:val="32"/>
          <w:lang w:eastAsia="zh-CN"/>
        </w:rPr>
      </w:pPr>
      <w:r>
        <w:rPr>
          <w:rFonts w:hint="eastAsia" w:ascii="Times New Roman" w:hAnsi="Times New Roman" w:eastAsia="仿宋_GB2312" w:cs="Times New Roman"/>
          <w:sz w:val="32"/>
          <w:szCs w:val="32"/>
          <w:lang w:val="en-US" w:eastAsia="zh-CN"/>
        </w:rPr>
        <w:t>6.产业发展资金项目，</w:t>
      </w:r>
      <w:r>
        <w:rPr>
          <w:rFonts w:hint="eastAsia" w:ascii="Times New Roman" w:hAnsi="Times New Roman" w:eastAsia="仿宋_GB2312" w:cs="Times New Roman"/>
          <w:b w:val="0"/>
          <w:color w:val="000000" w:themeColor="text1"/>
          <w:sz w:val="32"/>
          <w:szCs w:val="32"/>
          <w14:textFill>
            <w14:solidFill>
              <w14:schemeClr w14:val="tx1"/>
            </w14:solidFill>
          </w14:textFill>
        </w:rPr>
        <w:t>预算支出</w:t>
      </w:r>
      <w:r>
        <w:rPr>
          <w:rFonts w:hint="eastAsia" w:ascii="Times New Roman" w:hAnsi="Times New Roman" w:eastAsia="仿宋_GB2312" w:cs="Times New Roman"/>
          <w:b w:val="0"/>
          <w:color w:val="000000" w:themeColor="text1"/>
          <w:sz w:val="32"/>
          <w:szCs w:val="32"/>
          <w:lang w:val="en-US" w:eastAsia="zh-CN"/>
          <w14:textFill>
            <w14:solidFill>
              <w14:schemeClr w14:val="tx1"/>
            </w14:solidFill>
          </w14:textFill>
        </w:rPr>
        <w:t>0</w:t>
      </w:r>
      <w:r>
        <w:rPr>
          <w:rFonts w:hint="eastAsia" w:ascii="Times New Roman" w:hAnsi="Times New Roman" w:eastAsia="仿宋_GB2312" w:cs="Times New Roman"/>
          <w:b w:val="0"/>
          <w:color w:val="000000" w:themeColor="text1"/>
          <w:sz w:val="32"/>
          <w:szCs w:val="32"/>
          <w14:textFill>
            <w14:solidFill>
              <w14:schemeClr w14:val="tx1"/>
            </w14:solidFill>
          </w14:textFill>
        </w:rPr>
        <w:t>万元，</w:t>
      </w:r>
      <w:r>
        <w:rPr>
          <w:rFonts w:hint="eastAsia" w:ascii="Times New Roman" w:hAnsi="Times New Roman" w:eastAsia="仿宋_GB2312" w:cs="Times New Roman"/>
          <w:sz w:val="32"/>
          <w:szCs w:val="32"/>
        </w:rPr>
        <w:t>年中执行调</w:t>
      </w:r>
      <w:r>
        <w:rPr>
          <w:rFonts w:hint="eastAsia" w:ascii="Times New Roman" w:hAnsi="Times New Roman" w:eastAsia="仿宋_GB2312" w:cs="Times New Roman"/>
          <w:sz w:val="32"/>
          <w:szCs w:val="32"/>
          <w:lang w:val="en-US" w:eastAsia="zh-CN"/>
        </w:rPr>
        <w:t>增8.87</w:t>
      </w:r>
      <w:r>
        <w:rPr>
          <w:rFonts w:hint="eastAsia" w:ascii="Times New Roman" w:hAnsi="Times New Roman" w:eastAsia="仿宋_GB2312" w:cs="Times New Roman"/>
          <w:sz w:val="32"/>
          <w:szCs w:val="32"/>
        </w:rPr>
        <w:t>万元，</w:t>
      </w:r>
      <w:r>
        <w:rPr>
          <w:rFonts w:hint="eastAsia" w:ascii="Times New Roman" w:hAnsi="Times New Roman" w:eastAsia="仿宋_GB2312" w:cs="Times New Roman"/>
          <w:b w:val="0"/>
          <w:color w:val="000000" w:themeColor="text1"/>
          <w:sz w:val="32"/>
          <w:szCs w:val="32"/>
          <w14:textFill>
            <w14:solidFill>
              <w14:schemeClr w14:val="tx1"/>
            </w14:solidFill>
          </w14:textFill>
        </w:rPr>
        <w:t>实际支出</w:t>
      </w:r>
      <w:r>
        <w:rPr>
          <w:rFonts w:hint="eastAsia" w:ascii="Times New Roman" w:hAnsi="Times New Roman" w:eastAsia="仿宋_GB2312" w:cs="Times New Roman"/>
          <w:sz w:val="32"/>
          <w:szCs w:val="32"/>
          <w:shd w:val="clear" w:color="auto" w:fill="auto"/>
          <w:lang w:val="en-US" w:eastAsia="zh-CN"/>
        </w:rPr>
        <w:t>8.87</w:t>
      </w:r>
      <w:r>
        <w:rPr>
          <w:rFonts w:hint="eastAsia" w:ascii="Times New Roman" w:hAnsi="Times New Roman" w:eastAsia="仿宋_GB2312" w:cs="Times New Roman"/>
          <w:b w:val="0"/>
          <w:color w:val="000000" w:themeColor="text1"/>
          <w:sz w:val="32"/>
          <w:szCs w:val="32"/>
          <w14:textFill>
            <w14:solidFill>
              <w14:schemeClr w14:val="tx1"/>
            </w14:solidFill>
          </w14:textFill>
        </w:rPr>
        <w:t>万元，</w:t>
      </w:r>
      <w:r>
        <w:rPr>
          <w:rFonts w:hint="eastAsia" w:ascii="Times New Roman" w:hAnsi="Times New Roman" w:eastAsia="仿宋_GB2312" w:cs="Times New Roman"/>
          <w:sz w:val="32"/>
          <w:szCs w:val="32"/>
        </w:rPr>
        <w:t>结余结转</w:t>
      </w:r>
      <w:r>
        <w:rPr>
          <w:rFonts w:hint="eastAsia" w:ascii="Times New Roman" w:hAnsi="Times New Roman" w:eastAsia="仿宋_GB2312" w:cs="Times New Roman"/>
          <w:sz w:val="32"/>
          <w:szCs w:val="32"/>
          <w:highlight w:val="none"/>
          <w:lang w:val="en-US" w:eastAsia="zh-CN"/>
        </w:rPr>
        <w:t>0</w:t>
      </w:r>
      <w:r>
        <w:rPr>
          <w:rFonts w:hint="eastAsia"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b w:val="0"/>
          <w:color w:val="000000" w:themeColor="text1"/>
          <w:sz w:val="32"/>
          <w:szCs w:val="32"/>
          <w14:textFill>
            <w14:solidFill>
              <w14:schemeClr w14:val="tx1"/>
            </w14:solidFill>
          </w14:textFill>
        </w:rPr>
        <w:t>该专项资金支出</w:t>
      </w:r>
      <w:r>
        <w:rPr>
          <w:rFonts w:hint="eastAsia" w:ascii="Times New Roman" w:hAnsi="Times New Roman" w:eastAsia="仿宋_GB2312" w:cs="Times New Roman"/>
          <w:b w:val="0"/>
          <w:color w:val="000000" w:themeColor="text1"/>
          <w:sz w:val="32"/>
          <w:szCs w:val="32"/>
          <w:lang w:val="en-US" w:eastAsia="zh-CN"/>
          <w14:textFill>
            <w14:solidFill>
              <w14:schemeClr w14:val="tx1"/>
            </w14:solidFill>
          </w14:textFill>
        </w:rPr>
        <w:t>主要用</w:t>
      </w:r>
      <w:r>
        <w:rPr>
          <w:rFonts w:hint="eastAsia" w:ascii="Times New Roman" w:hAnsi="Times New Roman" w:eastAsia="仿宋_GB2312" w:cs="Times New Roman"/>
          <w:sz w:val="32"/>
          <w:szCs w:val="32"/>
          <w:lang w:val="en-US" w:eastAsia="zh-CN"/>
        </w:rPr>
        <w:t>于领导外出考察学习及招商引资</w:t>
      </w:r>
      <w:r>
        <w:rPr>
          <w:rFonts w:hint="eastAsia" w:ascii="Times New Roman" w:hAnsi="Times New Roman" w:eastAsia="仿宋_GB2312" w:cs="Times New Roman"/>
          <w:sz w:val="32"/>
          <w:szCs w:val="32"/>
        </w:rPr>
        <w:t>工作经费</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项目实施及绩效情况：</w:t>
      </w:r>
      <w:r>
        <w:rPr>
          <w:rFonts w:hint="eastAsia" w:ascii="Times New Roman" w:hAnsi="Times New Roman" w:eastAsia="仿宋_GB2312" w:cs="Times New Roman"/>
          <w:sz w:val="32"/>
          <w:szCs w:val="32"/>
          <w:lang w:eastAsia="zh-CN"/>
        </w:rPr>
        <w:t>顺利考察学习、招商引资等活动顺利开展。</w:t>
      </w:r>
    </w:p>
    <w:p w14:paraId="34C84C78">
      <w:pPr>
        <w:pStyle w:val="4"/>
        <w:spacing w:line="600" w:lineRule="exact"/>
        <w:ind w:firstLine="640"/>
        <w:rPr>
          <w:rFonts w:ascii="Times New Roman" w:hAnsi="Times New Roman" w:eastAsia="黑体"/>
          <w:sz w:val="32"/>
          <w:szCs w:val="32"/>
        </w:rPr>
      </w:pPr>
      <w:r>
        <w:rPr>
          <w:rFonts w:ascii="Times New Roman" w:hAnsi="Times New Roman" w:eastAsia="黑体"/>
          <w:sz w:val="32"/>
          <w:szCs w:val="32"/>
        </w:rPr>
        <w:t>七、存在的问题及原因分析</w:t>
      </w:r>
    </w:p>
    <w:p w14:paraId="234D17D3">
      <w:pPr>
        <w:spacing w:line="600" w:lineRule="exact"/>
        <w:ind w:firstLine="640" w:firstLineChars="200"/>
        <w:rPr>
          <w:rFonts w:eastAsia="仿宋_GB2312"/>
          <w:sz w:val="32"/>
          <w:szCs w:val="32"/>
        </w:rPr>
      </w:pPr>
      <w:r>
        <w:rPr>
          <w:rFonts w:hint="eastAsia" w:ascii="Times New Roman" w:hAnsi="Times New Roman" w:eastAsia="仿宋_GB2312" w:cs="Times New Roman"/>
          <w:sz w:val="32"/>
          <w:szCs w:val="32"/>
        </w:rPr>
        <w:t>通过强化资金使用管理监督，严格按照资金使用办法的规定和规范的审批程序办理经费支付，确保了资金的使用效益。存在的主要问题是财政指标各相关业务股室对绩效评价工作的重要性认识有待进一步提高。</w:t>
      </w:r>
    </w:p>
    <w:p w14:paraId="5ABFBA2F">
      <w:pPr>
        <w:spacing w:line="600" w:lineRule="exact"/>
        <w:ind w:firstLine="640" w:firstLineChars="200"/>
        <w:rPr>
          <w:rFonts w:eastAsia="黑体"/>
          <w:sz w:val="32"/>
          <w:szCs w:val="32"/>
        </w:rPr>
      </w:pPr>
      <w:r>
        <w:rPr>
          <w:rFonts w:eastAsia="黑体"/>
          <w:sz w:val="32"/>
          <w:szCs w:val="32"/>
        </w:rPr>
        <w:t>八、下一步改进措施</w:t>
      </w:r>
    </w:p>
    <w:p w14:paraId="60D0C77C">
      <w:pPr>
        <w:spacing w:line="600" w:lineRule="exact"/>
        <w:ind w:firstLine="640" w:firstLineChars="200"/>
        <w:rPr>
          <w:rFonts w:eastAsia="黑体"/>
          <w:sz w:val="32"/>
          <w:szCs w:val="32"/>
        </w:rPr>
      </w:pPr>
      <w:r>
        <w:rPr>
          <w:rFonts w:hint="eastAsia" w:ascii="Times New Roman" w:hAnsi="Times New Roman" w:eastAsia="仿宋_GB2312" w:cs="Times New Roman"/>
          <w:sz w:val="32"/>
          <w:szCs w:val="32"/>
        </w:rPr>
        <w:t>一是高度重视绩效管理工作。</w:t>
      </w:r>
      <w:r>
        <w:rPr>
          <w:rFonts w:hint="eastAsia" w:ascii="Times New Roman" w:hAnsi="Times New Roman" w:eastAsia="仿宋_GB2312" w:cs="Times New Roman"/>
          <w:sz w:val="32"/>
          <w:szCs w:val="32"/>
          <w:lang w:eastAsia="zh-CN"/>
        </w:rPr>
        <w:t>进一步</w:t>
      </w:r>
      <w:r>
        <w:rPr>
          <w:rFonts w:hint="eastAsia" w:ascii="Times New Roman" w:hAnsi="Times New Roman" w:eastAsia="仿宋_GB2312" w:cs="Times New Roman"/>
          <w:sz w:val="32"/>
          <w:szCs w:val="32"/>
        </w:rPr>
        <w:t>提高对绩效评价工作的重要性的认识，有计划有步骤的实施绩效评价；二是加强预算执行管理。定期跟进资金使用进度和预算执行进度，并对做好预算管理工作提出具体要求。三是加强督促跟踪问效。定期对资金管理情况、专项工作进展情况进行跟踪检查。</w:t>
      </w:r>
    </w:p>
    <w:p w14:paraId="2B6813E9">
      <w:pPr>
        <w:spacing w:line="600" w:lineRule="exact"/>
        <w:ind w:firstLine="640" w:firstLineChars="200"/>
        <w:rPr>
          <w:rFonts w:eastAsia="黑体"/>
          <w:sz w:val="32"/>
          <w:szCs w:val="32"/>
        </w:rPr>
      </w:pPr>
      <w:r>
        <w:rPr>
          <w:rFonts w:eastAsia="黑体"/>
          <w:sz w:val="32"/>
          <w:szCs w:val="32"/>
        </w:rPr>
        <w:t>九、绩效自评结果拟应用和公开情况</w:t>
      </w:r>
    </w:p>
    <w:p w14:paraId="7552AEA9">
      <w:pPr>
        <w:spacing w:line="600" w:lineRule="exact"/>
        <w:ind w:firstLine="640" w:firstLineChars="200"/>
        <w:rPr>
          <w:rFonts w:eastAsia="黑体"/>
          <w:sz w:val="32"/>
          <w:szCs w:val="32"/>
        </w:rPr>
      </w:pPr>
      <w:r>
        <w:rPr>
          <w:rFonts w:hint="eastAsia" w:ascii="Times New Roman" w:hAnsi="Times New Roman" w:eastAsia="仿宋_GB2312" w:cs="Times New Roman"/>
          <w:sz w:val="32"/>
          <w:szCs w:val="32"/>
        </w:rPr>
        <w:t>自评结果将用于来年预算的编制和预算绩效管理，以期提升资金管理的效益。本次自评将在芦淞区人民政府门户网上统一公示公开，接受社会监督。</w:t>
      </w:r>
    </w:p>
    <w:p w14:paraId="73D079AE">
      <w:pPr>
        <w:spacing w:line="600" w:lineRule="exact"/>
        <w:ind w:firstLine="640" w:firstLineChars="200"/>
        <w:rPr>
          <w:rFonts w:eastAsia="黑体"/>
          <w:sz w:val="32"/>
          <w:szCs w:val="32"/>
        </w:rPr>
      </w:pPr>
      <w:r>
        <w:rPr>
          <w:rFonts w:hint="eastAsia" w:eastAsia="黑体"/>
          <w:sz w:val="32"/>
          <w:szCs w:val="32"/>
          <w:lang w:eastAsia="zh-CN"/>
        </w:rPr>
        <w:t>十、</w:t>
      </w:r>
      <w:r>
        <w:rPr>
          <w:rFonts w:eastAsia="黑体"/>
          <w:sz w:val="32"/>
          <w:szCs w:val="32"/>
        </w:rPr>
        <w:t>其他需要说明的情况</w:t>
      </w:r>
    </w:p>
    <w:p w14:paraId="072D8A34">
      <w:pPr>
        <w:spacing w:line="600" w:lineRule="exact"/>
        <w:ind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无</w:t>
      </w:r>
    </w:p>
    <w:p w14:paraId="5D2F1411">
      <w:pPr>
        <w:spacing w:line="600" w:lineRule="exact"/>
        <w:ind w:firstLine="640" w:firstLineChars="200"/>
        <w:rPr>
          <w:rFonts w:eastAsia="仿宋_GB2312"/>
          <w:sz w:val="32"/>
          <w:szCs w:val="32"/>
        </w:rPr>
      </w:pPr>
    </w:p>
    <w:p w14:paraId="09CC7730">
      <w:pPr>
        <w:spacing w:line="600" w:lineRule="exact"/>
        <w:rPr>
          <w:rFonts w:eastAsia="仿宋_GB2312"/>
          <w:kern w:val="0"/>
          <w:sz w:val="32"/>
          <w:szCs w:val="32"/>
        </w:rPr>
      </w:pPr>
    </w:p>
    <w:p w14:paraId="045EC99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roma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90FF15"/>
    <w:multiLevelType w:val="singleLevel"/>
    <w:tmpl w:val="4890FF15"/>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1Yjg3NjVmZmU4MjJhYzIzZjM0NWY1OWYwNjhhMzgifQ=="/>
  </w:docVars>
  <w:rsids>
    <w:rsidRoot w:val="00000000"/>
    <w:rsid w:val="00004E70"/>
    <w:rsid w:val="00207FA3"/>
    <w:rsid w:val="005A433C"/>
    <w:rsid w:val="008C62A7"/>
    <w:rsid w:val="00A56C8A"/>
    <w:rsid w:val="00AE3F51"/>
    <w:rsid w:val="00D5092F"/>
    <w:rsid w:val="00E55161"/>
    <w:rsid w:val="010356B7"/>
    <w:rsid w:val="015876FF"/>
    <w:rsid w:val="016976BE"/>
    <w:rsid w:val="01A6665B"/>
    <w:rsid w:val="01C47CF3"/>
    <w:rsid w:val="01E924B1"/>
    <w:rsid w:val="01EF5276"/>
    <w:rsid w:val="02271F96"/>
    <w:rsid w:val="024824CB"/>
    <w:rsid w:val="02665DCF"/>
    <w:rsid w:val="02A86D87"/>
    <w:rsid w:val="02AE4CCA"/>
    <w:rsid w:val="02D92DDA"/>
    <w:rsid w:val="03287320"/>
    <w:rsid w:val="039424ED"/>
    <w:rsid w:val="03AE3AC0"/>
    <w:rsid w:val="03FA6217"/>
    <w:rsid w:val="046063A3"/>
    <w:rsid w:val="048E4A8E"/>
    <w:rsid w:val="04A8621F"/>
    <w:rsid w:val="04E27C10"/>
    <w:rsid w:val="052D1124"/>
    <w:rsid w:val="05603D62"/>
    <w:rsid w:val="05841760"/>
    <w:rsid w:val="058C239E"/>
    <w:rsid w:val="06334EF1"/>
    <w:rsid w:val="06377F01"/>
    <w:rsid w:val="071E5F82"/>
    <w:rsid w:val="072B45AB"/>
    <w:rsid w:val="07BB6AF4"/>
    <w:rsid w:val="07EF4D29"/>
    <w:rsid w:val="08470747"/>
    <w:rsid w:val="0893725C"/>
    <w:rsid w:val="089572CF"/>
    <w:rsid w:val="08A00773"/>
    <w:rsid w:val="08A4283C"/>
    <w:rsid w:val="08EF0DD0"/>
    <w:rsid w:val="08F027B4"/>
    <w:rsid w:val="08FE41CD"/>
    <w:rsid w:val="09783F74"/>
    <w:rsid w:val="09822228"/>
    <w:rsid w:val="0A3D57A2"/>
    <w:rsid w:val="0A4370BC"/>
    <w:rsid w:val="0A4D6F7D"/>
    <w:rsid w:val="0A94795B"/>
    <w:rsid w:val="0AB4192F"/>
    <w:rsid w:val="0AF54308"/>
    <w:rsid w:val="0B0D3F2D"/>
    <w:rsid w:val="0B1F6B23"/>
    <w:rsid w:val="0B2473D6"/>
    <w:rsid w:val="0B4524E9"/>
    <w:rsid w:val="0B57692B"/>
    <w:rsid w:val="0BA804E2"/>
    <w:rsid w:val="0BB94E2C"/>
    <w:rsid w:val="0BE20A8D"/>
    <w:rsid w:val="0BE27487"/>
    <w:rsid w:val="0C31628E"/>
    <w:rsid w:val="0C345014"/>
    <w:rsid w:val="0C4F7C96"/>
    <w:rsid w:val="0C8A5A23"/>
    <w:rsid w:val="0C8E7A46"/>
    <w:rsid w:val="0C966F7F"/>
    <w:rsid w:val="0CCA6CB7"/>
    <w:rsid w:val="0CD04E93"/>
    <w:rsid w:val="0CFF5FF0"/>
    <w:rsid w:val="0D1C42A9"/>
    <w:rsid w:val="0D366EDE"/>
    <w:rsid w:val="0D4B57FA"/>
    <w:rsid w:val="0D60161F"/>
    <w:rsid w:val="0DEC4366"/>
    <w:rsid w:val="0E6A7DF0"/>
    <w:rsid w:val="0E897C2B"/>
    <w:rsid w:val="0E907072"/>
    <w:rsid w:val="0ED94D9B"/>
    <w:rsid w:val="0F957EE7"/>
    <w:rsid w:val="0F9A0948"/>
    <w:rsid w:val="0FA108F2"/>
    <w:rsid w:val="0FB873C3"/>
    <w:rsid w:val="0FEE6FAE"/>
    <w:rsid w:val="10204305"/>
    <w:rsid w:val="10593E88"/>
    <w:rsid w:val="10771491"/>
    <w:rsid w:val="108E4939"/>
    <w:rsid w:val="109777C7"/>
    <w:rsid w:val="10C17504"/>
    <w:rsid w:val="10F06DED"/>
    <w:rsid w:val="11107299"/>
    <w:rsid w:val="1134034B"/>
    <w:rsid w:val="115176A2"/>
    <w:rsid w:val="11BA6625"/>
    <w:rsid w:val="129D6027"/>
    <w:rsid w:val="12EB6997"/>
    <w:rsid w:val="132248F2"/>
    <w:rsid w:val="13242D1C"/>
    <w:rsid w:val="13A52CDF"/>
    <w:rsid w:val="143556B4"/>
    <w:rsid w:val="146C1DD9"/>
    <w:rsid w:val="14871C3B"/>
    <w:rsid w:val="14BF24DE"/>
    <w:rsid w:val="14CC54C7"/>
    <w:rsid w:val="14DD5FD7"/>
    <w:rsid w:val="14E33844"/>
    <w:rsid w:val="14EA23A8"/>
    <w:rsid w:val="150E0C1B"/>
    <w:rsid w:val="154C2C7E"/>
    <w:rsid w:val="1565577D"/>
    <w:rsid w:val="15A27FE2"/>
    <w:rsid w:val="15FB759E"/>
    <w:rsid w:val="162561E4"/>
    <w:rsid w:val="1627453B"/>
    <w:rsid w:val="16682151"/>
    <w:rsid w:val="167A36F0"/>
    <w:rsid w:val="17197045"/>
    <w:rsid w:val="175C6F5E"/>
    <w:rsid w:val="179A7791"/>
    <w:rsid w:val="17DC3DC3"/>
    <w:rsid w:val="17E219BD"/>
    <w:rsid w:val="18174416"/>
    <w:rsid w:val="181F357B"/>
    <w:rsid w:val="188345AC"/>
    <w:rsid w:val="18856C48"/>
    <w:rsid w:val="18AE4589"/>
    <w:rsid w:val="18EA696C"/>
    <w:rsid w:val="19461284"/>
    <w:rsid w:val="19472589"/>
    <w:rsid w:val="195E168F"/>
    <w:rsid w:val="196A7CDF"/>
    <w:rsid w:val="19B915C3"/>
    <w:rsid w:val="19C72BF8"/>
    <w:rsid w:val="19CA553D"/>
    <w:rsid w:val="1A4E2E8E"/>
    <w:rsid w:val="1A8F2520"/>
    <w:rsid w:val="1AE31FAA"/>
    <w:rsid w:val="1AF51455"/>
    <w:rsid w:val="1B0B56ED"/>
    <w:rsid w:val="1B9D302A"/>
    <w:rsid w:val="1BF446CE"/>
    <w:rsid w:val="1C135F20"/>
    <w:rsid w:val="1C14011E"/>
    <w:rsid w:val="1C407CE8"/>
    <w:rsid w:val="1C704031"/>
    <w:rsid w:val="1C7A3345"/>
    <w:rsid w:val="1D271A66"/>
    <w:rsid w:val="1D457596"/>
    <w:rsid w:val="1D962818"/>
    <w:rsid w:val="1DCB47DF"/>
    <w:rsid w:val="1DFF69C5"/>
    <w:rsid w:val="1E19756E"/>
    <w:rsid w:val="1E601115"/>
    <w:rsid w:val="1EB03217"/>
    <w:rsid w:val="1F000FB0"/>
    <w:rsid w:val="1F111AD7"/>
    <w:rsid w:val="1F5A1E7F"/>
    <w:rsid w:val="1FA707DF"/>
    <w:rsid w:val="1FFE7B8C"/>
    <w:rsid w:val="20112F2C"/>
    <w:rsid w:val="20174E36"/>
    <w:rsid w:val="203C025A"/>
    <w:rsid w:val="2074194C"/>
    <w:rsid w:val="20775CA3"/>
    <w:rsid w:val="20F06D17"/>
    <w:rsid w:val="217A1AB1"/>
    <w:rsid w:val="22695B47"/>
    <w:rsid w:val="228B6AB8"/>
    <w:rsid w:val="234207E5"/>
    <w:rsid w:val="23A83A0D"/>
    <w:rsid w:val="2425685A"/>
    <w:rsid w:val="243235AA"/>
    <w:rsid w:val="245F573A"/>
    <w:rsid w:val="24726959"/>
    <w:rsid w:val="24B10BAC"/>
    <w:rsid w:val="24D2061D"/>
    <w:rsid w:val="251132F3"/>
    <w:rsid w:val="253C38DE"/>
    <w:rsid w:val="25A073CB"/>
    <w:rsid w:val="25B24E22"/>
    <w:rsid w:val="262B4FF6"/>
    <w:rsid w:val="264810A7"/>
    <w:rsid w:val="265A7CC8"/>
    <w:rsid w:val="26EA2865"/>
    <w:rsid w:val="27014400"/>
    <w:rsid w:val="271B2298"/>
    <w:rsid w:val="27451C7A"/>
    <w:rsid w:val="276D0D8C"/>
    <w:rsid w:val="27896E11"/>
    <w:rsid w:val="27C747D2"/>
    <w:rsid w:val="27DE2311"/>
    <w:rsid w:val="286C33CA"/>
    <w:rsid w:val="286E6264"/>
    <w:rsid w:val="28E4125D"/>
    <w:rsid w:val="299C0ED5"/>
    <w:rsid w:val="29B661FB"/>
    <w:rsid w:val="29BB6A7E"/>
    <w:rsid w:val="29EC49AF"/>
    <w:rsid w:val="2AC43DDE"/>
    <w:rsid w:val="2AEF4956"/>
    <w:rsid w:val="2B1C41DD"/>
    <w:rsid w:val="2B733B33"/>
    <w:rsid w:val="2BA33828"/>
    <w:rsid w:val="2BBE35CD"/>
    <w:rsid w:val="2BD6382B"/>
    <w:rsid w:val="2C0D1BD3"/>
    <w:rsid w:val="2C7A0558"/>
    <w:rsid w:val="2C933EBB"/>
    <w:rsid w:val="2CDF6E04"/>
    <w:rsid w:val="2D284D02"/>
    <w:rsid w:val="2D3A266F"/>
    <w:rsid w:val="2D8470B0"/>
    <w:rsid w:val="2D85399E"/>
    <w:rsid w:val="2DA27A6B"/>
    <w:rsid w:val="2DA354EC"/>
    <w:rsid w:val="2DC65E1F"/>
    <w:rsid w:val="2DF720F5"/>
    <w:rsid w:val="2E1C0F3D"/>
    <w:rsid w:val="2E69253C"/>
    <w:rsid w:val="2E6A74B4"/>
    <w:rsid w:val="2E924FEF"/>
    <w:rsid w:val="2EC40E47"/>
    <w:rsid w:val="2EE25E79"/>
    <w:rsid w:val="2EEF2198"/>
    <w:rsid w:val="2F0246FC"/>
    <w:rsid w:val="2F080155"/>
    <w:rsid w:val="2F0C4ABE"/>
    <w:rsid w:val="2F2C7572"/>
    <w:rsid w:val="300C2463"/>
    <w:rsid w:val="301D237D"/>
    <w:rsid w:val="30241D08"/>
    <w:rsid w:val="30343502"/>
    <w:rsid w:val="30470CFF"/>
    <w:rsid w:val="306918BE"/>
    <w:rsid w:val="30A37680"/>
    <w:rsid w:val="30E54344"/>
    <w:rsid w:val="30F4495F"/>
    <w:rsid w:val="31AF70F0"/>
    <w:rsid w:val="31C307BB"/>
    <w:rsid w:val="3232786A"/>
    <w:rsid w:val="32786CD9"/>
    <w:rsid w:val="32D24F00"/>
    <w:rsid w:val="32D373F3"/>
    <w:rsid w:val="32D963A9"/>
    <w:rsid w:val="32ED21B4"/>
    <w:rsid w:val="331926DE"/>
    <w:rsid w:val="33B2575C"/>
    <w:rsid w:val="350F0F1C"/>
    <w:rsid w:val="35124AFB"/>
    <w:rsid w:val="35164EC9"/>
    <w:rsid w:val="3536335A"/>
    <w:rsid w:val="35EE1AE6"/>
    <w:rsid w:val="3621205E"/>
    <w:rsid w:val="36216ACD"/>
    <w:rsid w:val="36AD5505"/>
    <w:rsid w:val="36CC46F5"/>
    <w:rsid w:val="36DB24F1"/>
    <w:rsid w:val="37904E67"/>
    <w:rsid w:val="3797204C"/>
    <w:rsid w:val="37A771FF"/>
    <w:rsid w:val="37B37AED"/>
    <w:rsid w:val="37EF7DFA"/>
    <w:rsid w:val="37F34577"/>
    <w:rsid w:val="37FC066A"/>
    <w:rsid w:val="37FD2868"/>
    <w:rsid w:val="380A1D4B"/>
    <w:rsid w:val="38225026"/>
    <w:rsid w:val="38666A14"/>
    <w:rsid w:val="3875122D"/>
    <w:rsid w:val="38A54053"/>
    <w:rsid w:val="38D37D37"/>
    <w:rsid w:val="38DF2E5B"/>
    <w:rsid w:val="39312765"/>
    <w:rsid w:val="39386D6D"/>
    <w:rsid w:val="393A2055"/>
    <w:rsid w:val="399C1F0E"/>
    <w:rsid w:val="3A003CFF"/>
    <w:rsid w:val="3A1339C4"/>
    <w:rsid w:val="3A7A067E"/>
    <w:rsid w:val="3AF63590"/>
    <w:rsid w:val="3B06110B"/>
    <w:rsid w:val="3B9B7004"/>
    <w:rsid w:val="3BCF551C"/>
    <w:rsid w:val="3BF70E6F"/>
    <w:rsid w:val="3C87456A"/>
    <w:rsid w:val="3CA231F4"/>
    <w:rsid w:val="3CCA6C49"/>
    <w:rsid w:val="3CDC3CFC"/>
    <w:rsid w:val="3CFC20B7"/>
    <w:rsid w:val="3E004AC7"/>
    <w:rsid w:val="3E694CE7"/>
    <w:rsid w:val="3E835DD7"/>
    <w:rsid w:val="3EC819BA"/>
    <w:rsid w:val="3EE871B2"/>
    <w:rsid w:val="3EEE35A4"/>
    <w:rsid w:val="3F7004CB"/>
    <w:rsid w:val="3FF86E00"/>
    <w:rsid w:val="3FFC7781"/>
    <w:rsid w:val="405317F7"/>
    <w:rsid w:val="40662CB8"/>
    <w:rsid w:val="40754FF3"/>
    <w:rsid w:val="40CE715B"/>
    <w:rsid w:val="40D508AB"/>
    <w:rsid w:val="40E640CC"/>
    <w:rsid w:val="41602ED0"/>
    <w:rsid w:val="41D57B43"/>
    <w:rsid w:val="41FE3CD2"/>
    <w:rsid w:val="42DA493A"/>
    <w:rsid w:val="43141345"/>
    <w:rsid w:val="43420DA9"/>
    <w:rsid w:val="435C781C"/>
    <w:rsid w:val="437C0F5D"/>
    <w:rsid w:val="438B475E"/>
    <w:rsid w:val="44B87D18"/>
    <w:rsid w:val="450B5ED4"/>
    <w:rsid w:val="453A160B"/>
    <w:rsid w:val="45E2026E"/>
    <w:rsid w:val="45F85A17"/>
    <w:rsid w:val="463747B7"/>
    <w:rsid w:val="47212ECA"/>
    <w:rsid w:val="4730365B"/>
    <w:rsid w:val="47323108"/>
    <w:rsid w:val="47974304"/>
    <w:rsid w:val="47B61335"/>
    <w:rsid w:val="47D51345"/>
    <w:rsid w:val="47E11557"/>
    <w:rsid w:val="48096EB5"/>
    <w:rsid w:val="48196B29"/>
    <w:rsid w:val="4885603F"/>
    <w:rsid w:val="48B91E5D"/>
    <w:rsid w:val="491722FF"/>
    <w:rsid w:val="491D74A7"/>
    <w:rsid w:val="497C7C2F"/>
    <w:rsid w:val="498307B4"/>
    <w:rsid w:val="49882B9B"/>
    <w:rsid w:val="49AF4809"/>
    <w:rsid w:val="49B324BE"/>
    <w:rsid w:val="4A3763F6"/>
    <w:rsid w:val="4A5007FC"/>
    <w:rsid w:val="4A885383"/>
    <w:rsid w:val="4AE85958"/>
    <w:rsid w:val="4AF51ADF"/>
    <w:rsid w:val="4AFD5436"/>
    <w:rsid w:val="4B3A6678"/>
    <w:rsid w:val="4B7C2BF9"/>
    <w:rsid w:val="4B920728"/>
    <w:rsid w:val="4B9357A5"/>
    <w:rsid w:val="4BC67BFF"/>
    <w:rsid w:val="4BEC649C"/>
    <w:rsid w:val="4BF02924"/>
    <w:rsid w:val="4C19263D"/>
    <w:rsid w:val="4C253F32"/>
    <w:rsid w:val="4C442E20"/>
    <w:rsid w:val="4C714499"/>
    <w:rsid w:val="4C845F8F"/>
    <w:rsid w:val="4CE444B6"/>
    <w:rsid w:val="4D36566E"/>
    <w:rsid w:val="4D8E364A"/>
    <w:rsid w:val="4DBB24B5"/>
    <w:rsid w:val="4DBE1C1A"/>
    <w:rsid w:val="4DCF7936"/>
    <w:rsid w:val="4DF07E6B"/>
    <w:rsid w:val="4E03467F"/>
    <w:rsid w:val="4E1D54B7"/>
    <w:rsid w:val="4E727140"/>
    <w:rsid w:val="4EAD3AA1"/>
    <w:rsid w:val="4EBD3D3C"/>
    <w:rsid w:val="4EE91176"/>
    <w:rsid w:val="4EF96755"/>
    <w:rsid w:val="4EFF6E71"/>
    <w:rsid w:val="4F7317CB"/>
    <w:rsid w:val="4F7C135A"/>
    <w:rsid w:val="4FC01EDA"/>
    <w:rsid w:val="4FE57021"/>
    <w:rsid w:val="50281CF3"/>
    <w:rsid w:val="504F44D2"/>
    <w:rsid w:val="509154B6"/>
    <w:rsid w:val="50BB4683"/>
    <w:rsid w:val="50BB5D80"/>
    <w:rsid w:val="50EC10F9"/>
    <w:rsid w:val="514711E7"/>
    <w:rsid w:val="515404FD"/>
    <w:rsid w:val="5177797E"/>
    <w:rsid w:val="518D60D8"/>
    <w:rsid w:val="52F6075F"/>
    <w:rsid w:val="53067EC3"/>
    <w:rsid w:val="53086FF5"/>
    <w:rsid w:val="53452EE6"/>
    <w:rsid w:val="534D0228"/>
    <w:rsid w:val="53940A2C"/>
    <w:rsid w:val="53AB142E"/>
    <w:rsid w:val="53F72CCF"/>
    <w:rsid w:val="54207C51"/>
    <w:rsid w:val="548206B4"/>
    <w:rsid w:val="54DA727F"/>
    <w:rsid w:val="54E65F5A"/>
    <w:rsid w:val="557D2E1D"/>
    <w:rsid w:val="55804F6C"/>
    <w:rsid w:val="55846FDD"/>
    <w:rsid w:val="564516B7"/>
    <w:rsid w:val="565A24B9"/>
    <w:rsid w:val="56685DC5"/>
    <w:rsid w:val="567C109E"/>
    <w:rsid w:val="567E6210"/>
    <w:rsid w:val="56933523"/>
    <w:rsid w:val="56A26130"/>
    <w:rsid w:val="56BA55C6"/>
    <w:rsid w:val="57124CDD"/>
    <w:rsid w:val="5716066D"/>
    <w:rsid w:val="576D1203"/>
    <w:rsid w:val="57837BDE"/>
    <w:rsid w:val="57935E95"/>
    <w:rsid w:val="58152013"/>
    <w:rsid w:val="58692219"/>
    <w:rsid w:val="58C625B2"/>
    <w:rsid w:val="58CE683B"/>
    <w:rsid w:val="59A40B9B"/>
    <w:rsid w:val="59E73D0F"/>
    <w:rsid w:val="59F477A1"/>
    <w:rsid w:val="5A3C1A0D"/>
    <w:rsid w:val="5A6A2A29"/>
    <w:rsid w:val="5A7979FA"/>
    <w:rsid w:val="5A9244F7"/>
    <w:rsid w:val="5AC52078"/>
    <w:rsid w:val="5AF97A89"/>
    <w:rsid w:val="5B352171"/>
    <w:rsid w:val="5B514882"/>
    <w:rsid w:val="5B5C757D"/>
    <w:rsid w:val="5B6B124E"/>
    <w:rsid w:val="5B7831A0"/>
    <w:rsid w:val="5D155819"/>
    <w:rsid w:val="5D656D7E"/>
    <w:rsid w:val="5DCE0C96"/>
    <w:rsid w:val="5DE454AE"/>
    <w:rsid w:val="5DE50D1C"/>
    <w:rsid w:val="5DEC70B2"/>
    <w:rsid w:val="5E1F095F"/>
    <w:rsid w:val="5E47553D"/>
    <w:rsid w:val="5E482C04"/>
    <w:rsid w:val="5E5B095A"/>
    <w:rsid w:val="5E5D637B"/>
    <w:rsid w:val="5E87020C"/>
    <w:rsid w:val="5EC735B0"/>
    <w:rsid w:val="5F0F193D"/>
    <w:rsid w:val="5F2B6724"/>
    <w:rsid w:val="5F744CAA"/>
    <w:rsid w:val="5FA72B7B"/>
    <w:rsid w:val="60474C82"/>
    <w:rsid w:val="60A85FA1"/>
    <w:rsid w:val="60C055B7"/>
    <w:rsid w:val="612D4EDB"/>
    <w:rsid w:val="61F20913"/>
    <w:rsid w:val="620E45EE"/>
    <w:rsid w:val="624B0B8B"/>
    <w:rsid w:val="62554D62"/>
    <w:rsid w:val="62923B3C"/>
    <w:rsid w:val="62A42563"/>
    <w:rsid w:val="62C32DEC"/>
    <w:rsid w:val="630D66DA"/>
    <w:rsid w:val="63702F31"/>
    <w:rsid w:val="639F4202"/>
    <w:rsid w:val="63B0031B"/>
    <w:rsid w:val="63C86E42"/>
    <w:rsid w:val="63D619DB"/>
    <w:rsid w:val="640D5FD9"/>
    <w:rsid w:val="641E0B92"/>
    <w:rsid w:val="642C6292"/>
    <w:rsid w:val="643B0B1A"/>
    <w:rsid w:val="645E3C0F"/>
    <w:rsid w:val="64702AD3"/>
    <w:rsid w:val="647D1024"/>
    <w:rsid w:val="649324AE"/>
    <w:rsid w:val="64B16DC0"/>
    <w:rsid w:val="64B66725"/>
    <w:rsid w:val="64C074E1"/>
    <w:rsid w:val="65025750"/>
    <w:rsid w:val="65191B9C"/>
    <w:rsid w:val="653021A9"/>
    <w:rsid w:val="65D920A6"/>
    <w:rsid w:val="65EB60C2"/>
    <w:rsid w:val="66022946"/>
    <w:rsid w:val="66A877C4"/>
    <w:rsid w:val="671578AF"/>
    <w:rsid w:val="67303E4C"/>
    <w:rsid w:val="67347CE6"/>
    <w:rsid w:val="675A5E15"/>
    <w:rsid w:val="675D7CA3"/>
    <w:rsid w:val="677549A9"/>
    <w:rsid w:val="67F2708D"/>
    <w:rsid w:val="68030691"/>
    <w:rsid w:val="689E76A5"/>
    <w:rsid w:val="68DB1AF2"/>
    <w:rsid w:val="68E0427F"/>
    <w:rsid w:val="68F75735"/>
    <w:rsid w:val="690C66E5"/>
    <w:rsid w:val="69243D8C"/>
    <w:rsid w:val="69434640"/>
    <w:rsid w:val="694757F4"/>
    <w:rsid w:val="6A2B6B3C"/>
    <w:rsid w:val="6A53447E"/>
    <w:rsid w:val="6B3B48D5"/>
    <w:rsid w:val="6BB56643"/>
    <w:rsid w:val="6BBF4B8D"/>
    <w:rsid w:val="6BBF6F53"/>
    <w:rsid w:val="6C630660"/>
    <w:rsid w:val="6C6E6460"/>
    <w:rsid w:val="6C9165DC"/>
    <w:rsid w:val="6C9331C1"/>
    <w:rsid w:val="6CB561E6"/>
    <w:rsid w:val="6D2E13D1"/>
    <w:rsid w:val="6D3264BE"/>
    <w:rsid w:val="6D6D6826"/>
    <w:rsid w:val="6D9E11D0"/>
    <w:rsid w:val="6DCC19D2"/>
    <w:rsid w:val="6DD85044"/>
    <w:rsid w:val="6E224140"/>
    <w:rsid w:val="6E2E58DF"/>
    <w:rsid w:val="6E987E4E"/>
    <w:rsid w:val="6EE044A0"/>
    <w:rsid w:val="6F0F7BD0"/>
    <w:rsid w:val="6F1D59CD"/>
    <w:rsid w:val="6F677AA8"/>
    <w:rsid w:val="6F9F49B0"/>
    <w:rsid w:val="6FE61A56"/>
    <w:rsid w:val="704C412C"/>
    <w:rsid w:val="70AD1C74"/>
    <w:rsid w:val="711C4732"/>
    <w:rsid w:val="71E87D6D"/>
    <w:rsid w:val="722865D8"/>
    <w:rsid w:val="72696BF8"/>
    <w:rsid w:val="734F28D5"/>
    <w:rsid w:val="734F3820"/>
    <w:rsid w:val="73F11B0B"/>
    <w:rsid w:val="7455119F"/>
    <w:rsid w:val="74614F7E"/>
    <w:rsid w:val="749B7B08"/>
    <w:rsid w:val="74B015AB"/>
    <w:rsid w:val="74BF00CF"/>
    <w:rsid w:val="74C87E25"/>
    <w:rsid w:val="74CF5344"/>
    <w:rsid w:val="75786376"/>
    <w:rsid w:val="75F34010"/>
    <w:rsid w:val="76152A8C"/>
    <w:rsid w:val="765D45B4"/>
    <w:rsid w:val="76735213"/>
    <w:rsid w:val="772B072A"/>
    <w:rsid w:val="778F1D5A"/>
    <w:rsid w:val="77AE7BE8"/>
    <w:rsid w:val="77CB7519"/>
    <w:rsid w:val="7836349E"/>
    <w:rsid w:val="78674E18"/>
    <w:rsid w:val="78A55F95"/>
    <w:rsid w:val="78AD22F7"/>
    <w:rsid w:val="79042718"/>
    <w:rsid w:val="79065C1B"/>
    <w:rsid w:val="794F5B82"/>
    <w:rsid w:val="79DD23FB"/>
    <w:rsid w:val="79E234DF"/>
    <w:rsid w:val="7A0966D2"/>
    <w:rsid w:val="7A0F2FD7"/>
    <w:rsid w:val="7A1B3CD1"/>
    <w:rsid w:val="7A307C87"/>
    <w:rsid w:val="7A5B19C4"/>
    <w:rsid w:val="7A702BF0"/>
    <w:rsid w:val="7B091C7D"/>
    <w:rsid w:val="7B0D354C"/>
    <w:rsid w:val="7B245F96"/>
    <w:rsid w:val="7B440A49"/>
    <w:rsid w:val="7B877F0B"/>
    <w:rsid w:val="7BC6579F"/>
    <w:rsid w:val="7C312C50"/>
    <w:rsid w:val="7C511C26"/>
    <w:rsid w:val="7CA00AC6"/>
    <w:rsid w:val="7CEF5D73"/>
    <w:rsid w:val="7D00680F"/>
    <w:rsid w:val="7D507824"/>
    <w:rsid w:val="7D72325C"/>
    <w:rsid w:val="7DCE3976"/>
    <w:rsid w:val="7DED6266"/>
    <w:rsid w:val="7E1953C1"/>
    <w:rsid w:val="7E226C0D"/>
    <w:rsid w:val="7E294730"/>
    <w:rsid w:val="7E3B45BE"/>
    <w:rsid w:val="7EC4324E"/>
    <w:rsid w:val="7EC5068B"/>
    <w:rsid w:val="7EF36598"/>
    <w:rsid w:val="7EF45957"/>
    <w:rsid w:val="7F811079"/>
    <w:rsid w:val="7F953939"/>
    <w:rsid w:val="7FD064E0"/>
    <w:rsid w:val="7FD323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styleId="4">
    <w:name w:val="List Paragraph"/>
    <w:basedOn w:val="1"/>
    <w:qFormat/>
    <w:uiPriority w:val="99"/>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5115</Words>
  <Characters>5328</Characters>
  <Lines>0</Lines>
  <Paragraphs>0</Paragraphs>
  <TotalTime>0</TotalTime>
  <ScaleCrop>false</ScaleCrop>
  <LinksUpToDate>false</LinksUpToDate>
  <CharactersWithSpaces>5330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2021-03-23T07:16:00Z</dcterms:created>
  <dc:creator>Administrator.BF-20190731HTSG</dc:creator>
  <cp:lastModifiedBy>宗</cp:lastModifiedBy>
  <dcterms:modified xsi:type="dcterms:W3CDTF">2026-01-26T08:53:17Z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29A70966DB364FE89025D4855A57E0B2_13</vt:lpwstr>
  </property>
  <property fmtid="{D5CDD505-2E9C-101B-9397-08002B2CF9AE}" pid="4" name="KSOTemplateDocerSaveRecord">
    <vt:lpwstr>eyJoZGlkIjoiYTc5YTA3NDgzZTEwZDgwMzI4OGMzMzQwNDU2YmI2YTYiLCJ1c2VySWQiOiI5Nzg4MjEzMTYifQ==</vt:lpwstr>
  </property>
</Properties>
</file>