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283E4">
      <w:pPr>
        <w:jc w:val="center"/>
        <w:rPr>
          <w:rFonts w:hint="eastAsia"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株洲市芦淞区发展和改革局</w:t>
      </w:r>
    </w:p>
    <w:p w14:paraId="3D28246D">
      <w:pPr>
        <w:jc w:val="center"/>
        <w:rPr>
          <w:rFonts w:eastAsia="黑体"/>
          <w:sz w:val="32"/>
          <w:szCs w:val="32"/>
        </w:rPr>
      </w:pPr>
      <w:r>
        <w:rPr>
          <w:rFonts w:eastAsia="方正小标宋_GBK"/>
          <w:sz w:val="48"/>
          <w:szCs w:val="48"/>
        </w:rPr>
        <w:t>部门</w:t>
      </w:r>
      <w:r>
        <w:rPr>
          <w:rFonts w:hint="eastAsia" w:eastAsia="方正小标宋_GBK"/>
          <w:sz w:val="48"/>
          <w:szCs w:val="48"/>
          <w:lang w:eastAsia="zh-CN"/>
        </w:rPr>
        <w:t>整体</w:t>
      </w:r>
      <w:r>
        <w:rPr>
          <w:rFonts w:eastAsia="方正小标宋_GBK"/>
          <w:sz w:val="48"/>
          <w:szCs w:val="48"/>
        </w:rPr>
        <w:t>支出</w:t>
      </w:r>
      <w:r>
        <w:rPr>
          <w:rFonts w:hint="eastAsia" w:eastAsia="方正小标宋_GBK"/>
          <w:sz w:val="48"/>
          <w:szCs w:val="48"/>
        </w:rPr>
        <w:t>绩效自评报告</w:t>
      </w:r>
    </w:p>
    <w:p w14:paraId="25C75661">
      <w:pPr>
        <w:jc w:val="center"/>
        <w:rPr>
          <w:rFonts w:eastAsia="黑体"/>
          <w:sz w:val="32"/>
          <w:szCs w:val="32"/>
        </w:rPr>
      </w:pPr>
    </w:p>
    <w:p w14:paraId="74C6BD7B">
      <w:pPr>
        <w:jc w:val="center"/>
        <w:rPr>
          <w:rFonts w:eastAsia="黑体"/>
          <w:sz w:val="32"/>
          <w:szCs w:val="32"/>
        </w:rPr>
      </w:pPr>
    </w:p>
    <w:p w14:paraId="12DDBB14">
      <w:pPr>
        <w:jc w:val="center"/>
        <w:rPr>
          <w:rFonts w:eastAsia="黑体"/>
          <w:sz w:val="32"/>
          <w:szCs w:val="32"/>
        </w:rPr>
      </w:pPr>
    </w:p>
    <w:p w14:paraId="3013EB24">
      <w:pPr>
        <w:jc w:val="center"/>
        <w:rPr>
          <w:rFonts w:eastAsia="黑体"/>
          <w:sz w:val="32"/>
          <w:szCs w:val="32"/>
        </w:rPr>
      </w:pPr>
    </w:p>
    <w:p w14:paraId="5809A612">
      <w:pPr>
        <w:jc w:val="center"/>
        <w:rPr>
          <w:rFonts w:eastAsia="黑体"/>
          <w:sz w:val="32"/>
          <w:szCs w:val="32"/>
        </w:rPr>
      </w:pPr>
    </w:p>
    <w:p w14:paraId="088B9AA8">
      <w:pPr>
        <w:jc w:val="center"/>
        <w:rPr>
          <w:rFonts w:eastAsia="黑体"/>
          <w:sz w:val="32"/>
          <w:szCs w:val="32"/>
        </w:rPr>
      </w:pPr>
    </w:p>
    <w:p w14:paraId="10E5C44C">
      <w:pPr>
        <w:ind w:firstLine="880" w:firstLineChars="200"/>
        <w:jc w:val="center"/>
        <w:rPr>
          <w:rFonts w:eastAsia="黑体"/>
          <w:sz w:val="44"/>
          <w:szCs w:val="44"/>
        </w:rPr>
      </w:pPr>
    </w:p>
    <w:p w14:paraId="4B7DFE5F">
      <w:pPr>
        <w:ind w:firstLine="880" w:firstLineChars="200"/>
        <w:jc w:val="center"/>
        <w:rPr>
          <w:rFonts w:eastAsia="黑体"/>
          <w:sz w:val="44"/>
          <w:szCs w:val="44"/>
        </w:rPr>
      </w:pPr>
    </w:p>
    <w:p w14:paraId="5F3D3EAF">
      <w:pPr>
        <w:ind w:firstLine="880" w:firstLineChars="200"/>
        <w:jc w:val="center"/>
        <w:rPr>
          <w:rFonts w:eastAsia="黑体"/>
          <w:sz w:val="44"/>
          <w:szCs w:val="44"/>
        </w:rPr>
      </w:pPr>
    </w:p>
    <w:p w14:paraId="2CF85EA4">
      <w:pPr>
        <w:ind w:firstLine="880" w:firstLineChars="200"/>
        <w:jc w:val="center"/>
        <w:rPr>
          <w:rFonts w:eastAsia="黑体"/>
          <w:sz w:val="44"/>
          <w:szCs w:val="44"/>
        </w:rPr>
      </w:pPr>
    </w:p>
    <w:p w14:paraId="15D57633">
      <w:pPr>
        <w:ind w:firstLine="880" w:firstLineChars="200"/>
        <w:jc w:val="center"/>
        <w:rPr>
          <w:rFonts w:eastAsia="黑体"/>
          <w:sz w:val="44"/>
          <w:szCs w:val="44"/>
        </w:rPr>
      </w:pPr>
    </w:p>
    <w:p w14:paraId="0FA396E7">
      <w:pPr>
        <w:ind w:firstLine="880" w:firstLineChars="200"/>
        <w:jc w:val="center"/>
        <w:rPr>
          <w:rFonts w:eastAsia="黑体"/>
          <w:sz w:val="44"/>
          <w:szCs w:val="44"/>
        </w:rPr>
      </w:pPr>
    </w:p>
    <w:p w14:paraId="01087CA2">
      <w:pPr>
        <w:ind w:firstLine="880" w:firstLineChars="200"/>
        <w:jc w:val="center"/>
        <w:rPr>
          <w:rFonts w:eastAsia="黑体"/>
          <w:sz w:val="44"/>
          <w:szCs w:val="44"/>
        </w:rPr>
      </w:pPr>
    </w:p>
    <w:p w14:paraId="16C48893">
      <w:pPr>
        <w:jc w:val="center"/>
        <w:rPr>
          <w:rFonts w:hint="eastAsia" w:eastAsia="黑体"/>
          <w:sz w:val="36"/>
          <w:szCs w:val="36"/>
          <w:u w:val="single"/>
        </w:rPr>
      </w:pPr>
    </w:p>
    <w:p w14:paraId="35DBBD85">
      <w:pPr>
        <w:jc w:val="center"/>
        <w:rPr>
          <w:rFonts w:eastAsia="黑体"/>
          <w:sz w:val="36"/>
          <w:szCs w:val="36"/>
          <w:u w:val="single"/>
        </w:rPr>
      </w:pPr>
      <w:r>
        <w:rPr>
          <w:rFonts w:hint="eastAsia" w:eastAsia="黑体"/>
          <w:sz w:val="36"/>
          <w:szCs w:val="36"/>
          <w:u w:val="single"/>
          <w:lang w:eastAsia="zh-CN"/>
        </w:rPr>
        <w:t>单位</w:t>
      </w:r>
      <w:r>
        <w:rPr>
          <w:rFonts w:hint="eastAsia" w:eastAsia="黑体"/>
          <w:sz w:val="36"/>
          <w:szCs w:val="36"/>
          <w:u w:val="single"/>
        </w:rPr>
        <w:t>名称：</w:t>
      </w:r>
      <w:bookmarkStart w:id="0" w:name="_GoBack"/>
      <w:r>
        <w:rPr>
          <w:rFonts w:hint="eastAsia" w:eastAsia="黑体"/>
          <w:sz w:val="36"/>
          <w:szCs w:val="36"/>
          <w:u w:val="single"/>
        </w:rPr>
        <w:t>株洲市芦淞区发展和改革局</w:t>
      </w:r>
      <w:bookmarkEnd w:id="0"/>
      <w:r>
        <w:rPr>
          <w:rFonts w:hint="eastAsia" w:eastAsia="黑体"/>
          <w:sz w:val="36"/>
          <w:szCs w:val="36"/>
          <w:u w:val="single"/>
        </w:rPr>
        <w:t>（盖章）</w:t>
      </w:r>
    </w:p>
    <w:p w14:paraId="4C9D391E">
      <w:pPr>
        <w:jc w:val="center"/>
        <w:rPr>
          <w:rFonts w:eastAsia="黑体"/>
          <w:sz w:val="32"/>
          <w:szCs w:val="32"/>
          <w:u w:val="single"/>
        </w:rPr>
      </w:pPr>
    </w:p>
    <w:p w14:paraId="00B6465D">
      <w:pPr>
        <w:jc w:val="center"/>
        <w:rPr>
          <w:rFonts w:eastAsia="黑体"/>
          <w:sz w:val="32"/>
          <w:szCs w:val="32"/>
        </w:rPr>
      </w:pPr>
    </w:p>
    <w:p w14:paraId="492B3258">
      <w:pPr>
        <w:jc w:val="both"/>
        <w:rPr>
          <w:rFonts w:eastAsia="黑体"/>
          <w:sz w:val="32"/>
          <w:szCs w:val="32"/>
        </w:rPr>
      </w:pPr>
    </w:p>
    <w:p w14:paraId="6A679DBA">
      <w:pPr>
        <w:jc w:val="center"/>
        <w:rPr>
          <w:rFonts w:eastAsia="黑体"/>
          <w:sz w:val="32"/>
          <w:szCs w:val="32"/>
        </w:rPr>
      </w:pPr>
      <w:r>
        <w:rPr>
          <w:rFonts w:eastAsia="仿宋_GB2312"/>
          <w:sz w:val="32"/>
          <w:szCs w:val="32"/>
        </w:rPr>
        <w:t>（此页为封面）</w:t>
      </w:r>
    </w:p>
    <w:p w14:paraId="486D3C54">
      <w:pPr>
        <w:spacing w:line="600" w:lineRule="exact"/>
        <w:ind w:firstLine="640" w:firstLineChars="200"/>
        <w:rPr>
          <w:rFonts w:eastAsia="黑体"/>
          <w:sz w:val="32"/>
          <w:szCs w:val="32"/>
        </w:rPr>
      </w:pPr>
      <w:r>
        <w:rPr>
          <w:rFonts w:eastAsia="黑体"/>
          <w:sz w:val="32"/>
          <w:szCs w:val="32"/>
        </w:rPr>
        <w:t>一、基本情况</w:t>
      </w:r>
    </w:p>
    <w:p w14:paraId="460806F8">
      <w:pPr>
        <w:spacing w:line="600" w:lineRule="exact"/>
        <w:ind w:firstLine="643" w:firstLineChars="200"/>
        <w:rPr>
          <w:rFonts w:eastAsia="楷体_GB2312"/>
          <w:b/>
          <w:sz w:val="32"/>
          <w:szCs w:val="32"/>
        </w:rPr>
      </w:pPr>
      <w:r>
        <w:rPr>
          <w:rFonts w:eastAsia="楷体_GB2312"/>
          <w:b/>
          <w:sz w:val="32"/>
          <w:szCs w:val="32"/>
        </w:rPr>
        <w:t>（一）单位基本情况</w:t>
      </w:r>
    </w:p>
    <w:p w14:paraId="10958268">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拟订并组织实施全区国民经济和社会发展战略、中长期规划和年度计划；负责区级专项规划、区域规划、空间规划与全区发展规划的统筹衔接；提出全区国民经济发展建议，受区人民政府委托向区人民代表大会提交国民经济和社会发展计划报告。</w:t>
      </w:r>
    </w:p>
    <w:p w14:paraId="60EC9B5F">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研究提出加快建设现代化经济体系、推动高质量发展的总体目标、重大任务以及相关政策。组织开展重大战略规划、重大政策、重大工程等评估督导，提出相关调整建议。</w:t>
      </w:r>
    </w:p>
    <w:p w14:paraId="75EEE98A">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研究拟定全区国民经济和社会发展主要目标；预测研判全区经济运行趋势，提出调控政策和建议；调节国民经济运行，协调经济运行中的重大问题。</w:t>
      </w:r>
    </w:p>
    <w:p w14:paraId="5F61D54D">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指导推进和综合协调全区经济体制改革，提出相关政策建议；牵头推进供给侧结构性改革；协调推进产权制度和要素市场化配置改革，推动完善基本经济制度和现代市场体系建设，会同相关部门组织实施市场准入负面清单制度；组织拟订综合性经济体制改革方案，协调有关专项经济体制改革。</w:t>
      </w:r>
    </w:p>
    <w:p w14:paraId="521EF47D">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负责协调第一、二、三产业发展的重大问题并组织拟订综合性产业政策，协调农业农村经济社会发展的重大问题；组织拟订并推动实施全区服务业和现代物流业发展规划和重大政策。</w:t>
      </w:r>
    </w:p>
    <w:p w14:paraId="2FF97D34">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参与制定财政、金融、土地政策并综合分析政策执行效果；承担企业债券发行的信息收集和上报工作。</w:t>
      </w:r>
    </w:p>
    <w:p w14:paraId="70BE3D39">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组织编制全区“两型”社会建设综合配套改革总体实施方案，指导、协调全区“两型社会”建设综合配套改革的有关工作。</w:t>
      </w:r>
    </w:p>
    <w:p w14:paraId="23982A72">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负责社会发展与国民经济发展的政策衔接；协调社会领域事业和产业发展政策及改革重大问题。</w:t>
      </w:r>
    </w:p>
    <w:p w14:paraId="5C3C6933">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拟订全区全社会固定资产投资总规模；规划重大项目和生产力布局；研究提出中长期和年度区重点建设项目规划与计划；统筹安排区级财政性建设资金和投资项目，编制下达政府投资项目年度计划。</w:t>
      </w:r>
    </w:p>
    <w:p w14:paraId="3316B82A">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按规定权限审批、核准、审核、备案项目；核准区投区建项目的工程建设项目招标方式、招标组织形式和招标范围；承担政府投资项目代建制实施的指导、协调和监督管理工作；负责组织对政府投资项目进行评审。</w:t>
      </w:r>
    </w:p>
    <w:p w14:paraId="77D1AE85">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负责节能的综合协调工作，组织拟订绿色发展和循环经济、能源资源节约和综合利用规划、政策并协调实施。牵头组织实施新能源有关工作。</w:t>
      </w:r>
    </w:p>
    <w:p w14:paraId="278AF6F6">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贯彻执行国家价格方针、政策、法律和法规，负责在全区实施上级部门下达的价格改革和价格调整方案；监督管理全区行政事业性收费及服务价格工作；对重要商品和服务价格变动进行动态监控；负责价格调节基金的申报和管理；负责全区涉案物品价格认证工作及价格咨询服务。</w:t>
      </w:r>
    </w:p>
    <w:p w14:paraId="0AEAECEB">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13.</w:t>
      </w:r>
      <w:r>
        <w:rPr>
          <w:rFonts w:eastAsia="仿宋_GB2312"/>
          <w:sz w:val="32"/>
          <w:szCs w:val="32"/>
        </w:rPr>
        <w:t>拟订全区推进社会信用体系建设的规章、规划、政策措施，统筹推进全区信用信息平台建设，协调有关重大问题。</w:t>
      </w:r>
    </w:p>
    <w:p w14:paraId="444153D8">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组织和实施全区国民经济动员有关工作。</w:t>
      </w:r>
    </w:p>
    <w:p w14:paraId="505F9563">
      <w:pPr>
        <w:tabs>
          <w:tab w:val="left" w:pos="7560"/>
        </w:tabs>
        <w:adjustRightInd w:val="0"/>
        <w:snapToGrid w:val="0"/>
        <w:spacing w:line="580" w:lineRule="exact"/>
        <w:ind w:firstLine="640" w:firstLineChars="200"/>
        <w:rPr>
          <w:rFonts w:eastAsia="楷体_GB2312"/>
          <w:b/>
          <w:sz w:val="32"/>
          <w:szCs w:val="32"/>
        </w:rPr>
      </w:pPr>
      <w:r>
        <w:rPr>
          <w:rFonts w:hint="eastAsia" w:eastAsia="仿宋_GB2312"/>
          <w:sz w:val="32"/>
          <w:szCs w:val="32"/>
        </w:rPr>
        <w:t>15.</w:t>
      </w:r>
      <w:r>
        <w:rPr>
          <w:rFonts w:eastAsia="仿宋_GB2312"/>
          <w:sz w:val="32"/>
          <w:szCs w:val="32"/>
        </w:rPr>
        <w:t>完成区委、区政府交办的其他任务。</w:t>
      </w:r>
    </w:p>
    <w:p w14:paraId="3DB080A8">
      <w:pPr>
        <w:spacing w:line="600" w:lineRule="exact"/>
        <w:ind w:firstLine="643" w:firstLineChars="200"/>
        <w:rPr>
          <w:rFonts w:hint="eastAsia" w:eastAsia="楷体_GB2312"/>
          <w:b/>
          <w:sz w:val="32"/>
          <w:szCs w:val="32"/>
          <w:highlight w:val="none"/>
          <w:lang w:eastAsia="zh-CN"/>
        </w:rPr>
      </w:pPr>
      <w:r>
        <w:rPr>
          <w:rFonts w:eastAsia="楷体_GB2312"/>
          <w:b/>
          <w:sz w:val="32"/>
          <w:szCs w:val="32"/>
          <w:highlight w:val="none"/>
        </w:rPr>
        <w:t>（二）部门年度整体支出绩效目标，</w:t>
      </w:r>
      <w:r>
        <w:rPr>
          <w:rFonts w:hint="eastAsia" w:eastAsia="楷体_GB2312"/>
          <w:b/>
          <w:sz w:val="32"/>
          <w:szCs w:val="32"/>
          <w:highlight w:val="none"/>
          <w:lang w:eastAsia="zh-CN"/>
        </w:rPr>
        <w:t>部门</w:t>
      </w:r>
      <w:r>
        <w:rPr>
          <w:rFonts w:eastAsia="楷体_GB2312"/>
          <w:b/>
          <w:sz w:val="32"/>
          <w:szCs w:val="32"/>
          <w:highlight w:val="none"/>
        </w:rPr>
        <w:t>专项资金绩效目标、其他项目支出（除省级专项资金以外）绩效目标</w:t>
      </w:r>
    </w:p>
    <w:p w14:paraId="59CA4F8B">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促投资、增收入的良好氛围，实现固定资产投资、产业投资等绩效指标完成情况在全市城区排名靠前。</w:t>
      </w:r>
    </w:p>
    <w:p w14:paraId="4114CD63">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减少能源消耗和污染物排放。</w:t>
      </w:r>
    </w:p>
    <w:p w14:paraId="5E74F04F">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完成本区的涉案物价格认证；完成物价工作，适时开展农业水价综合改革相关工作。</w:t>
      </w:r>
    </w:p>
    <w:p w14:paraId="156F9868">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统筹推进全区重大项目库和国家重大项目库（区本级储备库）的建设；加快政府投资项目审批进度，科学评估政府投资项目经济社会效益，为领导决策提供意见或建议，使项目建设更好发挥其作用，为区域经济发展做贡献。</w:t>
      </w:r>
    </w:p>
    <w:p w14:paraId="19112F0B">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项目的实施，有助于提升社会信用体系建设规范化水平，增进社会信用体系运行效率。</w:t>
      </w:r>
    </w:p>
    <w:p w14:paraId="78F4851D">
      <w:pPr>
        <w:pStyle w:val="5"/>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保障国动相关任务。</w:t>
      </w:r>
    </w:p>
    <w:p w14:paraId="775A155C">
      <w:pPr>
        <w:pStyle w:val="5"/>
        <w:spacing w:line="600" w:lineRule="exact"/>
        <w:ind w:firstLine="64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7.在突发应急状态下，确保辖区粮食调得出，用得上，稳得住。</w:t>
      </w:r>
    </w:p>
    <w:p w14:paraId="5FB60214">
      <w:pPr>
        <w:pStyle w:val="5"/>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ED3FB7B">
      <w:pPr>
        <w:pStyle w:val="5"/>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54F00C6B">
      <w:pPr>
        <w:pStyle w:val="5"/>
        <w:spacing w:line="600" w:lineRule="exact"/>
        <w:ind w:firstLine="643"/>
        <w:rPr>
          <w:rFonts w:hint="eastAsia" w:eastAsia="仿宋"/>
          <w:color w:val="000000"/>
          <w:sz w:val="32"/>
          <w:szCs w:val="32"/>
          <w:lang w:val="en-US" w:eastAsia="zh-CN"/>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rPr>
        <w:t>542.34</w:t>
      </w:r>
      <w:r>
        <w:rPr>
          <w:rFonts w:hint="eastAsia" w:eastAsia="仿宋"/>
          <w:color w:val="000000"/>
          <w:sz w:val="32"/>
          <w:szCs w:val="32"/>
          <w:lang w:eastAsia="zh-CN"/>
        </w:rPr>
        <w:t>万元。</w:t>
      </w:r>
    </w:p>
    <w:p w14:paraId="62C4BA5C">
      <w:pPr>
        <w:pStyle w:val="5"/>
        <w:spacing w:line="600" w:lineRule="exact"/>
        <w:ind w:firstLine="643"/>
        <w:rPr>
          <w:rFonts w:hint="default" w:eastAsia="仿宋"/>
          <w:color w:val="auto"/>
          <w:sz w:val="32"/>
          <w:szCs w:val="32"/>
          <w:highlight w:val="none"/>
          <w:lang w:val="en-US" w:eastAsia="zh-CN"/>
        </w:rPr>
      </w:pPr>
      <w:r>
        <w:rPr>
          <w:rFonts w:hint="eastAsia" w:eastAsia="仿宋"/>
          <w:color w:val="auto"/>
          <w:sz w:val="32"/>
          <w:szCs w:val="32"/>
          <w:highlight w:val="none"/>
          <w:lang w:val="en-US" w:eastAsia="zh-CN"/>
        </w:rPr>
        <w:t>2、2024年度</w:t>
      </w:r>
      <w:r>
        <w:rPr>
          <w:rFonts w:eastAsia="仿宋"/>
          <w:color w:val="auto"/>
          <w:sz w:val="32"/>
          <w:szCs w:val="32"/>
          <w:highlight w:val="none"/>
        </w:rPr>
        <w:t>单位</w:t>
      </w:r>
      <w:r>
        <w:rPr>
          <w:rFonts w:hint="eastAsia" w:eastAsia="仿宋"/>
          <w:color w:val="auto"/>
          <w:sz w:val="32"/>
          <w:szCs w:val="32"/>
          <w:highlight w:val="none"/>
        </w:rPr>
        <w:t>一般公共预算财政拨款</w:t>
      </w:r>
      <w:r>
        <w:rPr>
          <w:rFonts w:eastAsia="仿宋"/>
          <w:color w:val="auto"/>
          <w:sz w:val="32"/>
          <w:szCs w:val="32"/>
          <w:highlight w:val="none"/>
        </w:rPr>
        <w:t>收入</w:t>
      </w:r>
      <w:r>
        <w:rPr>
          <w:rFonts w:hint="eastAsia" w:eastAsia="仿宋"/>
          <w:color w:val="auto"/>
          <w:sz w:val="32"/>
          <w:szCs w:val="32"/>
          <w:highlight w:val="none"/>
          <w:lang w:eastAsia="zh-CN"/>
        </w:rPr>
        <w:t>697.89万元。</w:t>
      </w:r>
    </w:p>
    <w:p w14:paraId="0189627C">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支出697.89万元，</w:t>
      </w:r>
      <w:r>
        <w:rPr>
          <w:rFonts w:eastAsia="仿宋"/>
          <w:color w:val="auto"/>
          <w:sz w:val="32"/>
          <w:szCs w:val="32"/>
        </w:rPr>
        <w:t>其中：项目支出</w:t>
      </w:r>
      <w:r>
        <w:rPr>
          <w:rFonts w:hint="eastAsia" w:eastAsia="仿宋"/>
          <w:color w:val="auto"/>
          <w:sz w:val="32"/>
          <w:szCs w:val="32"/>
          <w:lang w:val="en-US" w:eastAsia="zh-CN"/>
        </w:rPr>
        <w:t>273.66</w:t>
      </w:r>
      <w:r>
        <w:rPr>
          <w:rFonts w:eastAsia="仿宋"/>
          <w:color w:val="auto"/>
          <w:sz w:val="32"/>
          <w:szCs w:val="32"/>
        </w:rPr>
        <w:t>万元，基本支出</w:t>
      </w:r>
      <w:r>
        <w:rPr>
          <w:rFonts w:hint="eastAsia" w:eastAsia="仿宋"/>
          <w:color w:val="auto"/>
          <w:sz w:val="32"/>
          <w:szCs w:val="32"/>
          <w:lang w:val="en-US" w:eastAsia="zh-CN"/>
        </w:rPr>
        <w:t>424.23</w:t>
      </w:r>
      <w:r>
        <w:rPr>
          <w:rFonts w:eastAsia="仿宋"/>
          <w:color w:val="auto"/>
          <w:sz w:val="32"/>
          <w:szCs w:val="32"/>
        </w:rPr>
        <w:t>万元，其中：人员经费</w:t>
      </w:r>
      <w:r>
        <w:rPr>
          <w:rFonts w:hint="eastAsia" w:eastAsia="仿宋"/>
          <w:color w:val="auto"/>
          <w:sz w:val="32"/>
          <w:szCs w:val="32"/>
          <w:lang w:val="en-US" w:eastAsia="zh-CN"/>
        </w:rPr>
        <w:t>354.82</w:t>
      </w:r>
      <w:r>
        <w:rPr>
          <w:rFonts w:eastAsia="仿宋"/>
          <w:color w:val="auto"/>
          <w:sz w:val="32"/>
          <w:szCs w:val="32"/>
        </w:rPr>
        <w:t>万元，公用经费</w:t>
      </w:r>
      <w:r>
        <w:rPr>
          <w:rFonts w:hint="eastAsia" w:eastAsia="仿宋"/>
          <w:color w:val="auto"/>
          <w:sz w:val="32"/>
          <w:szCs w:val="32"/>
          <w:lang w:val="en-US" w:eastAsia="zh-CN"/>
        </w:rPr>
        <w:t>69.41万</w:t>
      </w:r>
      <w:r>
        <w:rPr>
          <w:rFonts w:eastAsia="仿宋"/>
          <w:color w:val="auto"/>
          <w:sz w:val="32"/>
          <w:szCs w:val="32"/>
        </w:rPr>
        <w:t>元。</w:t>
      </w:r>
    </w:p>
    <w:p w14:paraId="517E1EC9">
      <w:pPr>
        <w:pStyle w:val="5"/>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615097C">
      <w:pPr>
        <w:pStyle w:val="5"/>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三个高地“指挥部专项工作经费22.17万元；2.发改综合业务经费29.88万元；3.粮食储备专项51.50万元；4.人防专用车辆费用1.37万元；5.上级经费100.00万元；6.发改综合业务工作经费（非税）29.04万元；7.争资工作经费37.21；8.四上企业培育工作-部门奖励2.50万元。</w:t>
      </w:r>
    </w:p>
    <w:p w14:paraId="27FE41AF">
      <w:pPr>
        <w:pStyle w:val="5"/>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14:paraId="133053B4">
      <w:pPr>
        <w:pStyle w:val="5"/>
        <w:spacing w:line="600" w:lineRule="exact"/>
        <w:ind w:firstLine="64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2D9A446B">
      <w:pPr>
        <w:pStyle w:val="5"/>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7EE25222">
      <w:pPr>
        <w:pStyle w:val="5"/>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58B7B21A">
      <w:pPr>
        <w:pStyle w:val="5"/>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5E5608FA">
      <w:pPr>
        <w:spacing w:line="600" w:lineRule="exact"/>
        <w:ind w:firstLine="640" w:firstLineChars="200"/>
        <w:rPr>
          <w:rFonts w:hint="eastAsia" w:eastAsia="黑体"/>
          <w:b w:val="0"/>
          <w:bCs w:val="0"/>
          <w:sz w:val="32"/>
          <w:szCs w:val="32"/>
          <w:lang w:eastAsia="zh-CN"/>
        </w:rPr>
      </w:pPr>
      <w:r>
        <w:rPr>
          <w:rFonts w:hint="eastAsia" w:eastAsia="黑体"/>
          <w:b w:val="0"/>
          <w:bCs w:val="0"/>
          <w:sz w:val="32"/>
          <w:szCs w:val="32"/>
          <w:lang w:eastAsia="zh-CN"/>
        </w:rPr>
        <w:t>无。</w:t>
      </w:r>
    </w:p>
    <w:p w14:paraId="1725C4E4">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4AF21CD5">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39CB7D0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本单位202</w:t>
      </w:r>
      <w:r>
        <w:rPr>
          <w:rFonts w:hint="eastAsia" w:eastAsia="仿宋_GB2312"/>
          <w:color w:val="000000"/>
          <w:sz w:val="32"/>
          <w:szCs w:val="32"/>
          <w:lang w:val="en-US" w:eastAsia="zh-CN"/>
        </w:rPr>
        <w:t>4</w:t>
      </w:r>
      <w:r>
        <w:rPr>
          <w:rFonts w:hint="eastAsia" w:eastAsia="仿宋_GB2312"/>
          <w:color w:val="000000"/>
          <w:sz w:val="32"/>
          <w:szCs w:val="32"/>
        </w:rPr>
        <w:t>年年初预算资金总计542.34万元，实际单位年度总支出697.89万元，预算执行率为</w:t>
      </w:r>
      <w:r>
        <w:rPr>
          <w:rFonts w:hint="eastAsia" w:eastAsia="仿宋_GB2312"/>
          <w:color w:val="000000"/>
          <w:sz w:val="32"/>
          <w:szCs w:val="32"/>
          <w:lang w:val="en-US" w:eastAsia="zh-CN"/>
        </w:rPr>
        <w:t>100</w:t>
      </w:r>
      <w:r>
        <w:rPr>
          <w:rFonts w:hint="eastAsia" w:eastAsia="仿宋_GB2312"/>
          <w:color w:val="000000"/>
          <w:sz w:val="32"/>
          <w:szCs w:val="32"/>
        </w:rPr>
        <w:t>%。积极履职，强化管理，较好的完成了年度工作目标。有效确保了公用经费及项目经费的正常运转。</w:t>
      </w:r>
    </w:p>
    <w:p w14:paraId="369526C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今年以来，在区委、区政府的坚强领导、市发改委的鼎力支持和全区各部门的积极配合下，区发改局始终坚持以习近平新时代中国特色社会主义思想为指导，围绕发改主责主业，统筹协调、履职尽责，认真落实中央和省市经济工作各项部署要求，根据“128”总体思路，进一步提高站位、强化担当，各项工作扎实推进。</w:t>
      </w:r>
    </w:p>
    <w:p w14:paraId="1635096A">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突出规划引领。一是2024年国民经济社会计划草案方面，做好经济运行监测分析工作，密切关注省市相关动态，牵头相关部门合理确定年度主要经济指标任务目标，高质量完成2024年国民计划报告并提请人大常委会审议通过，进一步发挥宏观调控和指导作用。二是“十五五”规划前期方面，主动对接市发改委规划科，及时掌握省市工作动态，申报了两机专项、低空经济示范区等拟纳入国家、省“三个重大”项目，并根据市级要求，草拟规划前期工作方案、研究课题清单，目前正在逐步完善专班机制。</w:t>
      </w:r>
    </w:p>
    <w:p w14:paraId="23D9F49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抓实重点工作。一是高质量发展工作，一方面在市对区绩效考核的六十余项指标中，由发改局承担的共17项，均已落实到位，另一方面在由发改局牵头的省大抓落实推动高质量发展成效指标中，包括11项考核指标和2项负面指标，根据市发改委的相关数据，我区技术合同成交额与地区生产总值之比、人均地区生产总值、居民人均消费支出、居民人均可支配收入4项指标排名全市前3，因省政府不再对县市区进行考核，努力争取市级大抓落实激励表彰。二是八大行动方面，发改局牵头产业培塑、改革攻坚、区域共进三大行动，根据上级文件要求，分别成立工作专班，制定工作方案，并对具体工作进行了任务分解，广泛宣传成绩亮点和好经验、好做法，累计上报信息30余篇，其中2篇被市专报采纳，1篇被省专报采纳。三是“重大项目攻坚年”活动，全年铺排重点建设项目50个，总投资293.03亿，1-10月，实现开工项目14个，竣工项目3个，完成投资52亿元；截至目前，由书记、区长牵头组织召开重大项目调度会4次，交办问题清单25项，已完成14项。截至目前我区已申报2025年市重点建设项目共计35个，新建项目15个，续建项目20个，竣工项目11个，总投资206.04亿元，2025年计划入统投资52.42亿元。四是争资工作，专项债3轮共申报项目38个，总投资97.79亿元，资金需求45.78亿元，有15个项目通过国家发改委、财政部审核，资金需求16.5亿元，现已发行8个，发行金额6.74亿元，发行金额较去年实现大幅倍增；超长期国债项目3个，争取资金1.25亿元，其中，建宁片生活污水管网提质改造项目是株洲县市区中申报通过的最大单体项目；共争取国省预算内资金285万元；增发国债项目共5个，获得支持资金1.25亿元。2025年争资储备项目共计49个，总投资69.98亿元，拟争取资金24.08亿元；谋划储备项目92个，合计总投资753.02亿元，其中100亿元以上大项目2个，50-100亿元项目2个，10-50亿元项目14个，亿元以上项目52个。</w:t>
      </w:r>
    </w:p>
    <w:p w14:paraId="5BC5CDFC">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培育发展动能。一是全力稳投资，1-10月，全区固定资产累计完成投资81.6亿元，较上年同期增长14.1%，其中投资项目71.1亿元，增速21.65%，房地产项目10.5亿元，增速-19.7%，总体上预计圆满完成年度增长6%任务。二是做好服务业培育，一、二季度，我区服务业增幅排名全市第1，六大主要行业营业收入整体呈现四升两降趋势，总体呈现逐步向好态势；目前我区共有在库规上服务业企业131家，今年我区升规入统计划数10家，已升规3家，目前已确定目标名录15家，有望再升7家。</w:t>
      </w:r>
    </w:p>
    <w:p w14:paraId="5338AF4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4.夯实发展基础。国防动员方面，编制《株洲市芦淞区国防动员委员会2024年工作要点》，召开芦淞区国防动员委员会全会，定期参加全市人防指挥通信训练20次。粮食和物资储备方面，制定印发《芦淞区2024年度落实耕地保护和粮食安全责任制工作方案》、《2024年地方临储粮收购处置方案》等文件，完成542吨区级储备粮轮换任务；开展地方储备粮监督检查及安全生产检查10次，检查覆盖100%；做好了区级粮食储备、超标粮处置等日常工作。电力能源方面，召开“双碳”电网建设领导小组会议，协调解决金都开关站遗留问题、白关片区供电可靠性及用户低电压、龙泉路电力杆迁等问题，做好了服博会、航空嘉年华、白关丝瓜节等重要节点用电保障。社会信用建设方面，开展严重违法失信专项整治行动，推动信用修复工作；利用“信易贷”平台，服务企业，扩大信用融资规模，董家塅片区管委会获得“湘信贷”园区运营服务站授牌；加强信用信息归集共享，截止目前，全区各相关单位报送双公示信息12860条，上报合规率99.7%，瞒报率为0，企业信用核查17275条，核查率100%，较往年数据报送质量有很大提升。项目审批方面，截至目前累计完成项目立项审批108件，将安全、生态环保、就业等影响因素纳入审批内容，未发生一起行政复议。价格管理方面，持续推进农业水价综合改革，全面完成改革任务；抓好节日期间市场价格监测工作，价格认定共受理案件144起，涉案金额141万。</w:t>
      </w:r>
    </w:p>
    <w:p w14:paraId="76E96BD7">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5.做好自身建设。一是坚持党建引领思想建设，以习近平新时代中国特色社会主义思想为指导，坚持把党的政治建设摆在首位，积极培育发展党员，完成党支部换届选举，预备党员按期转正1人，00后党员肖宇豪同志获评“区级优秀党员”，着力加强基层党组织建设。认真落实“三会一课”制度，累计开展主题党日活动10次，组织理论中心组学习10次，机关干部集中学习12次，“微党课”学习6次。二是着力提升业务水平，选派干部参加上级项目大谋划及投资项目管理、国防动员、粮食安全培训等省市专题培训，组织开展各类业务培训和政策法规培训，宗世萍同志参加区中青班干部学习，陈天元同志在全省保密知识大赛中获三等奖，切实提高发改队伍的综合素质和业务水平。三是持续抓好作风建设，强化党风廉政建设责任制，开展党组廉政谈话、党员民主生活会、党员讲党课、警示教育片观看等活动，全局干部严守政治纪律和政治规矩，开展项目审批、物价认证等关键岗位、关键人员的保廉助廉，确保清正廉洁的政治本色，作风建设常抓不懈。</w:t>
      </w:r>
    </w:p>
    <w:p w14:paraId="174261F3">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2E5E38F0">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年年初预算专项资金共</w:t>
      </w:r>
      <w:r>
        <w:rPr>
          <w:rFonts w:hint="eastAsia" w:eastAsia="仿宋_GB2312"/>
          <w:color w:val="000000"/>
          <w:sz w:val="32"/>
          <w:szCs w:val="32"/>
          <w:lang w:val="en-US" w:eastAsia="zh-CN"/>
        </w:rPr>
        <w:t>4</w:t>
      </w:r>
      <w:r>
        <w:rPr>
          <w:rFonts w:hint="eastAsia" w:eastAsia="仿宋_GB2312"/>
          <w:color w:val="000000"/>
          <w:sz w:val="32"/>
          <w:szCs w:val="32"/>
          <w:lang w:eastAsia="zh-CN"/>
        </w:rPr>
        <w:t>个，具体情况如下：</w:t>
      </w:r>
    </w:p>
    <w:p w14:paraId="332A61B7">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一是发改综合业务经费：年初预算资金38.20万元，年中执行调</w:t>
      </w:r>
      <w:r>
        <w:rPr>
          <w:rFonts w:hint="eastAsia" w:eastAsia="仿宋_GB2312"/>
          <w:color w:val="000000"/>
          <w:sz w:val="32"/>
          <w:szCs w:val="32"/>
          <w:highlight w:val="none"/>
          <w:lang w:eastAsia="zh-CN"/>
        </w:rPr>
        <w:t>减</w:t>
      </w:r>
      <w:r>
        <w:rPr>
          <w:rFonts w:hint="eastAsia" w:eastAsia="仿宋_GB2312"/>
          <w:color w:val="000000"/>
          <w:sz w:val="32"/>
          <w:szCs w:val="32"/>
          <w:highlight w:val="none"/>
          <w:lang w:val="en-US" w:eastAsia="zh-CN"/>
        </w:rPr>
        <w:t>8.32</w:t>
      </w:r>
      <w:r>
        <w:rPr>
          <w:rFonts w:hint="eastAsia" w:eastAsia="仿宋_GB2312"/>
          <w:color w:val="000000"/>
          <w:sz w:val="32"/>
          <w:szCs w:val="32"/>
          <w:highlight w:val="none"/>
          <w:lang w:eastAsia="zh-CN"/>
        </w:rPr>
        <w:t>万元，实际支出29.88万元万元，结余结转</w:t>
      </w:r>
      <w:r>
        <w:rPr>
          <w:rFonts w:hint="eastAsia" w:eastAsia="仿宋_GB2312"/>
          <w:color w:val="000000"/>
          <w:sz w:val="32"/>
          <w:szCs w:val="32"/>
          <w:highlight w:val="none"/>
          <w:lang w:val="en-US" w:eastAsia="zh-CN"/>
        </w:rPr>
        <w:t>0.11</w:t>
      </w:r>
      <w:r>
        <w:rPr>
          <w:rFonts w:hint="eastAsia" w:eastAsia="仿宋_GB2312"/>
          <w:color w:val="000000"/>
          <w:sz w:val="32"/>
          <w:szCs w:val="32"/>
          <w:highlight w:val="none"/>
          <w:lang w:eastAsia="zh-CN"/>
        </w:rPr>
        <w:t>万元（其他资金结余）。该专项资金主要用于项目攻坚年活动、中长期规划落实、特色小镇建设、</w:t>
      </w:r>
      <w:r>
        <w:rPr>
          <w:rFonts w:hint="eastAsia" w:eastAsia="仿宋_GB2312"/>
          <w:color w:val="000000"/>
          <w:sz w:val="32"/>
          <w:szCs w:val="32"/>
          <w:lang w:eastAsia="zh-CN"/>
        </w:rPr>
        <w:t>项目包装策划、项目审批及管理、节能和新能源、物价及价格认证、“双碳”及电力工作、国动、粮储及发改其他业务经费</w:t>
      </w:r>
    </w:p>
    <w:p w14:paraId="3DEBF40D">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二是人防专用车辆费用：年初预算资金3.00万元，年中执行调减1.</w:t>
      </w:r>
      <w:r>
        <w:rPr>
          <w:rFonts w:hint="eastAsia" w:eastAsia="仿宋_GB2312"/>
          <w:color w:val="000000"/>
          <w:sz w:val="32"/>
          <w:szCs w:val="32"/>
          <w:lang w:val="en-US" w:eastAsia="zh-CN"/>
        </w:rPr>
        <w:t>63</w:t>
      </w:r>
      <w:r>
        <w:rPr>
          <w:rFonts w:hint="eastAsia" w:eastAsia="仿宋_GB2312"/>
          <w:color w:val="000000"/>
          <w:sz w:val="32"/>
          <w:szCs w:val="32"/>
          <w:lang w:eastAsia="zh-CN"/>
        </w:rPr>
        <w:t>万元，实际支出1.</w:t>
      </w:r>
      <w:r>
        <w:rPr>
          <w:rFonts w:hint="eastAsia" w:eastAsia="仿宋_GB2312"/>
          <w:color w:val="000000"/>
          <w:sz w:val="32"/>
          <w:szCs w:val="32"/>
          <w:lang w:val="en-US" w:eastAsia="zh-CN"/>
        </w:rPr>
        <w:t>37</w:t>
      </w:r>
      <w:r>
        <w:rPr>
          <w:rFonts w:hint="eastAsia" w:eastAsia="仿宋_GB2312"/>
          <w:color w:val="000000"/>
          <w:sz w:val="32"/>
          <w:szCs w:val="32"/>
          <w:lang w:eastAsia="zh-CN"/>
        </w:rPr>
        <w:t>万元，结余结转0万元。该专项资金主要用于人防车辆费用。</w:t>
      </w:r>
    </w:p>
    <w:p w14:paraId="0233C896">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三是粮储工作经费：年初预算资金100</w:t>
      </w:r>
      <w:r>
        <w:rPr>
          <w:rFonts w:hint="eastAsia" w:eastAsia="仿宋_GB2312"/>
          <w:color w:val="000000"/>
          <w:sz w:val="32"/>
          <w:szCs w:val="32"/>
          <w:lang w:val="en-US" w:eastAsia="zh-CN"/>
        </w:rPr>
        <w:t>.00</w:t>
      </w:r>
      <w:r>
        <w:rPr>
          <w:rFonts w:hint="eastAsia" w:eastAsia="仿宋_GB2312"/>
          <w:color w:val="000000"/>
          <w:sz w:val="32"/>
          <w:szCs w:val="32"/>
          <w:lang w:eastAsia="zh-CN"/>
        </w:rPr>
        <w:t>万元，年中执行调减</w:t>
      </w:r>
      <w:r>
        <w:rPr>
          <w:rFonts w:hint="eastAsia" w:eastAsia="仿宋_GB2312"/>
          <w:color w:val="000000"/>
          <w:sz w:val="32"/>
          <w:szCs w:val="32"/>
          <w:lang w:val="en-US" w:eastAsia="zh-CN"/>
        </w:rPr>
        <w:t>48.50</w:t>
      </w:r>
      <w:r>
        <w:rPr>
          <w:rFonts w:hint="eastAsia" w:eastAsia="仿宋_GB2312"/>
          <w:color w:val="000000"/>
          <w:sz w:val="32"/>
          <w:szCs w:val="32"/>
          <w:lang w:eastAsia="zh-CN"/>
        </w:rPr>
        <w:t>万元，实际支出51.50万元，结余结转0万元。该专项资金主要用于粮食专项开支。</w:t>
      </w:r>
    </w:p>
    <w:p w14:paraId="4311F322">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四是向上争资工作经费：年初预算资金10</w:t>
      </w:r>
      <w:r>
        <w:rPr>
          <w:rFonts w:hint="eastAsia" w:eastAsia="仿宋_GB2312"/>
          <w:color w:val="000000"/>
          <w:sz w:val="32"/>
          <w:szCs w:val="32"/>
          <w:lang w:val="en-US" w:eastAsia="zh-CN"/>
        </w:rPr>
        <w:t>.00</w:t>
      </w:r>
      <w:r>
        <w:rPr>
          <w:rFonts w:hint="eastAsia" w:eastAsia="仿宋_GB2312"/>
          <w:color w:val="000000"/>
          <w:sz w:val="32"/>
          <w:szCs w:val="32"/>
          <w:lang w:eastAsia="zh-CN"/>
        </w:rPr>
        <w:t>万元，年中执行调增</w:t>
      </w:r>
      <w:r>
        <w:rPr>
          <w:rFonts w:hint="eastAsia" w:eastAsia="仿宋_GB2312"/>
          <w:color w:val="000000"/>
          <w:sz w:val="32"/>
          <w:szCs w:val="32"/>
          <w:lang w:val="en-US" w:eastAsia="zh-CN"/>
        </w:rPr>
        <w:t>27.21</w:t>
      </w:r>
      <w:r>
        <w:rPr>
          <w:rFonts w:hint="eastAsia" w:eastAsia="仿宋_GB2312"/>
          <w:color w:val="000000"/>
          <w:sz w:val="32"/>
          <w:szCs w:val="32"/>
          <w:lang w:eastAsia="zh-CN"/>
        </w:rPr>
        <w:t>万元，实际支出37.21万元，结余结转0万元。该专项资金主要用统筹争资工作调度会、讲评会，编制印发月度通报；组织开展政策培训宣贯；督导项目推进实施，开展现场核查；协调解决项目申报推进问题等；聘请专业咨询机构、行业专家。</w:t>
      </w:r>
    </w:p>
    <w:p w14:paraId="52C3F5D3">
      <w:pPr>
        <w:pStyle w:val="5"/>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另外，实际决算项目</w:t>
      </w:r>
      <w:r>
        <w:rPr>
          <w:rFonts w:hint="eastAsia" w:eastAsia="仿宋_GB2312"/>
          <w:color w:val="000000"/>
          <w:sz w:val="32"/>
          <w:szCs w:val="32"/>
          <w:lang w:val="en-US" w:eastAsia="zh-CN"/>
        </w:rPr>
        <w:t>8</w:t>
      </w:r>
      <w:r>
        <w:rPr>
          <w:rFonts w:hint="eastAsia" w:eastAsia="仿宋_GB2312"/>
          <w:color w:val="000000"/>
          <w:sz w:val="32"/>
          <w:szCs w:val="32"/>
          <w:lang w:eastAsia="zh-CN"/>
        </w:rPr>
        <w:t>个，有4个项目未列入年初预算。具体情况如下：</w:t>
      </w:r>
    </w:p>
    <w:p w14:paraId="58651F92">
      <w:pPr>
        <w:pStyle w:val="5"/>
        <w:spacing w:line="600" w:lineRule="exact"/>
        <w:ind w:firstLine="64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一是“三个高地“指挥部专项工作经费实际支出22.17万元，结余结转0万元。主要用于区“三个高地“相关工作。</w:t>
      </w:r>
    </w:p>
    <w:p w14:paraId="0A572A76">
      <w:pPr>
        <w:pStyle w:val="5"/>
        <w:spacing w:line="600" w:lineRule="exact"/>
        <w:ind w:firstLine="64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二是发改综合业务工作经费（非税）29.04万元，结余结转0万元。来源于非税返回，主要用于发改综合业务经费。</w:t>
      </w:r>
    </w:p>
    <w:p w14:paraId="2C551FF0">
      <w:pPr>
        <w:pStyle w:val="5"/>
        <w:spacing w:line="600" w:lineRule="exact"/>
        <w:ind w:firstLine="64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三是四上企业培育工作-部门奖励2.50万元，结余结转0万元。来源于当年追加预算，主要用于全国经济普查第三产业调查服务费。</w:t>
      </w:r>
    </w:p>
    <w:p w14:paraId="60B01DEA">
      <w:pPr>
        <w:pStyle w:val="5"/>
        <w:spacing w:line="600" w:lineRule="exact"/>
        <w:ind w:firstLine="64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四是上级经费实际支出100.00万元，结余结转0万元。主要来源于上级上年结转指标。</w:t>
      </w:r>
    </w:p>
    <w:p w14:paraId="36D6D7C0">
      <w:pPr>
        <w:pStyle w:val="5"/>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0353708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预算资金绩效管理是一项长期性工作。由于不可预见因素，本单位在预算资金使用上也存在一定的不可预见性。部门预算、绩效管理工作还有待进一步加强。</w:t>
      </w:r>
    </w:p>
    <w:p w14:paraId="21DAA1C7">
      <w:pPr>
        <w:spacing w:line="600" w:lineRule="exact"/>
        <w:ind w:firstLine="640" w:firstLineChars="200"/>
        <w:rPr>
          <w:rFonts w:eastAsia="黑体"/>
          <w:sz w:val="32"/>
          <w:szCs w:val="32"/>
        </w:rPr>
      </w:pPr>
      <w:r>
        <w:rPr>
          <w:rFonts w:eastAsia="黑体"/>
          <w:sz w:val="32"/>
          <w:szCs w:val="32"/>
        </w:rPr>
        <w:t>八、下一步改进措施</w:t>
      </w:r>
    </w:p>
    <w:p w14:paraId="01781DE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局将压实部门内部绩效管理主体责任，培养内部人员的预算和绩效管理意识，严格按照预算编制的相关制度和要求，按照单位年度工作重点和计划细化预算编制工作，使预算绩效管理真正落到实处，切实提高绩效管理水平，充分发挥预算资金使用效益。</w:t>
      </w:r>
    </w:p>
    <w:p w14:paraId="44C013C3">
      <w:pPr>
        <w:numPr>
          <w:ilvl w:val="0"/>
          <w:numId w:val="2"/>
        </w:numPr>
        <w:spacing w:line="600" w:lineRule="exact"/>
        <w:ind w:firstLine="640" w:firstLineChars="200"/>
        <w:rPr>
          <w:rFonts w:eastAsia="黑体"/>
          <w:sz w:val="32"/>
          <w:szCs w:val="32"/>
        </w:rPr>
      </w:pPr>
      <w:r>
        <w:rPr>
          <w:rFonts w:eastAsia="黑体"/>
          <w:sz w:val="32"/>
          <w:szCs w:val="32"/>
        </w:rPr>
        <w:t>绩效自评结果拟应用和公开情况</w:t>
      </w:r>
    </w:p>
    <w:p w14:paraId="4342939B">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通过绩效自评，进一步掌握了资金使用情况和取得的效果。</w:t>
      </w:r>
    </w:p>
    <w:p w14:paraId="1679F23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年部门决算一起在芦淞区政府信息公开专栏中公开，接受群众监督。</w:t>
      </w:r>
    </w:p>
    <w:p w14:paraId="419AEC87">
      <w:pPr>
        <w:pStyle w:val="2"/>
        <w:numPr>
          <w:ilvl w:val="0"/>
          <w:numId w:val="2"/>
        </w:numPr>
      </w:pPr>
    </w:p>
    <w:p w14:paraId="4BAA45D7">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193B7070">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6CF3AD9B">
      <w:pPr>
        <w:spacing w:line="600" w:lineRule="exact"/>
        <w:rPr>
          <w:rFonts w:eastAsia="仿宋_GB2312"/>
          <w:kern w:val="0"/>
          <w:sz w:val="32"/>
          <w:szCs w:val="32"/>
        </w:rPr>
      </w:pPr>
    </w:p>
    <w:p w14:paraId="423A6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4B6A5"/>
    <w:multiLevelType w:val="singleLevel"/>
    <w:tmpl w:val="D464B6A5"/>
    <w:lvl w:ilvl="0" w:tentative="0">
      <w:start w:val="9"/>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0FCC3F3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9C3A97"/>
    <w:rsid w:val="1DCB47DF"/>
    <w:rsid w:val="1E601115"/>
    <w:rsid w:val="1EB03217"/>
    <w:rsid w:val="1F000FB0"/>
    <w:rsid w:val="1F111AD7"/>
    <w:rsid w:val="1F5A1E7F"/>
    <w:rsid w:val="1FA707DF"/>
    <w:rsid w:val="1FFE7B8C"/>
    <w:rsid w:val="203C025A"/>
    <w:rsid w:val="20775CA3"/>
    <w:rsid w:val="217A1AB1"/>
    <w:rsid w:val="21FD11DA"/>
    <w:rsid w:val="220A64A8"/>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73044C"/>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7C2771"/>
    <w:rsid w:val="36AD5505"/>
    <w:rsid w:val="36DB24F1"/>
    <w:rsid w:val="36FE0554"/>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4F2F65"/>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4D1A1D"/>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6AC00C0"/>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5108</Words>
  <Characters>5484</Characters>
  <Lines>0</Lines>
  <Paragraphs>0</Paragraphs>
  <TotalTime>8</TotalTime>
  <ScaleCrop>false</ScaleCrop>
  <LinksUpToDate>false</LinksUpToDate>
  <CharactersWithSpaces>5490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2026-01-26T08:34:12Z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4255F50613D44EC28D4C3F1EE044BD6A_13</vt:lpwstr>
  </property>
</Properties>
</file>