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8FDDF">
      <w:pPr>
        <w:jc w:val="center"/>
        <w:rPr>
          <w:rFonts w:eastAsia="方正小标宋_GBK"/>
          <w:sz w:val="48"/>
          <w:szCs w:val="48"/>
        </w:rPr>
      </w:pPr>
      <w:r>
        <w:rPr>
          <w:rFonts w:hint="eastAsia" w:eastAsia="方正小标宋_GBK"/>
          <w:sz w:val="48"/>
          <w:szCs w:val="48"/>
          <w:lang w:val="en-US" w:eastAsia="zh-CN"/>
        </w:rPr>
        <w:t>2024</w:t>
      </w:r>
      <w:r>
        <w:rPr>
          <w:rFonts w:eastAsia="方正小标宋_GBK"/>
          <w:sz w:val="48"/>
          <w:szCs w:val="48"/>
        </w:rPr>
        <w:t>年度部门（单位）</w:t>
      </w:r>
      <w:r>
        <w:rPr>
          <w:rFonts w:hint="eastAsia" w:eastAsia="方正小标宋_GBK"/>
          <w:sz w:val="48"/>
          <w:szCs w:val="48"/>
          <w:lang w:eastAsia="zh-CN"/>
        </w:rPr>
        <w:t>整体</w:t>
      </w:r>
      <w:r>
        <w:rPr>
          <w:rFonts w:eastAsia="方正小标宋_GBK"/>
          <w:sz w:val="48"/>
          <w:szCs w:val="48"/>
        </w:rPr>
        <w:t>支出</w:t>
      </w:r>
    </w:p>
    <w:p w14:paraId="74E43491">
      <w:pPr>
        <w:jc w:val="center"/>
        <w:rPr>
          <w:rFonts w:eastAsia="方正小标宋_GBK"/>
          <w:sz w:val="48"/>
          <w:szCs w:val="48"/>
        </w:rPr>
      </w:pPr>
      <w:r>
        <w:rPr>
          <w:rFonts w:eastAsia="方正小标宋_GBK"/>
          <w:sz w:val="48"/>
          <w:szCs w:val="48"/>
        </w:rPr>
        <w:t>绩效自评报告</w:t>
      </w:r>
    </w:p>
    <w:p w14:paraId="05A86D9E">
      <w:pPr>
        <w:jc w:val="center"/>
        <w:rPr>
          <w:rFonts w:eastAsia="黑体"/>
          <w:sz w:val="32"/>
          <w:szCs w:val="32"/>
        </w:rPr>
      </w:pPr>
    </w:p>
    <w:p w14:paraId="03C560C3">
      <w:pPr>
        <w:jc w:val="center"/>
        <w:rPr>
          <w:rFonts w:eastAsia="黑体"/>
          <w:sz w:val="32"/>
          <w:szCs w:val="32"/>
        </w:rPr>
      </w:pPr>
    </w:p>
    <w:p w14:paraId="196BE711">
      <w:pPr>
        <w:jc w:val="center"/>
        <w:rPr>
          <w:rFonts w:eastAsia="黑体"/>
          <w:sz w:val="32"/>
          <w:szCs w:val="32"/>
        </w:rPr>
      </w:pPr>
    </w:p>
    <w:p w14:paraId="334D61B0">
      <w:pPr>
        <w:jc w:val="center"/>
        <w:rPr>
          <w:rFonts w:eastAsia="黑体"/>
          <w:sz w:val="32"/>
          <w:szCs w:val="32"/>
        </w:rPr>
      </w:pPr>
    </w:p>
    <w:p w14:paraId="1003E075">
      <w:pPr>
        <w:jc w:val="center"/>
        <w:rPr>
          <w:rFonts w:eastAsia="黑体"/>
          <w:sz w:val="32"/>
          <w:szCs w:val="32"/>
        </w:rPr>
      </w:pPr>
    </w:p>
    <w:p w14:paraId="435D176D">
      <w:pPr>
        <w:jc w:val="center"/>
        <w:rPr>
          <w:rFonts w:eastAsia="黑体"/>
          <w:sz w:val="32"/>
          <w:szCs w:val="32"/>
        </w:rPr>
      </w:pPr>
    </w:p>
    <w:p w14:paraId="70172537">
      <w:pPr>
        <w:ind w:firstLine="880" w:firstLineChars="200"/>
        <w:jc w:val="center"/>
        <w:rPr>
          <w:rFonts w:eastAsia="黑体"/>
          <w:sz w:val="44"/>
          <w:szCs w:val="44"/>
        </w:rPr>
      </w:pPr>
    </w:p>
    <w:p w14:paraId="7F02F532">
      <w:pPr>
        <w:ind w:firstLine="880" w:firstLineChars="200"/>
        <w:jc w:val="center"/>
        <w:rPr>
          <w:rFonts w:eastAsia="黑体"/>
          <w:sz w:val="44"/>
          <w:szCs w:val="44"/>
        </w:rPr>
      </w:pPr>
    </w:p>
    <w:p w14:paraId="09127EB5">
      <w:pPr>
        <w:ind w:firstLine="880" w:firstLineChars="200"/>
        <w:jc w:val="center"/>
        <w:rPr>
          <w:rFonts w:eastAsia="黑体"/>
          <w:sz w:val="44"/>
          <w:szCs w:val="44"/>
        </w:rPr>
      </w:pPr>
    </w:p>
    <w:p w14:paraId="1A07A0A2">
      <w:pPr>
        <w:jc w:val="both"/>
        <w:rPr>
          <w:rFonts w:hint="default" w:eastAsia="仿宋_GB2312"/>
          <w:sz w:val="36"/>
          <w:szCs w:val="36"/>
          <w:lang w:val="en-US" w:eastAsia="zh-CN"/>
        </w:rPr>
      </w:pPr>
      <w:r>
        <w:rPr>
          <w:rFonts w:eastAsia="黑体"/>
          <w:sz w:val="36"/>
          <w:szCs w:val="36"/>
        </w:rPr>
        <w:t>单位名称（盖章）</w:t>
      </w:r>
      <w:r>
        <w:rPr>
          <w:rFonts w:eastAsia="黑体"/>
          <w:sz w:val="36"/>
          <w:szCs w:val="36"/>
          <w:u w:val="none"/>
        </w:rPr>
        <w:t>：</w:t>
      </w:r>
      <w:bookmarkStart w:id="0" w:name="_GoBack"/>
      <w:r>
        <w:rPr>
          <w:rFonts w:hint="eastAsia" w:eastAsia="黑体"/>
          <w:sz w:val="36"/>
          <w:szCs w:val="36"/>
          <w:u w:val="single"/>
          <w:lang w:val="en-US" w:eastAsia="zh-CN"/>
        </w:rPr>
        <w:t xml:space="preserve"> </w:t>
      </w:r>
      <w:r>
        <w:rPr>
          <w:rFonts w:hint="eastAsia" w:ascii="仿宋_GB2312" w:eastAsia="仿宋_GB2312"/>
          <w:sz w:val="32"/>
          <w:szCs w:val="32"/>
          <w:u w:val="single"/>
          <w:lang w:eastAsia="zh-CN"/>
        </w:rPr>
        <w:t>株洲市芦淞区妇女联合会</w:t>
      </w:r>
      <w:r>
        <w:rPr>
          <w:rFonts w:hint="eastAsia" w:ascii="仿宋_GB2312" w:eastAsia="仿宋_GB2312"/>
          <w:sz w:val="32"/>
          <w:szCs w:val="32"/>
          <w:u w:val="single"/>
          <w:lang w:val="en-US" w:eastAsia="zh-CN"/>
        </w:rPr>
        <w:t xml:space="preserve">  </w:t>
      </w:r>
      <w:bookmarkEnd w:id="0"/>
      <w:r>
        <w:rPr>
          <w:rFonts w:hint="eastAsia" w:ascii="仿宋_GB2312" w:eastAsia="仿宋_GB2312"/>
          <w:sz w:val="32"/>
          <w:szCs w:val="32"/>
          <w:u w:val="single"/>
          <w:lang w:val="en-US" w:eastAsia="zh-CN"/>
        </w:rPr>
        <w:t xml:space="preserve">   </w:t>
      </w:r>
    </w:p>
    <w:p w14:paraId="49014832">
      <w:pPr>
        <w:jc w:val="center"/>
        <w:rPr>
          <w:rFonts w:eastAsia="黑体"/>
          <w:sz w:val="36"/>
          <w:szCs w:val="36"/>
        </w:rPr>
      </w:pPr>
    </w:p>
    <w:p w14:paraId="288A77F9">
      <w:pPr>
        <w:jc w:val="center"/>
        <w:rPr>
          <w:rFonts w:eastAsia="黑体"/>
          <w:sz w:val="32"/>
          <w:szCs w:val="32"/>
        </w:rPr>
      </w:pPr>
    </w:p>
    <w:p w14:paraId="5520D085">
      <w:pPr>
        <w:jc w:val="center"/>
        <w:rPr>
          <w:rFonts w:eastAsia="黑体"/>
          <w:sz w:val="32"/>
          <w:szCs w:val="32"/>
        </w:rPr>
      </w:pPr>
    </w:p>
    <w:p w14:paraId="2E6B4A66">
      <w:pPr>
        <w:jc w:val="center"/>
        <w:rPr>
          <w:rFonts w:eastAsia="黑体"/>
          <w:sz w:val="32"/>
          <w:szCs w:val="32"/>
        </w:rPr>
      </w:pPr>
    </w:p>
    <w:p w14:paraId="4CF08EF4">
      <w:pPr>
        <w:jc w:val="center"/>
        <w:rPr>
          <w:rFonts w:eastAsia="黑体"/>
          <w:sz w:val="32"/>
          <w:szCs w:val="32"/>
        </w:rPr>
      </w:pPr>
    </w:p>
    <w:p w14:paraId="3FF7763A">
      <w:pPr>
        <w:jc w:val="center"/>
        <w:rPr>
          <w:rFonts w:eastAsia="黑体"/>
          <w:sz w:val="32"/>
          <w:szCs w:val="32"/>
        </w:rPr>
      </w:pPr>
    </w:p>
    <w:p w14:paraId="4F69EB25">
      <w:pPr>
        <w:jc w:val="center"/>
        <w:rPr>
          <w:rFonts w:eastAsia="黑体"/>
          <w:sz w:val="32"/>
          <w:szCs w:val="32"/>
        </w:rPr>
      </w:pPr>
    </w:p>
    <w:p w14:paraId="11AA000A">
      <w:pPr>
        <w:jc w:val="center"/>
        <w:rPr>
          <w:rFonts w:eastAsia="仿宋_GB2312"/>
          <w:sz w:val="32"/>
          <w:szCs w:val="32"/>
        </w:rPr>
      </w:pPr>
    </w:p>
    <w:p w14:paraId="78010B75">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038622F4">
      <w:pPr>
        <w:numPr>
          <w:ilvl w:val="0"/>
          <w:numId w:val="1"/>
        </w:numPr>
        <w:spacing w:line="600" w:lineRule="exact"/>
        <w:ind w:firstLine="643" w:firstLineChars="200"/>
        <w:rPr>
          <w:rFonts w:eastAsia="楷体_GB2312"/>
          <w:b/>
          <w:sz w:val="32"/>
          <w:szCs w:val="32"/>
        </w:rPr>
      </w:pPr>
      <w:r>
        <w:rPr>
          <w:rFonts w:eastAsia="楷体_GB2312"/>
          <w:b/>
          <w:sz w:val="32"/>
          <w:szCs w:val="32"/>
        </w:rPr>
        <w:t>部门（单位）基本情况</w:t>
      </w:r>
    </w:p>
    <w:p w14:paraId="777B764C">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
          <w:color w:val="auto"/>
          <w:sz w:val="32"/>
          <w:szCs w:val="32"/>
          <w:lang w:val="en-US" w:eastAsia="zh-CN"/>
        </w:rPr>
        <w:t>1.机构情况。</w:t>
      </w:r>
      <w:r>
        <w:rPr>
          <w:rFonts w:hint="default" w:ascii="Times New Roman" w:hAnsi="Times New Roman" w:eastAsia="仿宋_GB2312" w:cs="Times New Roman"/>
          <w:kern w:val="2"/>
          <w:sz w:val="32"/>
          <w:szCs w:val="32"/>
          <w:lang w:val="en-US" w:eastAsia="zh-CN" w:bidi="ar-SA"/>
        </w:rPr>
        <w:t>本部门</w:t>
      </w:r>
      <w:r>
        <w:rPr>
          <w:rFonts w:hint="eastAsia" w:ascii="Times New Roman" w:hAnsi="Times New Roman" w:eastAsia="仿宋_GB2312" w:cs="Times New Roman"/>
          <w:bCs w:val="0"/>
          <w:color w:val="auto"/>
          <w:kern w:val="0"/>
          <w:sz w:val="32"/>
          <w:szCs w:val="32"/>
          <w:highlight w:val="none"/>
        </w:rPr>
        <w:t>包括：</w:t>
      </w:r>
      <w:r>
        <w:rPr>
          <w:rFonts w:hint="default" w:ascii="Times New Roman" w:hAnsi="Times New Roman" w:eastAsia="仿宋_GB2312" w:cs="Times New Roman"/>
          <w:bCs w:val="0"/>
          <w:color w:val="auto"/>
          <w:kern w:val="0"/>
          <w:sz w:val="32"/>
          <w:szCs w:val="32"/>
          <w:highlight w:val="none"/>
        </w:rPr>
        <w:t>办公室、组织部、宣传部、儿童部、事业部、权益部</w:t>
      </w:r>
      <w:r>
        <w:rPr>
          <w:rFonts w:hint="default" w:ascii="Times New Roman" w:hAnsi="Times New Roman" w:eastAsia="仿宋_GB2312" w:cs="Times New Roman"/>
          <w:bCs w:val="0"/>
          <w:color w:val="auto"/>
          <w:kern w:val="0"/>
          <w:sz w:val="32"/>
          <w:szCs w:val="32"/>
          <w:highlight w:val="none"/>
          <w:lang w:val="en-US"/>
        </w:rPr>
        <w:t>，</w:t>
      </w:r>
      <w:r>
        <w:rPr>
          <w:rFonts w:hint="default" w:ascii="Times New Roman" w:hAnsi="Times New Roman" w:eastAsia="仿宋_GB2312" w:cs="Times New Roman"/>
          <w:bCs w:val="0"/>
          <w:color w:val="auto"/>
          <w:kern w:val="0"/>
          <w:sz w:val="32"/>
          <w:szCs w:val="32"/>
          <w:highlight w:val="none"/>
        </w:rPr>
        <w:t>无单独核算的下属二级机构。</w:t>
      </w:r>
    </w:p>
    <w:p w14:paraId="11CF8834">
      <w:pPr>
        <w:snapToGrid w:val="0"/>
        <w:spacing w:line="560" w:lineRule="exact"/>
        <w:ind w:firstLine="640" w:firstLineChars="200"/>
        <w:rPr>
          <w:rFonts w:hint="eastAsia" w:ascii="Times New Roman" w:hAnsi="Times New Roman" w:eastAsia="仿宋_GB2312"/>
          <w:sz w:val="32"/>
          <w:szCs w:val="32"/>
          <w:highlight w:val="none"/>
        </w:rPr>
      </w:pPr>
      <w:r>
        <w:rPr>
          <w:rFonts w:hint="eastAsia" w:eastAsia="仿宋"/>
          <w:color w:val="auto"/>
          <w:sz w:val="32"/>
          <w:szCs w:val="32"/>
          <w:highlight w:val="none"/>
          <w:lang w:val="en-US" w:eastAsia="zh-CN"/>
        </w:rPr>
        <w:t>2.人员情况。</w:t>
      </w:r>
      <w:r>
        <w:rPr>
          <w:rFonts w:hint="default" w:ascii="Times New Roman" w:hAnsi="Times New Roman" w:eastAsia="仿宋_GB2312" w:cs="Times New Roman"/>
          <w:color w:val="000000"/>
          <w:kern w:val="0"/>
          <w:sz w:val="32"/>
          <w:szCs w:val="32"/>
          <w:highlight w:val="none"/>
          <w:lang w:val="en-US" w:eastAsia="zh-CN" w:bidi="ar-SA"/>
        </w:rPr>
        <w:t>本部门截止202</w:t>
      </w:r>
      <w:r>
        <w:rPr>
          <w:rFonts w:hint="eastAsia" w:eastAsia="仿宋_GB2312" w:cs="Times New Roman"/>
          <w:color w:val="000000"/>
          <w:kern w:val="0"/>
          <w:sz w:val="32"/>
          <w:szCs w:val="32"/>
          <w:highlight w:val="none"/>
          <w:lang w:val="en-US" w:eastAsia="zh-CN" w:bidi="ar-SA"/>
        </w:rPr>
        <w:t>4</w:t>
      </w:r>
      <w:r>
        <w:rPr>
          <w:rFonts w:hint="default" w:ascii="Times New Roman" w:hAnsi="Times New Roman" w:eastAsia="仿宋_GB2312" w:cs="Times New Roman"/>
          <w:color w:val="000000"/>
          <w:kern w:val="0"/>
          <w:sz w:val="32"/>
          <w:szCs w:val="32"/>
          <w:highlight w:val="none"/>
          <w:lang w:val="en-US" w:eastAsia="zh-CN" w:bidi="ar-SA"/>
        </w:rPr>
        <w:t>年12月底</w:t>
      </w:r>
      <w:r>
        <w:rPr>
          <w:rFonts w:hint="default" w:ascii="Times New Roman" w:hAnsi="Times New Roman" w:eastAsia="仿宋_GB2312" w:cs="Times New Roman"/>
          <w:color w:val="auto"/>
          <w:sz w:val="32"/>
          <w:szCs w:val="32"/>
          <w:highlight w:val="none"/>
          <w:lang w:val="en-US"/>
        </w:rPr>
        <w:t>现有在职人员</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rPr>
        <w:t>人，退休人员</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rPr>
        <w:t>人。</w:t>
      </w:r>
    </w:p>
    <w:p w14:paraId="04D37302">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3.主要职能:</w:t>
      </w:r>
    </w:p>
    <w:p w14:paraId="18155957">
      <w:pPr>
        <w:widowControl/>
        <w:spacing w:line="560" w:lineRule="exact"/>
        <w:ind w:firstLine="640" w:firstLineChars="200"/>
        <w:rPr>
          <w:rFonts w:hint="default"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（1）</w:t>
      </w:r>
      <w:r>
        <w:rPr>
          <w:rFonts w:hint="default" w:ascii="Times New Roman" w:hAnsi="Times New Roman" w:eastAsia="仿宋_GB2312" w:cs="Times New Roman"/>
          <w:bCs w:val="0"/>
          <w:color w:val="auto"/>
          <w:kern w:val="0"/>
          <w:sz w:val="32"/>
          <w:szCs w:val="32"/>
          <w:highlight w:val="none"/>
        </w:rPr>
        <w:t>组织引导全区广大妇女学习贯彻习近平新时代中国特色社会主义思想和党的路线方针政策，团结引领广大妇女听党话，跟党走。</w:t>
      </w:r>
    </w:p>
    <w:p w14:paraId="05AA7B90">
      <w:pPr>
        <w:widowControl/>
        <w:spacing w:line="560" w:lineRule="exact"/>
        <w:ind w:firstLine="640" w:firstLineChars="200"/>
        <w:rPr>
          <w:rFonts w:hint="default"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（2）</w:t>
      </w:r>
      <w:r>
        <w:rPr>
          <w:rFonts w:hint="default" w:ascii="Times New Roman" w:hAnsi="Times New Roman" w:eastAsia="仿宋_GB2312" w:cs="Times New Roman"/>
          <w:bCs w:val="0"/>
          <w:color w:val="auto"/>
          <w:kern w:val="0"/>
          <w:sz w:val="32"/>
          <w:szCs w:val="32"/>
          <w:highlight w:val="none"/>
        </w:rPr>
        <w:t>团结动员妇女投身改革开放和社会主义经济建设、政治建设、文化建设、社会建设和生态文明建设，注重发挥妇女在社会生活和家庭生活中的独特作用。</w:t>
      </w:r>
    </w:p>
    <w:p w14:paraId="537998F8">
      <w:pPr>
        <w:widowControl/>
        <w:spacing w:line="560" w:lineRule="exact"/>
        <w:ind w:firstLine="640" w:firstLineChars="200"/>
        <w:rPr>
          <w:rFonts w:hint="default"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（3）</w:t>
      </w:r>
      <w:r>
        <w:rPr>
          <w:rFonts w:hint="eastAsia" w:ascii="Times New Roman" w:hAnsi="Times New Roman" w:eastAsia="仿宋_GB2312" w:cs="Times New Roman"/>
          <w:bCs w:val="0"/>
          <w:color w:val="auto"/>
          <w:kern w:val="0"/>
          <w:sz w:val="32"/>
          <w:szCs w:val="32"/>
          <w:highlight w:val="none"/>
        </w:rPr>
        <w:t>教育和引导广大妇女发扬自尊、自信、自立、自强的精神，提高综合素质，促进全面发展。宣传马克思主义妇女观和男女平等基本国策，营造有利于妇女全面发展的社会环境。</w:t>
      </w:r>
      <w:r>
        <w:rPr>
          <w:rFonts w:hint="default" w:ascii="Times New Roman" w:hAnsi="Times New Roman" w:eastAsia="仿宋_GB2312" w:cs="Times New Roman"/>
          <w:bCs w:val="0"/>
          <w:color w:val="auto"/>
          <w:kern w:val="0"/>
          <w:sz w:val="32"/>
          <w:szCs w:val="32"/>
          <w:highlight w:val="none"/>
        </w:rPr>
        <w:t> </w:t>
      </w:r>
    </w:p>
    <w:p w14:paraId="325B17E2">
      <w:pPr>
        <w:widowControl/>
        <w:spacing w:line="560" w:lineRule="exact"/>
        <w:ind w:firstLine="640" w:firstLineChars="200"/>
        <w:rPr>
          <w:rFonts w:hint="default"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（4）</w:t>
      </w:r>
      <w:r>
        <w:rPr>
          <w:rFonts w:hint="eastAsia" w:ascii="Times New Roman" w:hAnsi="Times New Roman" w:eastAsia="仿宋_GB2312" w:cs="Times New Roman"/>
          <w:bCs w:val="0"/>
          <w:color w:val="auto"/>
          <w:kern w:val="0"/>
          <w:sz w:val="32"/>
          <w:szCs w:val="32"/>
          <w:highlight w:val="none"/>
        </w:rPr>
        <w:t>代表妇女参与国家和社会事务的民主决策、民主管理、民主监督，参与有关妇女儿童法律、法规、规章和政策的制定，参与社会管理和公共服务，培养、推荐女性人才，推动妇女、儿童发展纲要的实施。</w:t>
      </w:r>
      <w:r>
        <w:rPr>
          <w:rFonts w:hint="default" w:ascii="Times New Roman" w:hAnsi="Times New Roman" w:eastAsia="仿宋_GB2312" w:cs="Times New Roman"/>
          <w:bCs w:val="0"/>
          <w:color w:val="auto"/>
          <w:kern w:val="0"/>
          <w:sz w:val="32"/>
          <w:szCs w:val="32"/>
          <w:highlight w:val="none"/>
        </w:rPr>
        <w:t> </w:t>
      </w:r>
    </w:p>
    <w:p w14:paraId="5BDBF0F8">
      <w:pPr>
        <w:widowControl/>
        <w:spacing w:line="560" w:lineRule="exact"/>
        <w:ind w:firstLine="640" w:firstLineChars="200"/>
        <w:rPr>
          <w:rFonts w:hint="default"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（5）</w:t>
      </w:r>
      <w:r>
        <w:rPr>
          <w:rFonts w:hint="eastAsia" w:ascii="Times New Roman" w:hAnsi="Times New Roman" w:eastAsia="仿宋_GB2312" w:cs="Times New Roman"/>
          <w:bCs w:val="0"/>
          <w:color w:val="auto"/>
          <w:kern w:val="0"/>
          <w:sz w:val="32"/>
          <w:szCs w:val="32"/>
          <w:highlight w:val="none"/>
        </w:rPr>
        <w:t>维护妇女儿童合法权益，向有关单位提出相关意见和建议，要求并协助有关部门或单位查处侵害妇女儿童权益的行为，为受侵害的妇女儿童提供帮助。</w:t>
      </w:r>
      <w:r>
        <w:rPr>
          <w:rFonts w:hint="default" w:ascii="Times New Roman" w:hAnsi="Times New Roman" w:eastAsia="仿宋_GB2312" w:cs="Times New Roman"/>
          <w:bCs w:val="0"/>
          <w:color w:val="auto"/>
          <w:kern w:val="0"/>
          <w:sz w:val="32"/>
          <w:szCs w:val="32"/>
          <w:highlight w:val="none"/>
        </w:rPr>
        <w:t> </w:t>
      </w:r>
    </w:p>
    <w:p w14:paraId="606787C0">
      <w:pPr>
        <w:widowControl/>
        <w:spacing w:line="560" w:lineRule="exact"/>
        <w:ind w:firstLine="640" w:firstLineChars="200"/>
        <w:rPr>
          <w:rFonts w:hint="default"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（6）</w:t>
      </w:r>
      <w:r>
        <w:rPr>
          <w:rFonts w:hint="eastAsia" w:ascii="Times New Roman" w:hAnsi="Times New Roman" w:eastAsia="仿宋_GB2312" w:cs="Times New Roman"/>
          <w:bCs w:val="0"/>
          <w:color w:val="auto"/>
          <w:kern w:val="0"/>
          <w:sz w:val="32"/>
          <w:szCs w:val="32"/>
          <w:highlight w:val="none"/>
        </w:rPr>
        <w:t>关心妇女工作生活，拓宽服务渠道，建设服务阵地，发展公益事业，壮大巾帼志愿者队伍，</w:t>
      </w:r>
      <w:r>
        <w:rPr>
          <w:rFonts w:hint="default" w:ascii="Times New Roman" w:hAnsi="Times New Roman" w:eastAsia="仿宋_GB2312" w:cs="Times New Roman"/>
          <w:bCs w:val="0"/>
          <w:color w:val="auto"/>
          <w:kern w:val="0"/>
          <w:sz w:val="32"/>
          <w:szCs w:val="32"/>
          <w:highlight w:val="none"/>
        </w:rPr>
        <w:t>加强妇女之家建设。联系和引导女性社会组织，加强与社会各界的协作，推动全社会为妇女儿童和家庭服务。</w:t>
      </w:r>
    </w:p>
    <w:p w14:paraId="29656C2B">
      <w:pPr>
        <w:widowControl/>
        <w:spacing w:line="560" w:lineRule="exact"/>
        <w:ind w:firstLine="640" w:firstLineChars="200"/>
        <w:rPr>
          <w:rFonts w:hint="default"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（7）</w:t>
      </w:r>
      <w:r>
        <w:rPr>
          <w:rFonts w:hint="eastAsia" w:ascii="Times New Roman" w:hAnsi="Times New Roman" w:eastAsia="仿宋_GB2312" w:cs="Times New Roman"/>
          <w:bCs w:val="0"/>
          <w:color w:val="auto"/>
          <w:kern w:val="0"/>
          <w:sz w:val="32"/>
          <w:szCs w:val="32"/>
          <w:highlight w:val="none"/>
        </w:rPr>
        <w:t>教育引导妇女践行社会主义核心价值观，弘扬中华优秀文化，组织开展家庭文明创建，支持服务家庭教育，传承中华民族家庭美德，树立良好家风，推动形成家庭文明新风尚。</w:t>
      </w:r>
    </w:p>
    <w:p w14:paraId="16E9ACBE">
      <w:pPr>
        <w:widowControl/>
        <w:spacing w:line="560" w:lineRule="exact"/>
        <w:ind w:firstLine="640" w:firstLineChars="200"/>
        <w:rPr>
          <w:rFonts w:hint="default" w:ascii="Times New Roman" w:hAnsi="Times New Roman" w:eastAsia="仿宋_GB2312" w:cs="Times New Roman"/>
          <w:bCs w:val="0"/>
          <w:color w:val="auto"/>
          <w:kern w:val="0"/>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（8）</w:t>
      </w:r>
      <w:r>
        <w:rPr>
          <w:rFonts w:hint="eastAsia" w:ascii="Times New Roman" w:hAnsi="Times New Roman" w:eastAsia="仿宋_GB2312" w:cs="Times New Roman"/>
          <w:bCs w:val="0"/>
          <w:color w:val="auto"/>
          <w:kern w:val="0"/>
          <w:sz w:val="32"/>
          <w:szCs w:val="32"/>
          <w:highlight w:val="none"/>
        </w:rPr>
        <w:t>巩固和扩大各族各界妇女的大团结，发展和指导各类妇女联谊组织，促进交流与合作。积极发展同周边州（市）及县市区妇联组织的协作与交流。</w:t>
      </w:r>
    </w:p>
    <w:p w14:paraId="76EA6260">
      <w:pPr>
        <w:snapToGrid w:val="0"/>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Cs w:val="0"/>
          <w:color w:val="auto"/>
          <w:kern w:val="0"/>
          <w:sz w:val="32"/>
          <w:szCs w:val="32"/>
          <w:highlight w:val="none"/>
          <w:lang w:val="en-US" w:eastAsia="zh-CN"/>
        </w:rPr>
        <w:t>（9）</w:t>
      </w:r>
      <w:r>
        <w:rPr>
          <w:rFonts w:hint="eastAsia" w:ascii="Times New Roman" w:hAnsi="Times New Roman" w:eastAsia="仿宋_GB2312" w:cs="Times New Roman"/>
          <w:bCs w:val="0"/>
          <w:color w:val="auto"/>
          <w:kern w:val="0"/>
          <w:sz w:val="32"/>
          <w:szCs w:val="32"/>
          <w:highlight w:val="none"/>
        </w:rPr>
        <w:t>区政府妇儿工委办公室设在本单位，本单位根据妇女儿童工作委员会办公室的职能要求，积极协调成员单位开展工作。根据工作需要，申请明确妇儿工委办公室机构，并配备事业编制</w:t>
      </w:r>
      <w:r>
        <w:rPr>
          <w:rFonts w:hint="default" w:ascii="Times New Roman" w:hAnsi="Times New Roman" w:eastAsia="仿宋_GB2312" w:cs="Times New Roman"/>
          <w:bCs w:val="0"/>
          <w:color w:val="auto"/>
          <w:kern w:val="0"/>
          <w:sz w:val="32"/>
          <w:szCs w:val="32"/>
          <w:highlight w:val="none"/>
        </w:rPr>
        <w:t>1</w:t>
      </w:r>
      <w:r>
        <w:rPr>
          <w:rFonts w:hint="eastAsia" w:ascii="Times New Roman" w:hAnsi="Times New Roman" w:eastAsia="仿宋_GB2312" w:cs="Times New Roman"/>
          <w:bCs w:val="0"/>
          <w:color w:val="auto"/>
          <w:kern w:val="0"/>
          <w:sz w:val="32"/>
          <w:szCs w:val="32"/>
          <w:highlight w:val="none"/>
        </w:rPr>
        <w:t>名。</w:t>
      </w:r>
    </w:p>
    <w:p w14:paraId="6B2E3775">
      <w:pPr>
        <w:spacing w:line="600" w:lineRule="exact"/>
        <w:ind w:firstLine="643" w:firstLineChars="200"/>
        <w:rPr>
          <w:rFonts w:eastAsia="楷体_GB2312"/>
          <w:b/>
          <w:sz w:val="32"/>
          <w:szCs w:val="32"/>
          <w:highlight w:val="none"/>
        </w:rPr>
      </w:pPr>
      <w:r>
        <w:rPr>
          <w:rFonts w:eastAsia="楷体_GB2312"/>
          <w:b/>
          <w:sz w:val="32"/>
          <w:szCs w:val="32"/>
          <w:highlight w:val="none"/>
        </w:rPr>
        <w:t>（二）部门（单位）年度</w:t>
      </w:r>
      <w:r>
        <w:rPr>
          <w:rFonts w:hint="eastAsia" w:eastAsia="楷体_GB2312"/>
          <w:b/>
          <w:sz w:val="32"/>
          <w:szCs w:val="32"/>
          <w:highlight w:val="none"/>
          <w:lang w:eastAsia="zh-CN"/>
        </w:rPr>
        <w:t>各项</w:t>
      </w:r>
      <w:r>
        <w:rPr>
          <w:rFonts w:eastAsia="楷体_GB2312"/>
          <w:b/>
          <w:sz w:val="32"/>
          <w:szCs w:val="32"/>
          <w:highlight w:val="none"/>
        </w:rPr>
        <w:t>绩效目标</w:t>
      </w:r>
    </w:p>
    <w:p w14:paraId="3A193587">
      <w:pPr>
        <w:pStyle w:val="13"/>
        <w:spacing w:line="600" w:lineRule="exact"/>
        <w:ind w:firstLine="643"/>
        <w:rPr>
          <w:rFonts w:hint="eastAsia" w:eastAsia="仿宋"/>
          <w:color w:val="auto"/>
          <w:sz w:val="32"/>
          <w:szCs w:val="32"/>
          <w:highlight w:val="none"/>
          <w:lang w:eastAsia="zh-CN"/>
        </w:rPr>
      </w:pPr>
      <w:r>
        <w:rPr>
          <w:rFonts w:hint="eastAsia" w:eastAsia="仿宋"/>
          <w:color w:val="auto"/>
          <w:sz w:val="32"/>
          <w:szCs w:val="32"/>
          <w:highlight w:val="none"/>
          <w:lang w:val="en-US" w:eastAsia="zh-CN"/>
        </w:rPr>
        <w:t>1、2024年度</w:t>
      </w:r>
      <w:r>
        <w:rPr>
          <w:rFonts w:hint="eastAsia" w:eastAsia="仿宋"/>
          <w:color w:val="auto"/>
          <w:sz w:val="32"/>
          <w:szCs w:val="32"/>
          <w:highlight w:val="none"/>
          <w:lang w:eastAsia="zh-CN"/>
        </w:rPr>
        <w:t>整体支出绩效目标</w:t>
      </w:r>
    </w:p>
    <w:p w14:paraId="442D3183">
      <w:pPr>
        <w:pStyle w:val="13"/>
        <w:numPr>
          <w:ilvl w:val="0"/>
          <w:numId w:val="2"/>
        </w:numPr>
        <w:spacing w:line="600" w:lineRule="exact"/>
        <w:ind w:firstLine="643"/>
        <w:rPr>
          <w:rFonts w:hint="eastAsia" w:eastAsia="仿宋"/>
          <w:color w:val="auto"/>
          <w:sz w:val="32"/>
          <w:szCs w:val="32"/>
          <w:highlight w:val="none"/>
          <w:lang w:eastAsia="zh-CN"/>
        </w:rPr>
      </w:pPr>
      <w:r>
        <w:rPr>
          <w:rFonts w:hint="eastAsia" w:eastAsia="仿宋"/>
          <w:color w:val="auto"/>
          <w:sz w:val="32"/>
          <w:szCs w:val="32"/>
          <w:highlight w:val="none"/>
          <w:lang w:val="en-US" w:eastAsia="zh-CN"/>
        </w:rPr>
        <w:t>开展女性创业就业培训。</w:t>
      </w:r>
    </w:p>
    <w:p w14:paraId="185D29CE">
      <w:pPr>
        <w:pStyle w:val="13"/>
        <w:numPr>
          <w:ilvl w:val="0"/>
          <w:numId w:val="2"/>
        </w:numPr>
        <w:spacing w:line="600" w:lineRule="exact"/>
        <w:ind w:left="0" w:leftChars="0" w:firstLine="640" w:firstLineChars="200"/>
        <w:rPr>
          <w:rFonts w:hint="eastAsia" w:eastAsia="仿宋"/>
          <w:color w:val="auto"/>
          <w:sz w:val="32"/>
          <w:szCs w:val="32"/>
          <w:highlight w:val="none"/>
          <w:lang w:val="en-US" w:eastAsia="zh-CN"/>
        </w:rPr>
      </w:pPr>
      <w:r>
        <w:rPr>
          <w:rFonts w:hint="eastAsia" w:eastAsia="仿宋"/>
          <w:color w:val="auto"/>
          <w:sz w:val="32"/>
          <w:szCs w:val="32"/>
          <w:highlight w:val="none"/>
          <w:lang w:val="en-US" w:eastAsia="zh-CN"/>
        </w:rPr>
        <w:t>完成“向阳花”家庭教育指导服务培训讲座45场。</w:t>
      </w:r>
    </w:p>
    <w:p w14:paraId="2B388A99">
      <w:pPr>
        <w:pStyle w:val="13"/>
        <w:numPr>
          <w:ilvl w:val="0"/>
          <w:numId w:val="2"/>
        </w:numPr>
        <w:spacing w:line="600" w:lineRule="exact"/>
        <w:ind w:left="0" w:leftChars="0" w:firstLine="640" w:firstLineChars="200"/>
        <w:rPr>
          <w:rFonts w:hint="eastAsia" w:eastAsia="仿宋"/>
          <w:color w:val="auto"/>
          <w:sz w:val="32"/>
          <w:szCs w:val="32"/>
          <w:highlight w:val="none"/>
          <w:lang w:val="en-US" w:eastAsia="zh-CN"/>
        </w:rPr>
      </w:pPr>
      <w:r>
        <w:rPr>
          <w:rFonts w:hint="eastAsia" w:eastAsia="仿宋"/>
          <w:color w:val="auto"/>
          <w:sz w:val="32"/>
          <w:szCs w:val="32"/>
          <w:highlight w:val="none"/>
          <w:lang w:val="en-US" w:eastAsia="zh-CN"/>
        </w:rPr>
        <w:t>开展“爱心妈妈”结对帮扶不少于20人。</w:t>
      </w:r>
    </w:p>
    <w:p w14:paraId="626F0736">
      <w:pPr>
        <w:pStyle w:val="13"/>
        <w:numPr>
          <w:ilvl w:val="0"/>
          <w:numId w:val="2"/>
        </w:numPr>
        <w:spacing w:line="600" w:lineRule="exact"/>
        <w:ind w:left="0" w:leftChars="0" w:firstLine="640" w:firstLineChars="200"/>
        <w:rPr>
          <w:rFonts w:hint="eastAsia" w:eastAsia="仿宋"/>
          <w:color w:val="auto"/>
          <w:sz w:val="32"/>
          <w:szCs w:val="32"/>
          <w:highlight w:val="none"/>
          <w:lang w:val="en-US" w:eastAsia="zh-CN"/>
        </w:rPr>
      </w:pPr>
      <w:r>
        <w:rPr>
          <w:rFonts w:hint="eastAsia" w:eastAsia="仿宋"/>
          <w:color w:val="auto"/>
          <w:sz w:val="32"/>
          <w:szCs w:val="32"/>
          <w:highlight w:val="none"/>
          <w:lang w:val="en-US" w:eastAsia="zh-CN"/>
        </w:rPr>
        <w:t>开展各级妇联执委培训不少于2场。</w:t>
      </w:r>
    </w:p>
    <w:p w14:paraId="2CE0DA86">
      <w:pPr>
        <w:pStyle w:val="13"/>
        <w:numPr>
          <w:ilvl w:val="0"/>
          <w:numId w:val="2"/>
        </w:numPr>
        <w:spacing w:line="600" w:lineRule="exact"/>
        <w:ind w:left="0" w:leftChars="0" w:firstLine="640" w:firstLineChars="200"/>
        <w:rPr>
          <w:rFonts w:hint="eastAsia" w:eastAsia="仿宋"/>
          <w:color w:val="auto"/>
          <w:sz w:val="32"/>
          <w:szCs w:val="32"/>
          <w:highlight w:val="none"/>
          <w:lang w:val="en-US" w:eastAsia="zh-CN"/>
        </w:rPr>
      </w:pPr>
      <w:r>
        <w:rPr>
          <w:rFonts w:hint="eastAsia" w:eastAsia="仿宋"/>
          <w:color w:val="auto"/>
          <w:sz w:val="32"/>
          <w:szCs w:val="32"/>
          <w:highlight w:val="none"/>
          <w:lang w:val="en-US" w:eastAsia="zh-CN"/>
        </w:rPr>
        <w:t>开展“三新”领域组织建设。</w:t>
      </w:r>
    </w:p>
    <w:p w14:paraId="02F22F78">
      <w:pPr>
        <w:pStyle w:val="13"/>
        <w:numPr>
          <w:ilvl w:val="0"/>
          <w:numId w:val="2"/>
        </w:numPr>
        <w:spacing w:line="600" w:lineRule="exact"/>
        <w:ind w:left="0" w:leftChars="0" w:firstLine="640" w:firstLineChars="200"/>
        <w:rPr>
          <w:rFonts w:hint="eastAsia" w:eastAsia="仿宋"/>
          <w:color w:val="auto"/>
          <w:sz w:val="32"/>
          <w:szCs w:val="32"/>
          <w:highlight w:val="none"/>
          <w:lang w:val="en-US" w:eastAsia="zh-CN"/>
        </w:rPr>
      </w:pPr>
      <w:r>
        <w:rPr>
          <w:rFonts w:hint="eastAsia" w:eastAsia="仿宋"/>
          <w:color w:val="auto"/>
          <w:sz w:val="32"/>
          <w:szCs w:val="32"/>
          <w:highlight w:val="none"/>
          <w:lang w:val="en-US" w:eastAsia="zh-CN"/>
        </w:rPr>
        <w:t>推荐巾帼家政服务进社区，指导打造10个试点，培育一家巾帼家政企业。</w:t>
      </w:r>
    </w:p>
    <w:p w14:paraId="27FF094F">
      <w:pPr>
        <w:pStyle w:val="13"/>
        <w:numPr>
          <w:ilvl w:val="0"/>
          <w:numId w:val="2"/>
        </w:numPr>
        <w:spacing w:line="600" w:lineRule="exact"/>
        <w:ind w:left="0" w:leftChars="0" w:firstLine="640" w:firstLineChars="200"/>
        <w:rPr>
          <w:rFonts w:hint="eastAsia" w:eastAsia="仿宋"/>
          <w:color w:val="auto"/>
          <w:sz w:val="32"/>
          <w:szCs w:val="32"/>
          <w:highlight w:val="none"/>
          <w:lang w:val="en-US" w:eastAsia="zh-CN"/>
        </w:rPr>
      </w:pPr>
      <w:r>
        <w:rPr>
          <w:rFonts w:hint="eastAsia" w:eastAsia="仿宋"/>
          <w:color w:val="auto"/>
          <w:sz w:val="32"/>
          <w:szCs w:val="32"/>
          <w:highlight w:val="none"/>
          <w:lang w:val="en-US" w:eastAsia="zh-CN"/>
        </w:rPr>
        <w:t>开展星火志愿服务普法维权、青少年权益保护、家庭教育不少于12场。</w:t>
      </w:r>
    </w:p>
    <w:p w14:paraId="0A8CB54A">
      <w:pPr>
        <w:pStyle w:val="13"/>
        <w:numPr>
          <w:ilvl w:val="0"/>
          <w:numId w:val="0"/>
        </w:numPr>
        <w:spacing w:line="600" w:lineRule="exact"/>
        <w:ind w:leftChars="200" w:firstLine="320" w:firstLineChars="100"/>
        <w:rPr>
          <w:rFonts w:hint="eastAsia" w:eastAsia="仿宋"/>
          <w:color w:val="auto"/>
          <w:sz w:val="32"/>
          <w:szCs w:val="32"/>
          <w:highlight w:val="none"/>
          <w:lang w:val="en-US" w:eastAsia="zh-CN"/>
        </w:rPr>
      </w:pPr>
      <w:r>
        <w:rPr>
          <w:rFonts w:hint="eastAsia" w:eastAsia="仿宋"/>
          <w:color w:val="auto"/>
          <w:sz w:val="32"/>
          <w:szCs w:val="32"/>
          <w:highlight w:val="none"/>
          <w:lang w:val="en-US" w:eastAsia="zh-CN"/>
        </w:rPr>
        <w:t>2、2024年度部门专项资金绩效目标</w:t>
      </w:r>
    </w:p>
    <w:p w14:paraId="417E8521">
      <w:pPr>
        <w:pStyle w:val="13"/>
        <w:spacing w:line="600" w:lineRule="exact"/>
        <w:ind w:firstLine="643"/>
        <w:rPr>
          <w:rFonts w:hint="eastAsia" w:eastAsia="仿宋"/>
          <w:color w:val="auto"/>
          <w:sz w:val="32"/>
          <w:szCs w:val="32"/>
          <w:highlight w:val="none"/>
          <w:lang w:val="en-US" w:eastAsia="zh-CN"/>
        </w:rPr>
      </w:pPr>
      <w:r>
        <w:rPr>
          <w:rFonts w:hint="eastAsia" w:eastAsia="仿宋"/>
          <w:color w:val="auto"/>
          <w:sz w:val="32"/>
          <w:szCs w:val="32"/>
          <w:highlight w:val="none"/>
          <w:lang w:val="en-US" w:eastAsia="zh-CN"/>
        </w:rPr>
        <w:t xml:space="preserve">   妇女儿童发展</w:t>
      </w:r>
      <w:r>
        <w:rPr>
          <w:rFonts w:hint="eastAsia" w:ascii="Times New Roman" w:hAnsi="Times New Roman" w:eastAsia="仿宋_GB2312"/>
          <w:color w:val="auto"/>
          <w:sz w:val="32"/>
          <w:szCs w:val="32"/>
          <w:highlight w:val="none"/>
          <w:lang w:val="en-US" w:eastAsia="zh-CN"/>
        </w:rPr>
        <w:t>。</w:t>
      </w:r>
    </w:p>
    <w:p w14:paraId="283B2FC6">
      <w:pPr>
        <w:pStyle w:val="13"/>
        <w:numPr>
          <w:ilvl w:val="0"/>
          <w:numId w:val="3"/>
        </w:numPr>
        <w:spacing w:line="600" w:lineRule="exact"/>
        <w:ind w:firstLine="643"/>
        <w:rPr>
          <w:rFonts w:hint="eastAsia" w:eastAsia="仿宋"/>
          <w:color w:val="auto"/>
          <w:sz w:val="32"/>
          <w:szCs w:val="32"/>
          <w:highlight w:val="none"/>
          <w:lang w:val="en-US" w:eastAsia="zh-CN"/>
        </w:rPr>
      </w:pPr>
      <w:r>
        <w:rPr>
          <w:rFonts w:hint="eastAsia" w:eastAsia="仿宋"/>
          <w:color w:val="auto"/>
          <w:sz w:val="32"/>
          <w:szCs w:val="32"/>
          <w:highlight w:val="none"/>
          <w:lang w:val="en-US" w:eastAsia="zh-CN"/>
        </w:rPr>
        <w:t>其他项目支出绩效目标</w:t>
      </w:r>
    </w:p>
    <w:p w14:paraId="3F28F87E">
      <w:pPr>
        <w:pStyle w:val="13"/>
        <w:numPr>
          <w:ilvl w:val="0"/>
          <w:numId w:val="0"/>
        </w:numPr>
        <w:spacing w:line="600" w:lineRule="exact"/>
        <w:rPr>
          <w:rFonts w:hint="default" w:eastAsia="仿宋"/>
          <w:color w:val="auto"/>
          <w:sz w:val="32"/>
          <w:szCs w:val="32"/>
          <w:highlight w:val="none"/>
          <w:lang w:val="en-US" w:eastAsia="zh-CN"/>
        </w:rPr>
      </w:pPr>
      <w:r>
        <w:rPr>
          <w:rFonts w:hint="eastAsia" w:eastAsia="仿宋"/>
          <w:color w:val="auto"/>
          <w:sz w:val="32"/>
          <w:szCs w:val="32"/>
          <w:highlight w:val="none"/>
          <w:lang w:val="en-US" w:eastAsia="zh-CN"/>
        </w:rPr>
        <w:t xml:space="preserve">    无</w:t>
      </w:r>
    </w:p>
    <w:p w14:paraId="41F5E69D">
      <w:pPr>
        <w:pStyle w:val="13"/>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6FF5C6DC">
      <w:pPr>
        <w:pStyle w:val="13"/>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771FCB66">
      <w:pPr>
        <w:pStyle w:val="13"/>
        <w:spacing w:line="600" w:lineRule="exact"/>
        <w:ind w:firstLine="643"/>
        <w:rPr>
          <w:rFonts w:eastAsia="仿宋"/>
          <w:color w:val="000000"/>
          <w:sz w:val="32"/>
          <w:szCs w:val="32"/>
        </w:rPr>
      </w:pPr>
      <w:r>
        <w:rPr>
          <w:rFonts w:hint="eastAsia" w:ascii="Times New Roman" w:hAnsi="Times New Roman" w:eastAsia="楷体_GB2312"/>
          <w:b/>
          <w:sz w:val="32"/>
          <w:szCs w:val="32"/>
          <w:lang w:val="en-US" w:eastAsia="zh-CN"/>
        </w:rPr>
        <w:t>1、</w:t>
      </w:r>
      <w:r>
        <w:rPr>
          <w:rFonts w:hint="eastAsia" w:eastAsia="仿宋"/>
          <w:color w:val="000000"/>
          <w:sz w:val="32"/>
          <w:szCs w:val="32"/>
          <w:lang w:eastAsia="zh-CN"/>
        </w:rPr>
        <w:t>2024</w:t>
      </w:r>
      <w:r>
        <w:rPr>
          <w:rFonts w:eastAsia="仿宋"/>
          <w:color w:val="000000"/>
          <w:sz w:val="32"/>
          <w:szCs w:val="32"/>
        </w:rPr>
        <w:t>年预算资金</w:t>
      </w:r>
      <w:r>
        <w:rPr>
          <w:rFonts w:hint="eastAsia" w:eastAsia="仿宋"/>
          <w:color w:val="000000"/>
          <w:sz w:val="32"/>
          <w:szCs w:val="32"/>
          <w:lang w:val="en-US" w:eastAsia="zh-CN"/>
        </w:rPr>
        <w:t>98.02万元。</w:t>
      </w:r>
    </w:p>
    <w:p w14:paraId="3603DDD2">
      <w:pPr>
        <w:pStyle w:val="13"/>
        <w:spacing w:line="600" w:lineRule="exact"/>
        <w:ind w:firstLine="643"/>
        <w:rPr>
          <w:rFonts w:hint="default" w:eastAsia="仿宋"/>
          <w:color w:val="auto"/>
          <w:sz w:val="32"/>
          <w:szCs w:val="32"/>
          <w:lang w:val="en-US" w:eastAsia="zh-CN"/>
        </w:rPr>
      </w:pPr>
      <w:r>
        <w:rPr>
          <w:rFonts w:hint="eastAsia" w:eastAsia="仿宋"/>
          <w:color w:val="auto"/>
          <w:sz w:val="32"/>
          <w:szCs w:val="32"/>
          <w:lang w:val="en-US" w:eastAsia="zh-CN"/>
        </w:rPr>
        <w:t>2、2024年度</w:t>
      </w:r>
      <w:r>
        <w:rPr>
          <w:rFonts w:eastAsia="仿宋"/>
          <w:color w:val="auto"/>
          <w:sz w:val="32"/>
          <w:szCs w:val="32"/>
        </w:rPr>
        <w:t>单位</w:t>
      </w:r>
      <w:r>
        <w:rPr>
          <w:rFonts w:hint="eastAsia" w:eastAsia="仿宋"/>
          <w:color w:val="auto"/>
          <w:sz w:val="32"/>
          <w:szCs w:val="32"/>
        </w:rPr>
        <w:t>一般公共预算财政拨款</w:t>
      </w:r>
      <w:r>
        <w:rPr>
          <w:rFonts w:eastAsia="仿宋"/>
          <w:color w:val="auto"/>
          <w:sz w:val="32"/>
          <w:szCs w:val="32"/>
        </w:rPr>
        <w:t>收入</w:t>
      </w:r>
      <w:r>
        <w:rPr>
          <w:rFonts w:hint="eastAsia" w:eastAsia="仿宋"/>
          <w:color w:val="auto"/>
          <w:sz w:val="32"/>
          <w:szCs w:val="32"/>
          <w:lang w:val="en-US" w:eastAsia="zh-CN"/>
        </w:rPr>
        <w:t>130.14万元。</w:t>
      </w:r>
    </w:p>
    <w:p w14:paraId="555B84F6">
      <w:pPr>
        <w:spacing w:line="580" w:lineRule="exact"/>
        <w:ind w:firstLine="640" w:firstLineChars="200"/>
        <w:rPr>
          <w:rFonts w:hint="eastAsia" w:eastAsia="仿宋"/>
          <w:color w:val="0000FF"/>
          <w:sz w:val="32"/>
          <w:szCs w:val="32"/>
          <w:lang w:val="en-US" w:eastAsia="zh-CN"/>
        </w:rPr>
      </w:pPr>
      <w:r>
        <w:rPr>
          <w:rFonts w:hint="eastAsia" w:eastAsia="仿宋"/>
          <w:color w:val="auto"/>
          <w:sz w:val="32"/>
          <w:szCs w:val="32"/>
          <w:lang w:val="en-US" w:eastAsia="zh-CN"/>
        </w:rPr>
        <w:t>3、2024年度</w:t>
      </w:r>
      <w:r>
        <w:rPr>
          <w:rFonts w:eastAsia="仿宋"/>
          <w:color w:val="auto"/>
          <w:sz w:val="32"/>
          <w:szCs w:val="32"/>
        </w:rPr>
        <w:t>单位</w:t>
      </w:r>
      <w:r>
        <w:rPr>
          <w:rFonts w:hint="eastAsia" w:eastAsia="仿宋"/>
          <w:color w:val="auto"/>
          <w:sz w:val="32"/>
          <w:szCs w:val="32"/>
        </w:rPr>
        <w:t>一般公共预算财政拨款</w:t>
      </w:r>
      <w:r>
        <w:rPr>
          <w:rFonts w:hint="eastAsia" w:eastAsia="仿宋"/>
          <w:color w:val="auto"/>
          <w:sz w:val="32"/>
          <w:szCs w:val="32"/>
          <w:lang w:eastAsia="zh-CN"/>
        </w:rPr>
        <w:t>支出</w:t>
      </w:r>
      <w:r>
        <w:rPr>
          <w:rFonts w:hint="eastAsia" w:eastAsia="仿宋"/>
          <w:color w:val="auto"/>
          <w:sz w:val="32"/>
          <w:szCs w:val="32"/>
          <w:lang w:val="en-US" w:eastAsia="zh-CN"/>
        </w:rPr>
        <w:t>130.14万元</w:t>
      </w:r>
      <w:r>
        <w:rPr>
          <w:rFonts w:eastAsia="仿宋"/>
          <w:color w:val="auto"/>
          <w:sz w:val="32"/>
          <w:szCs w:val="32"/>
        </w:rPr>
        <w:t>其中：项目支出</w:t>
      </w:r>
      <w:r>
        <w:rPr>
          <w:rFonts w:hint="eastAsia" w:eastAsia="仿宋"/>
          <w:color w:val="auto"/>
          <w:sz w:val="32"/>
          <w:szCs w:val="32"/>
          <w:lang w:val="en-US" w:eastAsia="zh-CN"/>
        </w:rPr>
        <w:t>46.25</w:t>
      </w:r>
      <w:r>
        <w:rPr>
          <w:rFonts w:eastAsia="仿宋"/>
          <w:color w:val="auto"/>
          <w:sz w:val="32"/>
          <w:szCs w:val="32"/>
        </w:rPr>
        <w:t>万元，基本支出</w:t>
      </w:r>
      <w:r>
        <w:rPr>
          <w:rFonts w:hint="eastAsia" w:eastAsia="仿宋"/>
          <w:color w:val="auto"/>
          <w:sz w:val="32"/>
          <w:szCs w:val="32"/>
          <w:lang w:val="en-US" w:eastAsia="zh-CN"/>
        </w:rPr>
        <w:t>83.9</w:t>
      </w:r>
      <w:r>
        <w:rPr>
          <w:rFonts w:eastAsia="仿宋"/>
          <w:color w:val="auto"/>
          <w:sz w:val="32"/>
          <w:szCs w:val="32"/>
        </w:rPr>
        <w:t>万元，其中：人员经费</w:t>
      </w:r>
      <w:r>
        <w:rPr>
          <w:rFonts w:hint="eastAsia" w:eastAsia="仿宋"/>
          <w:color w:val="auto"/>
          <w:sz w:val="32"/>
          <w:szCs w:val="32"/>
          <w:lang w:val="en-US" w:eastAsia="zh-CN"/>
        </w:rPr>
        <w:t>76.82</w:t>
      </w:r>
      <w:r>
        <w:rPr>
          <w:rFonts w:eastAsia="仿宋"/>
          <w:color w:val="auto"/>
          <w:sz w:val="32"/>
          <w:szCs w:val="32"/>
        </w:rPr>
        <w:t>万元，公用经费</w:t>
      </w:r>
      <w:r>
        <w:rPr>
          <w:rFonts w:hint="eastAsia" w:eastAsia="仿宋"/>
          <w:color w:val="auto"/>
          <w:sz w:val="32"/>
          <w:szCs w:val="32"/>
          <w:lang w:val="en-US" w:eastAsia="zh-CN"/>
        </w:rPr>
        <w:t>7.08万</w:t>
      </w:r>
      <w:r>
        <w:rPr>
          <w:rFonts w:eastAsia="仿宋"/>
          <w:color w:val="auto"/>
          <w:sz w:val="32"/>
          <w:szCs w:val="32"/>
        </w:rPr>
        <w:t>元。</w:t>
      </w:r>
    </w:p>
    <w:p w14:paraId="6CA7FD3D">
      <w:pPr>
        <w:pStyle w:val="13"/>
        <w:numPr>
          <w:ilvl w:val="0"/>
          <w:numId w:val="4"/>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64794C4D">
      <w:pPr>
        <w:pStyle w:val="13"/>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一般公共服务支出8.03万元；</w:t>
      </w:r>
    </w:p>
    <w:p w14:paraId="0B3ABB6E">
      <w:pPr>
        <w:pStyle w:val="13"/>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rPr>
        <w:t>社会保障和就业</w:t>
      </w:r>
      <w:r>
        <w:rPr>
          <w:rFonts w:hint="eastAsia" w:ascii="Times New Roman" w:hAnsi="Times New Roman" w:eastAsia="仿宋" w:cs="Times New Roman"/>
          <w:color w:val="auto"/>
          <w:kern w:val="2"/>
          <w:sz w:val="32"/>
          <w:szCs w:val="32"/>
          <w:lang w:val="en-US" w:eastAsia="zh-CN" w:bidi="ar-SA"/>
        </w:rPr>
        <w:t>支出15.22万元；</w:t>
      </w:r>
    </w:p>
    <w:p w14:paraId="5D05EB17">
      <w:pPr>
        <w:pStyle w:val="13"/>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rPr>
        <w:t>卫生健康支出</w:t>
      </w:r>
      <w:r>
        <w:rPr>
          <w:rFonts w:hint="eastAsia" w:ascii="Times New Roman" w:hAnsi="Times New Roman" w:eastAsia="仿宋" w:cs="Times New Roman"/>
          <w:color w:val="auto"/>
          <w:kern w:val="2"/>
          <w:sz w:val="32"/>
          <w:szCs w:val="32"/>
          <w:lang w:val="en-US" w:eastAsia="zh-CN" w:bidi="ar-SA"/>
        </w:rPr>
        <w:t>7.27万元；</w:t>
      </w:r>
    </w:p>
    <w:p w14:paraId="42FB6D98">
      <w:pPr>
        <w:pStyle w:val="13"/>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rPr>
        <w:t>城乡社区</w:t>
      </w:r>
      <w:r>
        <w:rPr>
          <w:rFonts w:hint="eastAsia" w:ascii="Times New Roman" w:hAnsi="Times New Roman" w:eastAsia="仿宋" w:cs="Times New Roman"/>
          <w:color w:val="auto"/>
          <w:kern w:val="2"/>
          <w:sz w:val="32"/>
          <w:szCs w:val="32"/>
          <w:lang w:val="en-US" w:eastAsia="zh-CN" w:bidi="ar-SA"/>
        </w:rPr>
        <w:t>支出96.07万元；</w:t>
      </w:r>
    </w:p>
    <w:p w14:paraId="352C1389">
      <w:pPr>
        <w:pStyle w:val="13"/>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lang w:val="en-US" w:eastAsia="zh-CN"/>
        </w:rPr>
        <w:t>住房保障支出198.43万元</w:t>
      </w:r>
    </w:p>
    <w:p w14:paraId="7810C90B">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（一）整体支出绩效情况</w:t>
      </w:r>
    </w:p>
    <w:p w14:paraId="1B4EF0DF">
      <w:pPr>
        <w:numPr>
          <w:ilvl w:val="0"/>
          <w:numId w:val="0"/>
        </w:numPr>
        <w:spacing w:line="56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本单位202</w:t>
      </w:r>
      <w:r>
        <w:rPr>
          <w:rFonts w:hint="eastAsia"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年年初预算资金总计</w:t>
      </w:r>
      <w:r>
        <w:rPr>
          <w:rFonts w:hint="eastAsia" w:eastAsia="仿宋"/>
          <w:color w:val="000000"/>
          <w:sz w:val="32"/>
          <w:szCs w:val="32"/>
          <w:lang w:val="en-US" w:eastAsia="zh-CN"/>
        </w:rPr>
        <w:t>98.02</w:t>
      </w:r>
      <w:r>
        <w:rPr>
          <w:rFonts w:hint="eastAsia" w:ascii="Times New Roman" w:hAnsi="Times New Roman" w:eastAsia="仿宋_GB2312" w:cs="Times New Roman"/>
          <w:color w:val="auto"/>
          <w:sz w:val="32"/>
          <w:szCs w:val="32"/>
          <w:lang w:val="en-US" w:eastAsia="zh-CN"/>
        </w:rPr>
        <w:t>万元，实际单位年度总支出143.92万元，预算执行率为1</w:t>
      </w:r>
      <w:r>
        <w:rPr>
          <w:rFonts w:hint="eastAsia" w:eastAsia="仿宋_GB2312" w:cs="Times New Roman"/>
          <w:color w:val="auto"/>
          <w:sz w:val="32"/>
          <w:szCs w:val="32"/>
          <w:lang w:val="en-US" w:eastAsia="zh-CN"/>
        </w:rPr>
        <w:t>46.82</w:t>
      </w:r>
      <w:r>
        <w:rPr>
          <w:rFonts w:hint="eastAsia" w:ascii="Times New Roman" w:hAnsi="Times New Roman" w:eastAsia="仿宋_GB2312" w:cs="Times New Roman"/>
          <w:color w:val="auto"/>
          <w:sz w:val="32"/>
          <w:szCs w:val="32"/>
          <w:lang w:val="en-US" w:eastAsia="zh-CN"/>
        </w:rPr>
        <w:t>%。积极履职，强化管理，较好的完成了年度工作目标。</w:t>
      </w:r>
    </w:p>
    <w:p w14:paraId="2C8C9F3C">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（二）项目支出绩效情况</w:t>
      </w:r>
    </w:p>
    <w:p w14:paraId="464439A3">
      <w:pPr>
        <w:pStyle w:val="13"/>
        <w:spacing w:line="560" w:lineRule="exact"/>
        <w:ind w:firstLine="64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1.资金使用</w:t>
      </w:r>
    </w:p>
    <w:p w14:paraId="4BC0680E">
      <w:pPr>
        <w:pStyle w:val="13"/>
        <w:spacing w:line="560" w:lineRule="exact"/>
        <w:ind w:firstLine="64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（1）严格资金使用管理。我单位制定了内部控制手册，涵盖了内部控制体系的建立、相关财务收支、政府采购、预算业务、资产管理、费用报销、合同管理、建设项目等业务方面管理制度。</w:t>
      </w:r>
    </w:p>
    <w:p w14:paraId="5C06E064">
      <w:pPr>
        <w:pStyle w:val="8"/>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lang w:eastAsia="zh-CN"/>
        </w:rPr>
        <w:t>（2）切实做到专款专用。</w:t>
      </w:r>
      <w:r>
        <w:rPr>
          <w:rFonts w:hint="eastAsia" w:ascii="Times New Roman" w:hAnsi="Times New Roman" w:eastAsia="仿宋_GB2312" w:cs="Times New Roman"/>
          <w:color w:val="auto"/>
          <w:kern w:val="2"/>
          <w:sz w:val="32"/>
          <w:szCs w:val="32"/>
          <w:lang w:val="en-US" w:eastAsia="zh-CN" w:bidi="ar-SA"/>
        </w:rPr>
        <w:t>本部门202</w:t>
      </w:r>
      <w:r>
        <w:rPr>
          <w:rFonts w:hint="eastAsia"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kern w:val="2"/>
          <w:sz w:val="32"/>
          <w:szCs w:val="32"/>
          <w:lang w:val="en-US" w:eastAsia="zh-CN" w:bidi="ar-SA"/>
        </w:rPr>
        <w:t>年年初预算专项资金共</w:t>
      </w:r>
      <w:r>
        <w:rPr>
          <w:rFonts w:hint="eastAsia" w:eastAsia="仿宋_GB2312" w:cs="Times New Roman"/>
          <w:color w:val="auto"/>
          <w:kern w:val="2"/>
          <w:sz w:val="32"/>
          <w:szCs w:val="32"/>
          <w:highlight w:val="none"/>
          <w:lang w:val="en-US" w:eastAsia="zh-CN" w:bidi="ar-SA"/>
        </w:rPr>
        <w:t>5</w:t>
      </w:r>
      <w:r>
        <w:rPr>
          <w:rFonts w:hint="eastAsia" w:ascii="Times New Roman" w:hAnsi="Times New Roman" w:eastAsia="仿宋_GB2312" w:cs="Times New Roman"/>
          <w:color w:val="auto"/>
          <w:kern w:val="2"/>
          <w:sz w:val="32"/>
          <w:szCs w:val="32"/>
          <w:highlight w:val="none"/>
          <w:lang w:val="en-US" w:eastAsia="zh-CN" w:bidi="ar-SA"/>
        </w:rPr>
        <w:t>个，具体情况如下：</w:t>
      </w:r>
    </w:p>
    <w:p w14:paraId="57B816BF">
      <w:pPr>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一是妇女儿童事业发展经费，预算支出1</w:t>
      </w:r>
      <w:r>
        <w:rPr>
          <w:rFonts w:hint="eastAsia" w:eastAsia="仿宋_GB2312" w:cs="Times New Roman"/>
          <w:color w:val="auto"/>
          <w:kern w:val="2"/>
          <w:sz w:val="32"/>
          <w:szCs w:val="32"/>
          <w:highlight w:val="none"/>
          <w:lang w:val="en-US" w:eastAsia="zh-CN" w:bidi="ar-SA"/>
        </w:rPr>
        <w:t>6</w:t>
      </w:r>
      <w:r>
        <w:rPr>
          <w:rFonts w:hint="eastAsia" w:ascii="Times New Roman" w:hAnsi="Times New Roman" w:eastAsia="仿宋_GB2312" w:cs="Times New Roman"/>
          <w:color w:val="auto"/>
          <w:kern w:val="2"/>
          <w:sz w:val="32"/>
          <w:szCs w:val="32"/>
          <w:highlight w:val="none"/>
          <w:lang w:val="en-US" w:eastAsia="zh-CN" w:bidi="ar-SA"/>
        </w:rPr>
        <w:t>.00万元，</w:t>
      </w:r>
      <w:r>
        <w:rPr>
          <w:rFonts w:hint="eastAsia" w:eastAsia="仿宋_GB2312" w:cs="Times New Roman"/>
          <w:color w:val="auto"/>
          <w:kern w:val="2"/>
          <w:sz w:val="32"/>
          <w:szCs w:val="32"/>
          <w:highlight w:val="none"/>
          <w:lang w:val="en-US" w:eastAsia="zh-CN" w:bidi="ar-SA"/>
        </w:rPr>
        <w:t>年初结余8.28万元，</w:t>
      </w:r>
      <w:r>
        <w:rPr>
          <w:rFonts w:hint="eastAsia" w:ascii="Times New Roman" w:hAnsi="Times New Roman" w:eastAsia="仿宋_GB2312" w:cs="Times New Roman"/>
          <w:sz w:val="32"/>
          <w:szCs w:val="32"/>
          <w:highlight w:val="none"/>
        </w:rPr>
        <w:t>年中执行</w:t>
      </w:r>
      <w:r>
        <w:rPr>
          <w:rFonts w:hint="eastAsia" w:eastAsia="仿宋_GB2312" w:cs="Times New Roman"/>
          <w:sz w:val="32"/>
          <w:szCs w:val="32"/>
          <w:highlight w:val="none"/>
          <w:lang w:eastAsia="zh-CN"/>
        </w:rPr>
        <w:t>调</w:t>
      </w:r>
      <w:r>
        <w:rPr>
          <w:rFonts w:hint="eastAsia" w:ascii="Times New Roman" w:hAnsi="Times New Roman" w:eastAsia="仿宋_GB2312" w:cs="Times New Roman"/>
          <w:sz w:val="32"/>
          <w:szCs w:val="32"/>
          <w:highlight w:val="none"/>
        </w:rPr>
        <w:t>减</w:t>
      </w:r>
      <w:r>
        <w:rPr>
          <w:rFonts w:hint="eastAsia" w:eastAsia="仿宋_GB2312" w:cs="Times New Roman"/>
          <w:sz w:val="32"/>
          <w:szCs w:val="32"/>
          <w:highlight w:val="none"/>
          <w:lang w:val="en-US" w:eastAsia="zh-CN"/>
        </w:rPr>
        <w:t>8.28</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color w:val="auto"/>
          <w:kern w:val="2"/>
          <w:sz w:val="32"/>
          <w:szCs w:val="32"/>
          <w:highlight w:val="none"/>
          <w:lang w:val="en-US" w:eastAsia="zh-CN" w:bidi="ar-SA"/>
        </w:rPr>
        <w:t>实际支出</w:t>
      </w:r>
      <w:r>
        <w:rPr>
          <w:rFonts w:hint="eastAsia" w:eastAsia="仿宋_GB2312" w:cs="Times New Roman"/>
          <w:color w:val="auto"/>
          <w:kern w:val="2"/>
          <w:sz w:val="32"/>
          <w:szCs w:val="32"/>
          <w:highlight w:val="none"/>
          <w:lang w:val="en-US" w:eastAsia="zh-CN" w:bidi="ar-SA"/>
        </w:rPr>
        <w:t>16.00</w:t>
      </w:r>
      <w:r>
        <w:rPr>
          <w:rFonts w:hint="eastAsia" w:ascii="Times New Roman" w:hAnsi="Times New Roman"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sz w:val="32"/>
          <w:szCs w:val="32"/>
          <w:highlight w:val="none"/>
        </w:rPr>
        <w:t>，结余结转</w:t>
      </w:r>
      <w:r>
        <w:rPr>
          <w:rFonts w:hint="eastAsia" w:eastAsia="仿宋_GB2312" w:cs="Times New Roman"/>
          <w:sz w:val="32"/>
          <w:szCs w:val="32"/>
          <w:highlight w:val="none"/>
          <w:lang w:val="en-US" w:eastAsia="zh-CN"/>
        </w:rPr>
        <w:t>0.00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auto"/>
          <w:kern w:val="2"/>
          <w:sz w:val="32"/>
          <w:szCs w:val="32"/>
          <w:lang w:val="en-US" w:eastAsia="zh-CN" w:bidi="ar-SA"/>
        </w:rPr>
        <w:t>该专项资金支出为确保通过对“妇女儿童之家的”提标建设，完善妇女儿童在社会中的归属感和社会参与度；通过开展两癌宣传、防治、救助，加强女性自我保健意识，完成民生实事项目；通过开展创业就业培训，提高女性就业率的创业积极性；</w:t>
      </w:r>
    </w:p>
    <w:p w14:paraId="3977B8D5">
      <w:pPr>
        <w:numPr>
          <w:ilvl w:val="0"/>
          <w:numId w:val="0"/>
        </w:numPr>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绩效情况</w:t>
      </w:r>
    </w:p>
    <w:p w14:paraId="7C49BD01">
      <w:pPr>
        <w:numPr>
          <w:ilvl w:val="0"/>
          <w:numId w:val="0"/>
        </w:numPr>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（1）举办“巾帼大宣讲”“巾帼直播学习课”20余场（次），</w:t>
      </w:r>
      <w:r>
        <w:rPr>
          <w:rFonts w:hint="eastAsia" w:ascii="Times New Roman" w:hAnsi="Times New Roman" w:eastAsia="仿宋_GB2312" w:cs="Times New Roman"/>
          <w:color w:val="auto"/>
          <w:kern w:val="2"/>
          <w:sz w:val="32"/>
          <w:szCs w:val="32"/>
          <w:lang w:val="en-US" w:eastAsia="zh-CN" w:bidi="ar-SA"/>
        </w:rPr>
        <w:t>在微信公众号开辟“巾帼红·头雁课堂”专栏。强化活动凝聚，点燃“思想引擎”。开展芦淞区纪念“三八”国际妇女节、全区妇女广场舞大赛等活动。推树各级三八红旗手（集体）、巾帼建功标兵、巾帼文明岗等先进典型42个。强化媒体宣传，成就“思想格局”。构建“芦淞新女性”公众号、视频号和抖音号融媒体传播矩阵，推送各类原创推文，被株洲女性网、潇湘女性网等采用信息99条，在人民日报客户端、新湖南、凤网、株洲新闻网、株洲电视台等主流媒体发稿12条。</w:t>
      </w:r>
    </w:p>
    <w:p w14:paraId="3BD55AB5">
      <w:pPr>
        <w:numPr>
          <w:ilvl w:val="0"/>
          <w:numId w:val="0"/>
        </w:numPr>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授予株洲意法时尚中心为“芦淞区巾帼创新创业基地”，联合区人社局举办21场次主题招聘会，培育小微创业女性12名，推荐技能培训、就业洽谈6批次159余人。持续打造“湘妹子能量家园”名片，全区注册总人数为2393人，发布线上线下活动共36次。推进精准关爱，传递“巾帼”服务温度。充分发挥“花季天使”讲师团、畅想慈灯“殷妈妈”、“星火”志愿服务队的作用。联合卫健部门超额完成3154名妇女免费“两癌”筛查任务。参与“出手吧姐姐 温暖2023”活动，共筹集72448元，被市妇联评为“优秀组织单位”。</w:t>
      </w:r>
    </w:p>
    <w:p w14:paraId="022A3DFE">
      <w:pPr>
        <w:pStyle w:val="8"/>
        <w:spacing w:beforeAutospacing="0" w:afterAutospacing="0"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为市场群从业女性搭建慈善公益、创新创业、家庭教育等各类平台，芦淞市场群妇联累计开展30余场“为爱加油”“智慧父母共成长”家庭教育及婚姻情感公益培训活动，受益家庭近3000户；在邵兴城市场开展暑期公益学堂，有效缓解暑假期间孩子“看护难”问题；在意法、邵兴城市场举办招聘会、“情定214·非诚勿扰”株洲相亲大会、牵手“烈火英雄”联谊交友等系列活动。积极会同基层妇联组织针对生活困境的妇女和家庭，及时给予关心和帮助。</w:t>
      </w:r>
    </w:p>
    <w:p w14:paraId="3DE60302">
      <w:pPr>
        <w:pStyle w:val="7"/>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（4）组织50个家庭参加市家庭文化节活动；联合区纪委监委举办“家庭助廉 团团圆圆”主题活动等。组织参加市“清风润万家 廉心向未来”清廉作品征集活动，其中选送的剪纸作品获一等奖，微视频、书法作品获三等奖。举办家庭教育系列直播论坛，在线收看达6.9万人次；开展“书香飘万家 阅启新征程”主题活动；开展“月圆中秋家国同庆”亲子活动；举办“孕家国情怀 育时代新人”庆祝活动，共同构建有温度的家庭教育生态圈；开展“共‘童’成长‘育’见未来”家庭教育活动，组织100个家庭参加市级“社会开放亲子课堂”活动。广泛动员各级妇联执委、巾帼志愿者、“五老”等力量，开展全面摸牌，面向事实无人抚养儿童、农村留守儿童和困境儿童开展结对帮扶活动。发放“两癌”救助金、家庭包、暖心包、健康包等，共计6万余元。</w:t>
      </w:r>
    </w:p>
    <w:p w14:paraId="653B0718">
      <w:pPr>
        <w:pStyle w:val="8"/>
        <w:shd w:val="clear" w:color="auto" w:fill="FFFFFF"/>
        <w:spacing w:beforeAutospacing="0" w:afterAutospacing="0" w:line="560" w:lineRule="exact"/>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抓住“3.8”维权周、“5.15”国际家庭日、“6.26”国家禁毒日等时间节点，运用“报、网、端、微、屏”等媒体平台、现场宣讲、咨询等方式，累计开展各类普法宣传26场次，发出资料5000余份。夯实社会治理阵地。</w:t>
      </w:r>
    </w:p>
    <w:p w14:paraId="5D22B602">
      <w:pPr>
        <w:tabs>
          <w:tab w:val="left" w:pos="7560"/>
        </w:tabs>
        <w:adjustRightInd w:val="0"/>
        <w:snapToGrid w:val="0"/>
        <w:spacing w:line="560" w:lineRule="exact"/>
        <w:ind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七、存在的问题及原因分析</w:t>
      </w:r>
    </w:p>
    <w:p w14:paraId="7EC37A7B">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无。</w:t>
      </w:r>
    </w:p>
    <w:p w14:paraId="586B3F3D">
      <w:pPr>
        <w:numPr>
          <w:ilvl w:val="0"/>
          <w:numId w:val="0"/>
        </w:numPr>
        <w:tabs>
          <w:tab w:val="left" w:pos="7560"/>
        </w:tabs>
        <w:adjustRightInd w:val="0"/>
        <w:snapToGrid w:val="0"/>
        <w:spacing w:line="560" w:lineRule="exact"/>
        <w:ind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八、</w:t>
      </w:r>
      <w:r>
        <w:rPr>
          <w:rFonts w:hint="eastAsia" w:ascii="Times New Roman" w:hAnsi="Times New Roman" w:eastAsia="黑体" w:cs="Times New Roman"/>
          <w:color w:val="auto"/>
          <w:sz w:val="32"/>
          <w:szCs w:val="32"/>
        </w:rPr>
        <w:t>下一步改进措施</w:t>
      </w:r>
    </w:p>
    <w:p w14:paraId="3B4BD7B3">
      <w:pPr>
        <w:pStyle w:val="17"/>
        <w:numPr>
          <w:ilvl w:val="0"/>
          <w:numId w:val="0"/>
        </w:numPr>
        <w:spacing w:after="0"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无。</w:t>
      </w:r>
    </w:p>
    <w:p w14:paraId="4E10A6AA">
      <w:pPr>
        <w:tabs>
          <w:tab w:val="left" w:pos="7560"/>
        </w:tabs>
        <w:adjustRightInd w:val="0"/>
        <w:snapToGrid w:val="0"/>
        <w:spacing w:line="560" w:lineRule="exact"/>
        <w:ind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九、部门整体支出绩效自评结果拟应用和公开情况</w:t>
      </w:r>
    </w:p>
    <w:p w14:paraId="4D7633D1">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本单位无独立网站，绩效自评报告将在政府门户网站与决算报告一起公开。</w:t>
      </w:r>
    </w:p>
    <w:p w14:paraId="013F1457">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1814F9E2">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无</w:t>
      </w:r>
    </w:p>
    <w:p w14:paraId="7665A14D">
      <w:pPr>
        <w:spacing w:line="600" w:lineRule="exact"/>
        <w:rPr>
          <w:rFonts w:eastAsia="仿宋_GB2312"/>
          <w:kern w:val="0"/>
          <w:sz w:val="32"/>
          <w:szCs w:val="32"/>
        </w:rPr>
      </w:pPr>
    </w:p>
    <w:p w14:paraId="07B8EE33">
      <w:r>
        <w:rPr>
          <w:rFonts w:eastAsia="黑体"/>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abstractNum w:abstractNumId="1">
    <w:nsid w:val="68F4CC69"/>
    <w:multiLevelType w:val="singleLevel"/>
    <w:tmpl w:val="68F4CC69"/>
    <w:lvl w:ilvl="0" w:tentative="0">
      <w:start w:val="1"/>
      <w:numFmt w:val="chineseCounting"/>
      <w:suff w:val="nothing"/>
      <w:lvlText w:val="（%1）"/>
      <w:lvlJc w:val="left"/>
    </w:lvl>
  </w:abstractNum>
  <w:abstractNum w:abstractNumId="2">
    <w:nsid w:val="68F4CE96"/>
    <w:multiLevelType w:val="singleLevel"/>
    <w:tmpl w:val="68F4CE96"/>
    <w:lvl w:ilvl="0" w:tentative="0">
      <w:start w:val="1"/>
      <w:numFmt w:val="decimal"/>
      <w:suff w:val="nothing"/>
      <w:lvlText w:val="（%1）"/>
      <w:lvlJc w:val="left"/>
    </w:lvl>
  </w:abstractNum>
  <w:abstractNum w:abstractNumId="3">
    <w:nsid w:val="68F4CFEB"/>
    <w:multiLevelType w:val="singleLevel"/>
    <w:tmpl w:val="68F4CFEB"/>
    <w:lvl w:ilvl="0" w:tentative="0">
      <w:start w:val="3"/>
      <w:numFmt w:val="decimal"/>
      <w:suff w:val="nothing"/>
      <w:lvlText w:val="%1、"/>
      <w:lvlJc w:val="left"/>
    </w:lvl>
  </w:abstractNum>
  <w:abstractNum w:abstractNumId="4">
    <w:nsid w:val="68F4D194"/>
    <w:multiLevelType w:val="singleLevel"/>
    <w:tmpl w:val="68F4D194"/>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D3B91"/>
    <w:rsid w:val="02AE4CCA"/>
    <w:rsid w:val="02D92DDA"/>
    <w:rsid w:val="03287320"/>
    <w:rsid w:val="03AE3AC0"/>
    <w:rsid w:val="03FA6217"/>
    <w:rsid w:val="046063A3"/>
    <w:rsid w:val="048E4A8E"/>
    <w:rsid w:val="04A8621F"/>
    <w:rsid w:val="052D1124"/>
    <w:rsid w:val="05841760"/>
    <w:rsid w:val="058C239E"/>
    <w:rsid w:val="06334EF1"/>
    <w:rsid w:val="06377F01"/>
    <w:rsid w:val="065D2B53"/>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6233C8"/>
    <w:rsid w:val="1B9D302A"/>
    <w:rsid w:val="1BF446CE"/>
    <w:rsid w:val="1C704031"/>
    <w:rsid w:val="1CBE6F97"/>
    <w:rsid w:val="1D271A66"/>
    <w:rsid w:val="1DCB47DF"/>
    <w:rsid w:val="1E067B59"/>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483161"/>
    <w:rsid w:val="29844025"/>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DFA5AED"/>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6E0128C"/>
    <w:rsid w:val="37904E67"/>
    <w:rsid w:val="3797204C"/>
    <w:rsid w:val="37A771FF"/>
    <w:rsid w:val="37B37AED"/>
    <w:rsid w:val="37EF7DFA"/>
    <w:rsid w:val="380A1D4B"/>
    <w:rsid w:val="38A54053"/>
    <w:rsid w:val="38D37D37"/>
    <w:rsid w:val="39312765"/>
    <w:rsid w:val="393A2055"/>
    <w:rsid w:val="39441DBF"/>
    <w:rsid w:val="39911B7A"/>
    <w:rsid w:val="399C1F0E"/>
    <w:rsid w:val="39F85E1B"/>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0373D9"/>
    <w:rsid w:val="4C19263D"/>
    <w:rsid w:val="4C253F32"/>
    <w:rsid w:val="4C442E20"/>
    <w:rsid w:val="4C714499"/>
    <w:rsid w:val="4C845F8F"/>
    <w:rsid w:val="4D36566E"/>
    <w:rsid w:val="4DBB24B5"/>
    <w:rsid w:val="4E03467F"/>
    <w:rsid w:val="4E826480"/>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473D72"/>
    <w:rsid w:val="5D656D7E"/>
    <w:rsid w:val="5DCE0C96"/>
    <w:rsid w:val="5DE454AE"/>
    <w:rsid w:val="5DEC70B2"/>
    <w:rsid w:val="5E1F095F"/>
    <w:rsid w:val="5E482C04"/>
    <w:rsid w:val="5E5D637B"/>
    <w:rsid w:val="5EC735B0"/>
    <w:rsid w:val="5F0F193D"/>
    <w:rsid w:val="5F2B6724"/>
    <w:rsid w:val="5FF8671E"/>
    <w:rsid w:val="60C055B7"/>
    <w:rsid w:val="612D4EDB"/>
    <w:rsid w:val="61F20913"/>
    <w:rsid w:val="624B0B8B"/>
    <w:rsid w:val="62923B3C"/>
    <w:rsid w:val="62C32DEC"/>
    <w:rsid w:val="630D66DA"/>
    <w:rsid w:val="6352470F"/>
    <w:rsid w:val="639F4202"/>
    <w:rsid w:val="63AC0410"/>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441696"/>
    <w:rsid w:val="689E76A5"/>
    <w:rsid w:val="68DB1AF2"/>
    <w:rsid w:val="68E0427F"/>
    <w:rsid w:val="68F75735"/>
    <w:rsid w:val="694757F4"/>
    <w:rsid w:val="6B3B48D5"/>
    <w:rsid w:val="6B485DE8"/>
    <w:rsid w:val="6BB70B7A"/>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spacing w:after="120" w:line="480" w:lineRule="auto"/>
      <w:ind w:left="420" w:leftChars="200"/>
    </w:pPr>
    <w:rPr>
      <w:kern w:val="0"/>
      <w:sz w:val="20"/>
    </w:rPr>
  </w:style>
  <w:style w:type="paragraph" w:styleId="5">
    <w:name w:val="endnote text"/>
    <w:basedOn w:val="1"/>
    <w:qFormat/>
    <w:uiPriority w:val="0"/>
    <w:pPr>
      <w:snapToGrid w:val="0"/>
      <w:jc w:val="left"/>
    </w:pPr>
    <w:rPr>
      <w:rFonts w:ascii="Times New Roman" w:hAnsi="Times New Roman" w:cs="Times New Roma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0"/>
  </w:style>
  <w:style w:type="paragraph" w:styleId="8">
    <w:name w:val="Normal (Web)"/>
    <w:basedOn w:val="1"/>
    <w:qFormat/>
    <w:uiPriority w:val="0"/>
    <w:rPr>
      <w:sz w:val="24"/>
    </w:rPr>
  </w:style>
  <w:style w:type="paragraph" w:styleId="9">
    <w:name w:val="Body Text First Indent 2"/>
    <w:basedOn w:val="3"/>
    <w:next w:val="1"/>
    <w:qFormat/>
    <w:uiPriority w:val="0"/>
    <w:pPr>
      <w:spacing w:after="0"/>
      <w:ind w:left="0" w:leftChars="0" w:firstLine="420" w:firstLineChars="200"/>
    </w:pPr>
    <w:rPr>
      <w:rFonts w:eastAsia="仿宋_GB2312"/>
      <w:sz w:val="32"/>
      <w:szCs w:val="32"/>
    </w:rPr>
  </w:style>
  <w:style w:type="character" w:styleId="12">
    <w:name w:val="Hyperlink"/>
    <w:basedOn w:val="11"/>
    <w:unhideWhenUsed/>
    <w:qFormat/>
    <w:uiPriority w:val="0"/>
    <w:rPr>
      <w:rFonts w:hint="default"/>
      <w:color w:val="0000FF"/>
      <w:sz w:val="24"/>
      <w:szCs w:val="24"/>
      <w:u w:val="single"/>
    </w:rPr>
  </w:style>
  <w:style w:type="paragraph" w:customStyle="1" w:styleId="13">
    <w:name w:val="List Paragraph"/>
    <w:basedOn w:val="1"/>
    <w:qFormat/>
    <w:uiPriority w:val="99"/>
    <w:pPr>
      <w:ind w:firstLine="420" w:firstLineChars="200"/>
    </w:pPr>
    <w:rPr>
      <w:rFonts w:ascii="Calibri" w:hAnsi="Calibri" w:eastAsia="宋体" w:cs="Times New Roman"/>
      <w:szCs w:val="22"/>
    </w:rPr>
  </w:style>
  <w:style w:type="paragraph" w:customStyle="1" w:styleId="14">
    <w:name w:val="_Style 3"/>
    <w:basedOn w:val="1"/>
    <w:qFormat/>
    <w:uiPriority w:val="99"/>
    <w:pPr>
      <w:ind w:firstLine="420" w:firstLineChars="200"/>
    </w:pPr>
    <w:rPr>
      <w:rFonts w:ascii="Calibri" w:hAnsi="Calibri"/>
      <w:szCs w:val="22"/>
    </w:rPr>
  </w:style>
  <w:style w:type="paragraph" w:customStyle="1" w:styleId="1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6">
    <w:name w:val="列出段落1"/>
    <w:basedOn w:val="1"/>
    <w:qFormat/>
    <w:uiPriority w:val="99"/>
    <w:pPr>
      <w:ind w:firstLine="420" w:firstLineChars="200"/>
    </w:pPr>
    <w:rPr>
      <w:rFonts w:ascii="Calibri" w:hAnsi="Calibri"/>
      <w:szCs w:val="22"/>
    </w:rPr>
  </w:style>
  <w:style w:type="paragraph" w:customStyle="1" w:styleId="17">
    <w:name w:val="正文文字"/>
    <w:basedOn w:val="1"/>
    <w:next w:val="1"/>
    <w:qFormat/>
    <w:uiPriority w:val="99"/>
    <w:pPr>
      <w:widowControl/>
      <w:spacing w:after="120"/>
    </w:pPr>
    <w:rPr>
      <w:rFonts w:ascii="Calibri" w:hAnsi="Calibri" w:cs="Times New Roman"/>
    </w:rPr>
  </w:style>
  <w:style w:type="character" w:customStyle="1" w:styleId="18">
    <w:name w:val="NormalCharacter"/>
    <w:link w:val="19"/>
    <w:unhideWhenUsed/>
    <w:qFormat/>
    <w:uiPriority w:val="0"/>
    <w:rPr>
      <w:rFonts w:ascii="Times New Roman" w:hAnsi="Times New Roman" w:eastAsia="宋体" w:cs="Times New Roman"/>
      <w:kern w:val="0"/>
      <w:sz w:val="20"/>
      <w:szCs w:val="20"/>
    </w:rPr>
  </w:style>
  <w:style w:type="paragraph" w:customStyle="1" w:styleId="19">
    <w:name w:val="UserStyle_10"/>
    <w:basedOn w:val="1"/>
    <w:link w:val="18"/>
    <w:qFormat/>
    <w:uiPriority w:val="0"/>
    <w:pPr>
      <w:widowControl/>
      <w:spacing w:after="160" w:line="240" w:lineRule="exact"/>
      <w:jc w:val="left"/>
      <w:textAlignment w:val="baseline"/>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2783</Words>
  <Characters>2944</Characters>
  <Lines>0</Lines>
  <Paragraphs>0</Paragraphs>
  <TotalTime>37</TotalTime>
  <ScaleCrop>false</ScaleCrop>
  <LinksUpToDate>false</LinksUpToDate>
  <CharactersWithSpaces>2965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2026-01-26T08:29:45Z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E472080C1A934E769FEBE1B66B6B14F2_13</vt:lpwstr>
  </property>
  <property fmtid="{D5CDD505-2E9C-101B-9397-08002B2CF9AE}" pid="4" name="KSOTemplateDocerSaveRecord">
    <vt:lpwstr>eyJoZGlkIjoiNzNjMzYxZTI3NDlmODQwNTUzN2I1Y2E1OWM2ZWY0ZTUiLCJ1c2VySWQiOiIzNzA2NDI1NTgifQ==</vt:lpwstr>
  </property>
</Properties>
</file>