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1D121">
      <w:pPr>
        <w:jc w:val="center"/>
        <w:rPr>
          <w:rFonts w:ascii="宋体" w:hAnsi="宋体" w:cs="宋体"/>
          <w:b/>
          <w:bCs/>
          <w:sz w:val="52"/>
          <w:szCs w:val="52"/>
        </w:rPr>
      </w:pPr>
      <w:bookmarkStart w:id="0" w:name="_GoBack"/>
      <w:bookmarkEnd w:id="0"/>
      <w:r>
        <w:rPr>
          <w:rFonts w:hint="eastAsia" w:ascii="宋体" w:hAnsi="宋体" w:cs="宋体"/>
          <w:b/>
          <w:bCs/>
          <w:sz w:val="52"/>
          <w:szCs w:val="52"/>
        </w:rPr>
        <w:t>2024年度株洲市芦淞区总工会整体支出</w:t>
      </w:r>
    </w:p>
    <w:p w14:paraId="252A839A">
      <w:pPr>
        <w:jc w:val="center"/>
        <w:rPr>
          <w:rFonts w:ascii="宋体" w:hAnsi="宋体" w:cs="宋体"/>
          <w:b/>
          <w:bCs/>
          <w:sz w:val="52"/>
          <w:szCs w:val="52"/>
        </w:rPr>
      </w:pPr>
      <w:r>
        <w:rPr>
          <w:rFonts w:hint="eastAsia" w:ascii="宋体" w:hAnsi="宋体" w:cs="宋体"/>
          <w:b/>
          <w:bCs/>
          <w:sz w:val="52"/>
          <w:szCs w:val="52"/>
        </w:rPr>
        <w:t>绩效自评报告</w:t>
      </w:r>
    </w:p>
    <w:p w14:paraId="47E9CBC7">
      <w:pPr>
        <w:jc w:val="center"/>
        <w:rPr>
          <w:rFonts w:ascii="宋体" w:hAnsi="宋体" w:cs="宋体"/>
          <w:b/>
          <w:bCs/>
          <w:sz w:val="52"/>
          <w:szCs w:val="52"/>
        </w:rPr>
      </w:pPr>
    </w:p>
    <w:p w14:paraId="6E014C5F">
      <w:pPr>
        <w:jc w:val="center"/>
        <w:rPr>
          <w:rFonts w:ascii="宋体" w:hAnsi="宋体" w:cs="宋体"/>
          <w:b/>
          <w:bCs/>
          <w:sz w:val="52"/>
          <w:szCs w:val="52"/>
        </w:rPr>
      </w:pPr>
    </w:p>
    <w:p w14:paraId="456D362E">
      <w:pPr>
        <w:jc w:val="center"/>
        <w:rPr>
          <w:rFonts w:ascii="宋体" w:hAnsi="宋体" w:cs="宋体"/>
          <w:b/>
          <w:bCs/>
          <w:sz w:val="52"/>
          <w:szCs w:val="52"/>
        </w:rPr>
      </w:pPr>
    </w:p>
    <w:p w14:paraId="6C8B3082">
      <w:pPr>
        <w:jc w:val="center"/>
        <w:rPr>
          <w:rFonts w:ascii="宋体" w:hAnsi="宋体" w:cs="宋体"/>
          <w:b/>
          <w:bCs/>
          <w:sz w:val="52"/>
          <w:szCs w:val="52"/>
        </w:rPr>
      </w:pPr>
    </w:p>
    <w:p w14:paraId="290D2B0F">
      <w:pPr>
        <w:jc w:val="center"/>
        <w:rPr>
          <w:rFonts w:ascii="宋体" w:hAnsi="宋体" w:cs="宋体"/>
          <w:b/>
          <w:bCs/>
          <w:sz w:val="52"/>
          <w:szCs w:val="52"/>
        </w:rPr>
      </w:pPr>
    </w:p>
    <w:p w14:paraId="3C6744FA">
      <w:pPr>
        <w:jc w:val="center"/>
        <w:rPr>
          <w:rFonts w:ascii="宋体" w:hAnsi="宋体" w:cs="宋体"/>
          <w:b/>
          <w:bCs/>
          <w:sz w:val="52"/>
          <w:szCs w:val="52"/>
        </w:rPr>
      </w:pPr>
    </w:p>
    <w:p w14:paraId="2BF5DDB7">
      <w:pPr>
        <w:jc w:val="center"/>
        <w:rPr>
          <w:rFonts w:ascii="宋体" w:hAnsi="宋体" w:cs="宋体"/>
          <w:b/>
          <w:bCs/>
          <w:sz w:val="52"/>
          <w:szCs w:val="52"/>
        </w:rPr>
      </w:pPr>
    </w:p>
    <w:p w14:paraId="346E705A">
      <w:pPr>
        <w:ind w:firstLine="1044" w:firstLineChars="200"/>
        <w:jc w:val="center"/>
        <w:rPr>
          <w:rFonts w:ascii="宋体" w:hAnsi="宋体" w:cs="宋体"/>
          <w:b/>
          <w:bCs/>
          <w:sz w:val="52"/>
          <w:szCs w:val="52"/>
        </w:rPr>
      </w:pPr>
    </w:p>
    <w:p w14:paraId="4815FC18">
      <w:pPr>
        <w:ind w:firstLine="1044" w:firstLineChars="200"/>
        <w:jc w:val="center"/>
        <w:rPr>
          <w:rFonts w:ascii="宋体" w:hAnsi="宋体" w:cs="宋体"/>
          <w:b/>
          <w:bCs/>
          <w:sz w:val="52"/>
          <w:szCs w:val="52"/>
        </w:rPr>
      </w:pPr>
    </w:p>
    <w:p w14:paraId="7ED9130C">
      <w:pPr>
        <w:ind w:firstLine="1044" w:firstLineChars="200"/>
        <w:jc w:val="center"/>
        <w:rPr>
          <w:rFonts w:ascii="宋体" w:hAnsi="宋体" w:cs="宋体"/>
          <w:b/>
          <w:bCs/>
          <w:sz w:val="52"/>
          <w:szCs w:val="52"/>
        </w:rPr>
      </w:pPr>
    </w:p>
    <w:p w14:paraId="1B01D451">
      <w:pPr>
        <w:ind w:firstLine="1044" w:firstLineChars="200"/>
        <w:jc w:val="center"/>
        <w:rPr>
          <w:rFonts w:ascii="宋体" w:hAnsi="宋体" w:cs="宋体"/>
          <w:b/>
          <w:bCs/>
          <w:sz w:val="52"/>
          <w:szCs w:val="52"/>
        </w:rPr>
      </w:pPr>
      <w:r>
        <w:rPr>
          <w:rFonts w:hint="eastAsia" w:ascii="宋体" w:hAnsi="宋体" w:cs="宋体"/>
          <w:b/>
          <w:bCs/>
          <w:sz w:val="52"/>
          <w:szCs w:val="52"/>
        </w:rPr>
        <w:t>单位名称（盖章）：</w:t>
      </w:r>
    </w:p>
    <w:p w14:paraId="24BD92E7">
      <w:pPr>
        <w:jc w:val="center"/>
        <w:rPr>
          <w:rFonts w:ascii="宋体" w:hAnsi="宋体" w:cs="宋体"/>
          <w:b/>
          <w:bCs/>
          <w:sz w:val="52"/>
          <w:szCs w:val="52"/>
        </w:rPr>
      </w:pPr>
    </w:p>
    <w:p w14:paraId="39FDAFE1">
      <w:pPr>
        <w:jc w:val="center"/>
        <w:rPr>
          <w:rFonts w:ascii="宋体" w:hAnsi="宋体" w:cs="宋体"/>
          <w:b/>
          <w:bCs/>
          <w:sz w:val="52"/>
          <w:szCs w:val="52"/>
        </w:rPr>
      </w:pPr>
    </w:p>
    <w:p w14:paraId="19AEBFF5">
      <w:pPr>
        <w:jc w:val="center"/>
        <w:rPr>
          <w:rFonts w:ascii="宋体" w:hAnsi="宋体" w:cs="宋体"/>
          <w:b/>
          <w:bCs/>
          <w:sz w:val="52"/>
          <w:szCs w:val="52"/>
        </w:rPr>
      </w:pPr>
    </w:p>
    <w:p w14:paraId="04965EA2">
      <w:pPr>
        <w:jc w:val="center"/>
        <w:rPr>
          <w:rFonts w:ascii="宋体" w:hAnsi="宋体" w:cs="宋体"/>
          <w:b/>
          <w:bCs/>
          <w:sz w:val="52"/>
          <w:szCs w:val="52"/>
        </w:rPr>
      </w:pPr>
    </w:p>
    <w:p w14:paraId="313BC470">
      <w:pPr>
        <w:jc w:val="center"/>
        <w:rPr>
          <w:rFonts w:ascii="宋体" w:hAnsi="宋体" w:cs="宋体"/>
          <w:b/>
          <w:bCs/>
          <w:sz w:val="52"/>
          <w:szCs w:val="52"/>
        </w:rPr>
      </w:pPr>
    </w:p>
    <w:p w14:paraId="403C77E6">
      <w:pPr>
        <w:jc w:val="center"/>
        <w:rPr>
          <w:rFonts w:ascii="宋体" w:hAnsi="宋体" w:cs="宋体"/>
          <w:b/>
          <w:bCs/>
          <w:sz w:val="52"/>
          <w:szCs w:val="52"/>
        </w:rPr>
      </w:pPr>
    </w:p>
    <w:p w14:paraId="100C3762">
      <w:pPr>
        <w:jc w:val="center"/>
        <w:rPr>
          <w:rFonts w:ascii="宋体" w:hAnsi="宋体" w:cs="宋体"/>
          <w:b/>
          <w:bCs/>
          <w:sz w:val="52"/>
          <w:szCs w:val="52"/>
        </w:rPr>
      </w:pPr>
    </w:p>
    <w:p w14:paraId="3C07A181">
      <w:pPr>
        <w:jc w:val="center"/>
        <w:rPr>
          <w:rFonts w:ascii="宋体" w:hAnsi="宋体" w:cs="宋体"/>
          <w:b/>
          <w:bCs/>
          <w:sz w:val="52"/>
          <w:szCs w:val="52"/>
        </w:rPr>
      </w:pPr>
    </w:p>
    <w:p w14:paraId="5524320B">
      <w:pPr>
        <w:spacing w:line="600" w:lineRule="exact"/>
        <w:rPr>
          <w:rFonts w:ascii="宋体" w:hAnsi="宋体" w:cs="宋体"/>
          <w:b/>
          <w:bCs/>
          <w:sz w:val="32"/>
          <w:szCs w:val="32"/>
        </w:rPr>
      </w:pPr>
    </w:p>
    <w:p w14:paraId="027504BB">
      <w:pPr>
        <w:spacing w:line="600" w:lineRule="exact"/>
        <w:rPr>
          <w:rFonts w:ascii="宋体" w:hAnsi="宋体" w:cs="宋体"/>
          <w:b/>
          <w:bCs/>
          <w:sz w:val="32"/>
          <w:szCs w:val="32"/>
        </w:rPr>
      </w:pPr>
    </w:p>
    <w:p w14:paraId="324CA986">
      <w:pPr>
        <w:spacing w:line="600" w:lineRule="exact"/>
        <w:rPr>
          <w:rFonts w:ascii="宋体" w:hAnsi="宋体" w:cs="宋体"/>
          <w:b/>
          <w:bCs/>
          <w:sz w:val="32"/>
          <w:szCs w:val="32"/>
        </w:rPr>
      </w:pPr>
    </w:p>
    <w:p w14:paraId="4B218AE6">
      <w:pPr>
        <w:spacing w:line="600" w:lineRule="exact"/>
        <w:rPr>
          <w:rFonts w:ascii="宋体" w:hAnsi="宋体" w:cs="宋体"/>
          <w:b/>
          <w:bCs/>
          <w:sz w:val="32"/>
          <w:szCs w:val="32"/>
        </w:rPr>
      </w:pPr>
    </w:p>
    <w:p w14:paraId="200FCFB9">
      <w:pPr>
        <w:spacing w:line="600" w:lineRule="exact"/>
        <w:rPr>
          <w:rFonts w:ascii="宋体" w:hAnsi="宋体" w:cs="宋体"/>
          <w:b/>
          <w:bCs/>
          <w:sz w:val="32"/>
          <w:szCs w:val="32"/>
        </w:rPr>
      </w:pPr>
    </w:p>
    <w:p w14:paraId="41367E16">
      <w:pPr>
        <w:spacing w:line="600" w:lineRule="exact"/>
        <w:rPr>
          <w:rFonts w:ascii="宋体" w:hAnsi="宋体" w:cs="宋体"/>
          <w:b/>
          <w:bCs/>
          <w:sz w:val="32"/>
          <w:szCs w:val="32"/>
        </w:rPr>
      </w:pPr>
    </w:p>
    <w:p w14:paraId="0EAB0C0E">
      <w:pPr>
        <w:spacing w:line="600" w:lineRule="exact"/>
        <w:rPr>
          <w:rFonts w:ascii="宋体" w:hAnsi="宋体" w:cs="宋体"/>
          <w:b/>
          <w:bCs/>
          <w:sz w:val="32"/>
          <w:szCs w:val="32"/>
        </w:rPr>
      </w:pPr>
    </w:p>
    <w:p w14:paraId="60237F2F">
      <w:pPr>
        <w:spacing w:line="600" w:lineRule="exact"/>
        <w:rPr>
          <w:rFonts w:ascii="宋体" w:hAnsi="宋体" w:cs="宋体"/>
          <w:b/>
          <w:bCs/>
          <w:sz w:val="32"/>
          <w:szCs w:val="32"/>
        </w:rPr>
      </w:pPr>
    </w:p>
    <w:p w14:paraId="36265A21">
      <w:pPr>
        <w:spacing w:line="600" w:lineRule="exact"/>
        <w:rPr>
          <w:rFonts w:ascii="宋体" w:hAnsi="宋体" w:cs="宋体"/>
          <w:b/>
          <w:bCs/>
          <w:sz w:val="32"/>
          <w:szCs w:val="32"/>
        </w:rPr>
      </w:pPr>
    </w:p>
    <w:p w14:paraId="68729A91">
      <w:pPr>
        <w:spacing w:line="600" w:lineRule="exact"/>
        <w:rPr>
          <w:rFonts w:ascii="宋体" w:hAnsi="宋体" w:cs="宋体"/>
          <w:b/>
          <w:bCs/>
          <w:sz w:val="32"/>
          <w:szCs w:val="32"/>
        </w:rPr>
      </w:pPr>
    </w:p>
    <w:p w14:paraId="21076E7A">
      <w:pPr>
        <w:spacing w:line="600" w:lineRule="exact"/>
        <w:rPr>
          <w:rFonts w:ascii="宋体" w:hAnsi="宋体" w:cs="宋体"/>
          <w:b/>
          <w:bCs/>
          <w:sz w:val="32"/>
          <w:szCs w:val="32"/>
        </w:rPr>
      </w:pPr>
    </w:p>
    <w:p w14:paraId="65FFE84E">
      <w:pPr>
        <w:spacing w:line="600" w:lineRule="exact"/>
        <w:rPr>
          <w:rFonts w:ascii="宋体" w:hAnsi="宋体" w:cs="宋体"/>
          <w:b/>
          <w:bCs/>
          <w:sz w:val="32"/>
          <w:szCs w:val="32"/>
        </w:rPr>
      </w:pPr>
    </w:p>
    <w:p w14:paraId="1B837066">
      <w:pPr>
        <w:spacing w:line="600" w:lineRule="exact"/>
        <w:rPr>
          <w:rFonts w:ascii="宋体" w:hAnsi="宋体" w:cs="宋体"/>
          <w:b/>
          <w:bCs/>
          <w:sz w:val="32"/>
          <w:szCs w:val="32"/>
        </w:rPr>
      </w:pPr>
      <w:r>
        <w:rPr>
          <w:rFonts w:hint="eastAsia" w:ascii="宋体" w:hAnsi="宋体" w:cs="宋体"/>
          <w:b/>
          <w:bCs/>
          <w:sz w:val="32"/>
          <w:szCs w:val="32"/>
        </w:rPr>
        <w:t>一、基本情况</w:t>
      </w:r>
    </w:p>
    <w:p w14:paraId="1C375571">
      <w:pPr>
        <w:spacing w:line="600" w:lineRule="exact"/>
        <w:ind w:firstLine="643" w:firstLineChars="200"/>
        <w:rPr>
          <w:rFonts w:ascii="宋体" w:hAnsi="宋体" w:cs="宋体"/>
          <w:b/>
          <w:sz w:val="32"/>
          <w:szCs w:val="32"/>
        </w:rPr>
      </w:pPr>
      <w:r>
        <w:rPr>
          <w:rFonts w:hint="eastAsia" w:ascii="宋体" w:hAnsi="宋体" w:cs="宋体"/>
          <w:b/>
          <w:sz w:val="32"/>
          <w:szCs w:val="32"/>
        </w:rPr>
        <w:t>（一）单位基本情况</w:t>
      </w:r>
    </w:p>
    <w:p w14:paraId="23458C2D">
      <w:pPr>
        <w:spacing w:line="560" w:lineRule="atLeast"/>
        <w:ind w:firstLine="640"/>
        <w:rPr>
          <w:rFonts w:eastAsia="仿宋"/>
          <w:kern w:val="0"/>
          <w:sz w:val="32"/>
          <w:szCs w:val="32"/>
        </w:rPr>
      </w:pPr>
      <w:r>
        <w:rPr>
          <w:rFonts w:hint="eastAsia" w:ascii="宋体" w:hAnsi="宋体" w:cs="宋体"/>
          <w:color w:val="auto"/>
          <w:kern w:val="0"/>
          <w:sz w:val="32"/>
          <w:szCs w:val="32"/>
        </w:rPr>
        <w:t>株洲市芦淞区总工会(以下简称区总工会)是群团组织,为正科级。</w:t>
      </w:r>
      <w:r>
        <w:rPr>
          <w:rFonts w:hint="eastAsia" w:asciiTheme="majorEastAsia" w:hAnsiTheme="majorEastAsia" w:eastAsiaTheme="majorEastAsia" w:cstheme="majorEastAsia"/>
          <w:bCs/>
          <w:color w:val="auto"/>
          <w:sz w:val="32"/>
          <w:szCs w:val="32"/>
        </w:rPr>
        <w:t>我单位</w:t>
      </w:r>
      <w:r>
        <w:rPr>
          <w:rFonts w:hint="eastAsia" w:asciiTheme="majorEastAsia" w:hAnsiTheme="majorEastAsia" w:eastAsiaTheme="majorEastAsia" w:cstheme="majorEastAsia"/>
          <w:color w:val="auto"/>
          <w:kern w:val="0"/>
          <w:sz w:val="32"/>
          <w:szCs w:val="32"/>
        </w:rPr>
        <w:t>内设股室单位1个：区职工服务中心，为股级全额拔款公益一类事业单位。</w:t>
      </w:r>
      <w:r>
        <w:rPr>
          <w:rFonts w:hint="eastAsia" w:asciiTheme="majorEastAsia" w:hAnsiTheme="majorEastAsia" w:eastAsiaTheme="majorEastAsia" w:cstheme="majorEastAsia"/>
          <w:bCs/>
          <w:color w:val="auto"/>
          <w:sz w:val="32"/>
          <w:szCs w:val="32"/>
        </w:rPr>
        <w:t>区总工会编制数</w:t>
      </w:r>
      <w:r>
        <w:rPr>
          <w:rFonts w:hint="eastAsia" w:asciiTheme="majorEastAsia" w:hAnsiTheme="majorEastAsia" w:eastAsiaTheme="majorEastAsia" w:cstheme="majorEastAsia"/>
          <w:color w:val="auto"/>
          <w:sz w:val="32"/>
          <w:szCs w:val="32"/>
        </w:rPr>
        <w:t>8</w:t>
      </w:r>
      <w:r>
        <w:rPr>
          <w:rFonts w:hint="eastAsia" w:asciiTheme="majorEastAsia" w:hAnsiTheme="majorEastAsia" w:eastAsiaTheme="majorEastAsia" w:cstheme="majorEastAsia"/>
          <w:bCs/>
          <w:color w:val="auto"/>
          <w:sz w:val="32"/>
          <w:szCs w:val="32"/>
        </w:rPr>
        <w:t>个(行政编4个，事业编4个），在职人数8人，</w:t>
      </w:r>
      <w:r>
        <w:rPr>
          <w:rFonts w:hint="eastAsia" w:asciiTheme="majorEastAsia" w:hAnsiTheme="majorEastAsia" w:eastAsiaTheme="majorEastAsia" w:cstheme="majorEastAsia"/>
          <w:color w:val="auto"/>
          <w:kern w:val="0"/>
          <w:sz w:val="32"/>
          <w:szCs w:val="32"/>
        </w:rPr>
        <w:t>设主席1名，副主席2名</w:t>
      </w:r>
      <w:r>
        <w:rPr>
          <w:rFonts w:hint="eastAsia" w:asciiTheme="majorEastAsia" w:hAnsiTheme="majorEastAsia" w:eastAsiaTheme="majorEastAsia" w:cstheme="majorEastAsia"/>
          <w:bCs/>
          <w:color w:val="auto"/>
          <w:sz w:val="32"/>
          <w:szCs w:val="32"/>
        </w:rPr>
        <w:t>；离退休人数</w:t>
      </w:r>
      <w:r>
        <w:rPr>
          <w:rFonts w:hint="eastAsia" w:asciiTheme="majorEastAsia" w:hAnsiTheme="majorEastAsia" w:eastAsiaTheme="majorEastAsia" w:cstheme="majorEastAsia"/>
          <w:color w:val="auto"/>
          <w:sz w:val="32"/>
          <w:szCs w:val="32"/>
        </w:rPr>
        <w:t>7</w:t>
      </w:r>
      <w:r>
        <w:rPr>
          <w:rFonts w:hint="eastAsia" w:asciiTheme="majorEastAsia" w:hAnsiTheme="majorEastAsia" w:eastAsiaTheme="majorEastAsia" w:cstheme="majorEastAsia"/>
          <w:bCs/>
          <w:color w:val="auto"/>
          <w:sz w:val="32"/>
          <w:szCs w:val="32"/>
        </w:rPr>
        <w:t>人，其中退休人员</w:t>
      </w:r>
      <w:r>
        <w:rPr>
          <w:rFonts w:hint="eastAsia" w:asciiTheme="majorEastAsia" w:hAnsiTheme="majorEastAsia" w:eastAsiaTheme="majorEastAsia" w:cstheme="majorEastAsia"/>
          <w:color w:val="auto"/>
          <w:sz w:val="32"/>
          <w:szCs w:val="32"/>
        </w:rPr>
        <w:t>7</w:t>
      </w:r>
      <w:r>
        <w:rPr>
          <w:rFonts w:hint="eastAsia" w:asciiTheme="majorEastAsia" w:hAnsiTheme="majorEastAsia" w:eastAsiaTheme="majorEastAsia" w:cstheme="majorEastAsia"/>
          <w:bCs/>
          <w:color w:val="auto"/>
          <w:sz w:val="32"/>
          <w:szCs w:val="32"/>
        </w:rPr>
        <w:t>人。</w:t>
      </w:r>
    </w:p>
    <w:p w14:paraId="4F3B5197">
      <w:pPr>
        <w:spacing w:line="560" w:lineRule="exact"/>
        <w:ind w:firstLine="640" w:firstLineChars="200"/>
        <w:rPr>
          <w:rFonts w:ascii="宋体" w:hAnsi="宋体" w:cs="宋体"/>
          <w:kern w:val="0"/>
          <w:sz w:val="32"/>
          <w:szCs w:val="32"/>
        </w:rPr>
      </w:pPr>
      <w:r>
        <w:rPr>
          <w:rFonts w:hint="eastAsia" w:ascii="宋体" w:hAnsi="宋体" w:cs="宋体"/>
          <w:kern w:val="0"/>
          <w:sz w:val="32"/>
          <w:szCs w:val="32"/>
        </w:rPr>
        <w:t>区总工会的主要职责是：</w:t>
      </w:r>
    </w:p>
    <w:p w14:paraId="0861F34E">
      <w:pPr>
        <w:spacing w:line="560" w:lineRule="exact"/>
        <w:ind w:firstLine="640" w:firstLineChars="200"/>
        <w:rPr>
          <w:rFonts w:ascii="宋体" w:hAnsi="宋体" w:cs="宋体"/>
          <w:kern w:val="0"/>
          <w:sz w:val="32"/>
          <w:szCs w:val="32"/>
        </w:rPr>
      </w:pPr>
      <w:r>
        <w:rPr>
          <w:rFonts w:hint="eastAsia" w:ascii="宋体" w:hAnsi="宋体" w:cs="宋体"/>
          <w:kern w:val="0"/>
          <w:sz w:val="32"/>
          <w:szCs w:val="32"/>
        </w:rPr>
        <w:t>（一）贯彻执行党和国家有关工人运动和工会工作的方针、政策，制订芦淞区工人运动发展规划，进行工会工作宏观指导和管理。</w:t>
      </w:r>
    </w:p>
    <w:p w14:paraId="49EAD153">
      <w:pPr>
        <w:spacing w:line="560" w:lineRule="exact"/>
        <w:ind w:firstLine="640" w:firstLineChars="200"/>
        <w:rPr>
          <w:rFonts w:ascii="宋体" w:hAnsi="宋体" w:cs="宋体"/>
          <w:kern w:val="0"/>
          <w:sz w:val="32"/>
          <w:szCs w:val="32"/>
        </w:rPr>
      </w:pPr>
      <w:r>
        <w:rPr>
          <w:rFonts w:hint="eastAsia" w:ascii="宋体" w:hAnsi="宋体" w:cs="宋体"/>
          <w:kern w:val="0"/>
          <w:sz w:val="32"/>
          <w:szCs w:val="32"/>
        </w:rPr>
        <w:t>（二）贯彻执行芦淞区工会代表大会确定的方针、任务，依照法律和《中国工会章程》，组织和指导各级工会坚定不移地贯彻落实党的全心全意依靠工人阶级的根本指导方针，认真履行引导职工听党话、跟党走的政治责任，切实承担维护职工合法权益的基本职责，组织开展工会各项工作。</w:t>
      </w:r>
    </w:p>
    <w:p w14:paraId="6D041E04">
      <w:pPr>
        <w:spacing w:line="560" w:lineRule="exact"/>
        <w:ind w:firstLine="640" w:firstLineChars="200"/>
        <w:rPr>
          <w:rFonts w:ascii="宋体" w:hAnsi="宋体" w:cs="宋体"/>
          <w:kern w:val="0"/>
          <w:sz w:val="32"/>
          <w:szCs w:val="32"/>
        </w:rPr>
      </w:pPr>
      <w:r>
        <w:rPr>
          <w:rFonts w:hint="eastAsia" w:ascii="宋体" w:hAnsi="宋体" w:cs="宋体"/>
          <w:kern w:val="0"/>
          <w:sz w:val="32"/>
          <w:szCs w:val="32"/>
        </w:rPr>
        <w:t>（三）认真履行工会维护、建设、参与、教育等社会职能。代表和维护职工的合法权益，参与国家、社会事务管理；指导全区各企、事业单位实行民主管理和民主监督；协调劳动关系，调解社会矛盾；提高职工的思想道德和科学文化技术素质。</w:t>
      </w:r>
    </w:p>
    <w:p w14:paraId="65EC3467">
      <w:pPr>
        <w:spacing w:line="560" w:lineRule="exact"/>
        <w:ind w:firstLine="640" w:firstLineChars="200"/>
        <w:rPr>
          <w:rFonts w:ascii="宋体" w:hAnsi="宋体" w:cs="宋体"/>
          <w:kern w:val="0"/>
          <w:sz w:val="32"/>
          <w:szCs w:val="32"/>
        </w:rPr>
      </w:pPr>
      <w:r>
        <w:rPr>
          <w:rFonts w:hint="eastAsia" w:ascii="宋体" w:hAnsi="宋体" w:cs="宋体"/>
          <w:kern w:val="0"/>
          <w:sz w:val="32"/>
          <w:szCs w:val="32"/>
        </w:rPr>
        <w:t>（四）调查研究有关职工利益的重大问题，反映职工群众的情绪、愿望和要求，提出意见和建议；参与涉及职工切身利益的政策、措施、制度和有关法规规章草案的的拟订；参与安全检查和伤亡事故的调查处理，维护女职工的特殊权益。</w:t>
      </w:r>
    </w:p>
    <w:p w14:paraId="07F939A9">
      <w:pPr>
        <w:spacing w:line="560" w:lineRule="exact"/>
        <w:ind w:firstLine="640" w:firstLineChars="200"/>
        <w:rPr>
          <w:rFonts w:ascii="宋体" w:hAnsi="宋体" w:cs="宋体"/>
          <w:kern w:val="0"/>
          <w:sz w:val="32"/>
          <w:szCs w:val="32"/>
        </w:rPr>
      </w:pPr>
      <w:r>
        <w:rPr>
          <w:rFonts w:hint="eastAsia" w:ascii="宋体" w:hAnsi="宋体" w:cs="宋体"/>
          <w:kern w:val="0"/>
          <w:sz w:val="32"/>
          <w:szCs w:val="32"/>
        </w:rPr>
        <w:t>（五）依照法律和章程，指导全区基层工会自身建设，做好全区企业、事业单位和党政机关的工会组建、换届选举和审查审批工作；协助党委做好工会干部管理和培训的有关工作。</w:t>
      </w:r>
    </w:p>
    <w:p w14:paraId="3B5536F9">
      <w:pPr>
        <w:spacing w:line="560" w:lineRule="exact"/>
        <w:ind w:firstLine="640" w:firstLineChars="200"/>
        <w:rPr>
          <w:rFonts w:ascii="宋体" w:hAnsi="宋体" w:cs="宋体"/>
          <w:kern w:val="0"/>
          <w:sz w:val="32"/>
          <w:szCs w:val="32"/>
        </w:rPr>
      </w:pPr>
      <w:r>
        <w:rPr>
          <w:rFonts w:hint="eastAsia" w:ascii="宋体" w:hAnsi="宋体" w:cs="宋体"/>
          <w:kern w:val="0"/>
          <w:sz w:val="32"/>
          <w:szCs w:val="32"/>
        </w:rPr>
        <w:t>（六）动员和组织指导职工开展劳动和技能竞赛以及合理化建议、技术创新、技术协作活动。</w:t>
      </w:r>
    </w:p>
    <w:p w14:paraId="79C9DE3F">
      <w:pPr>
        <w:spacing w:line="560" w:lineRule="exact"/>
        <w:ind w:firstLine="640" w:firstLineChars="200"/>
        <w:rPr>
          <w:rFonts w:ascii="宋体" w:hAnsi="宋体" w:cs="宋体"/>
          <w:kern w:val="0"/>
          <w:sz w:val="32"/>
          <w:szCs w:val="32"/>
        </w:rPr>
      </w:pPr>
      <w:r>
        <w:rPr>
          <w:rFonts w:hint="eastAsia" w:ascii="宋体" w:hAnsi="宋体" w:cs="宋体"/>
          <w:kern w:val="0"/>
          <w:sz w:val="32"/>
          <w:szCs w:val="32"/>
        </w:rPr>
        <w:t>（七）组织开展职工文娱体育活动，办好工会的文化、教育、体育事业。</w:t>
      </w:r>
    </w:p>
    <w:p w14:paraId="76B193F4">
      <w:pPr>
        <w:spacing w:line="560" w:lineRule="exact"/>
        <w:ind w:firstLine="640" w:firstLineChars="200"/>
        <w:rPr>
          <w:rFonts w:ascii="宋体" w:hAnsi="宋体" w:cs="宋体"/>
          <w:kern w:val="0"/>
          <w:sz w:val="32"/>
          <w:szCs w:val="32"/>
        </w:rPr>
      </w:pPr>
      <w:r>
        <w:rPr>
          <w:rFonts w:hint="eastAsia" w:ascii="宋体" w:hAnsi="宋体" w:cs="宋体"/>
          <w:kern w:val="0"/>
          <w:sz w:val="32"/>
          <w:szCs w:val="32"/>
        </w:rPr>
        <w:t>（八）受区政府委托，会同区有关部门共同做好区以上各级劳动模范和先进生产（工作）者的推荐、评选、表彰以及管理工作；负责全国、省、市五一劳动奖、工人先锋号获得者的推荐、评选、表彰和管理工作。</w:t>
      </w:r>
    </w:p>
    <w:p w14:paraId="62C45F3C">
      <w:pPr>
        <w:spacing w:line="560" w:lineRule="exact"/>
        <w:ind w:firstLine="640" w:firstLineChars="200"/>
        <w:rPr>
          <w:rFonts w:ascii="宋体" w:hAnsi="宋体" w:cs="宋体"/>
          <w:kern w:val="0"/>
          <w:sz w:val="32"/>
          <w:szCs w:val="32"/>
        </w:rPr>
      </w:pPr>
      <w:r>
        <w:rPr>
          <w:rFonts w:hint="eastAsia" w:ascii="宋体" w:hAnsi="宋体" w:cs="宋体"/>
          <w:kern w:val="0"/>
          <w:sz w:val="32"/>
          <w:szCs w:val="32"/>
        </w:rPr>
        <w:t>（九）依法做好全区工会经费收缴上解和管理使用工作；对全区工会经费进行审计监督，保证工会经费的合理使用。</w:t>
      </w:r>
    </w:p>
    <w:p w14:paraId="5CDFC813">
      <w:pPr>
        <w:spacing w:line="600" w:lineRule="exact"/>
        <w:ind w:firstLine="640" w:firstLineChars="200"/>
        <w:rPr>
          <w:rFonts w:ascii="宋体" w:hAnsi="宋体" w:cs="宋体"/>
          <w:kern w:val="0"/>
          <w:sz w:val="32"/>
          <w:szCs w:val="32"/>
        </w:rPr>
      </w:pPr>
      <w:r>
        <w:rPr>
          <w:rFonts w:hint="eastAsia" w:ascii="宋体" w:hAnsi="宋体" w:cs="宋体"/>
          <w:kern w:val="0"/>
          <w:sz w:val="32"/>
          <w:szCs w:val="32"/>
        </w:rPr>
        <w:t>（十）完成区委、区政府交办的其他任务。</w:t>
      </w:r>
    </w:p>
    <w:p w14:paraId="682C48E6">
      <w:pPr>
        <w:pStyle w:val="2"/>
        <w:rPr>
          <w:rFonts w:ascii="宋体" w:hAnsi="宋体" w:cs="宋体"/>
          <w:b/>
          <w:sz w:val="32"/>
          <w:szCs w:val="32"/>
        </w:rPr>
      </w:pPr>
      <w:r>
        <w:rPr>
          <w:rFonts w:hint="eastAsia" w:ascii="宋体" w:hAnsi="宋体" w:cs="宋体"/>
          <w:b/>
          <w:sz w:val="32"/>
          <w:szCs w:val="32"/>
        </w:rPr>
        <w:t>（二）单位年度整体支出绩效目标</w:t>
      </w:r>
    </w:p>
    <w:p w14:paraId="18403341">
      <w:pPr>
        <w:ind w:firstLine="640" w:firstLineChars="200"/>
        <w:rPr>
          <w:rFonts w:ascii="宋体" w:hAnsi="宋体" w:cs="宋体"/>
          <w:color w:val="000000"/>
          <w:kern w:val="0"/>
          <w:sz w:val="32"/>
          <w:szCs w:val="32"/>
        </w:rPr>
      </w:pPr>
      <w:r>
        <w:rPr>
          <w:rFonts w:hint="eastAsia" w:ascii="宋体" w:hAnsi="宋体" w:cs="宋体"/>
          <w:color w:val="000000"/>
          <w:kern w:val="0"/>
          <w:sz w:val="32"/>
          <w:szCs w:val="32"/>
        </w:rPr>
        <w:t>开展劳动技能竞赛，推进基层工会组织建设，开展大型的文体活动，做好城镇困难职工帮扶救助工作，对困难职工开展帮扶救助，提高困难职工家庭生活水平，对劳模进行走访慰问。</w:t>
      </w:r>
    </w:p>
    <w:p w14:paraId="29393652">
      <w:pPr>
        <w:pStyle w:val="2"/>
        <w:numPr>
          <w:ilvl w:val="0"/>
          <w:numId w:val="1"/>
        </w:numPr>
        <w:rPr>
          <w:rFonts w:ascii="宋体" w:hAnsi="宋体" w:cs="宋体"/>
          <w:b/>
          <w:sz w:val="32"/>
          <w:szCs w:val="32"/>
        </w:rPr>
      </w:pPr>
      <w:r>
        <w:rPr>
          <w:rFonts w:hint="eastAsia" w:ascii="宋体" w:hAnsi="宋体" w:cs="宋体"/>
          <w:b/>
          <w:sz w:val="32"/>
          <w:szCs w:val="32"/>
        </w:rPr>
        <w:t>部门专项资金绩效目标</w:t>
      </w:r>
    </w:p>
    <w:p w14:paraId="0D561556">
      <w:pPr>
        <w:ind w:firstLine="640" w:firstLineChars="200"/>
        <w:rPr>
          <w:sz w:val="32"/>
          <w:szCs w:val="32"/>
        </w:rPr>
      </w:pPr>
      <w:r>
        <w:rPr>
          <w:rFonts w:hint="eastAsia"/>
          <w:sz w:val="32"/>
          <w:szCs w:val="32"/>
        </w:rPr>
        <w:t>对困难职工群体开展帮扶慰问，实施“六个一批”帮扶措施，帮助缓解困难职工家庭医疗、就学、就业等困难。对劳模进行走访慰问。</w:t>
      </w:r>
    </w:p>
    <w:p w14:paraId="5DF49D7F">
      <w:pPr>
        <w:pStyle w:val="2"/>
        <w:rPr>
          <w:sz w:val="32"/>
          <w:szCs w:val="32"/>
        </w:rPr>
      </w:pPr>
    </w:p>
    <w:p w14:paraId="776C87A3">
      <w:pPr>
        <w:pStyle w:val="8"/>
        <w:spacing w:line="600" w:lineRule="exact"/>
        <w:ind w:firstLine="0" w:firstLineChars="0"/>
        <w:rPr>
          <w:rFonts w:ascii="宋体" w:hAnsi="宋体" w:cs="宋体"/>
          <w:b/>
          <w:bCs/>
          <w:sz w:val="32"/>
          <w:szCs w:val="32"/>
        </w:rPr>
      </w:pPr>
      <w:r>
        <w:rPr>
          <w:rFonts w:hint="eastAsia" w:ascii="宋体" w:hAnsi="宋体" w:cs="宋体"/>
          <w:b/>
          <w:bCs/>
          <w:sz w:val="32"/>
          <w:szCs w:val="32"/>
        </w:rPr>
        <w:t>二、一般公共预算支出情况</w:t>
      </w:r>
    </w:p>
    <w:p w14:paraId="3E891868">
      <w:pPr>
        <w:pStyle w:val="8"/>
        <w:spacing w:line="600" w:lineRule="exact"/>
        <w:ind w:firstLine="643"/>
        <w:rPr>
          <w:rFonts w:ascii="宋体" w:hAnsi="宋体" w:cs="宋体"/>
          <w:b/>
          <w:sz w:val="32"/>
          <w:szCs w:val="32"/>
        </w:rPr>
      </w:pPr>
      <w:r>
        <w:rPr>
          <w:rFonts w:hint="eastAsia" w:ascii="宋体" w:hAnsi="宋体" w:cs="宋体"/>
          <w:b/>
          <w:sz w:val="32"/>
          <w:szCs w:val="32"/>
        </w:rPr>
        <w:t>（一）基本支出情况</w:t>
      </w:r>
    </w:p>
    <w:p w14:paraId="6756BD3E">
      <w:pPr>
        <w:pStyle w:val="8"/>
        <w:spacing w:line="600" w:lineRule="exact"/>
        <w:ind w:firstLine="640"/>
        <w:rPr>
          <w:rFonts w:ascii="宋体" w:hAnsi="宋体" w:cs="宋体"/>
          <w:bCs/>
          <w:color w:val="000000"/>
          <w:sz w:val="32"/>
          <w:szCs w:val="32"/>
        </w:rPr>
      </w:pPr>
      <w:r>
        <w:rPr>
          <w:rFonts w:hint="eastAsia" w:ascii="宋体" w:hAnsi="宋体" w:cs="宋体"/>
          <w:bCs/>
          <w:sz w:val="32"/>
          <w:szCs w:val="32"/>
        </w:rPr>
        <w:t>1、</w:t>
      </w:r>
      <w:r>
        <w:rPr>
          <w:rFonts w:hint="eastAsia" w:ascii="宋体" w:hAnsi="宋体" w:cs="宋体"/>
          <w:bCs/>
          <w:color w:val="000000"/>
          <w:sz w:val="32"/>
          <w:szCs w:val="32"/>
        </w:rPr>
        <w:t>2024年预算资金为201.58万元</w:t>
      </w:r>
    </w:p>
    <w:p w14:paraId="1BEDE30F">
      <w:pPr>
        <w:pStyle w:val="8"/>
        <w:spacing w:line="600" w:lineRule="exact"/>
        <w:ind w:firstLine="640"/>
        <w:rPr>
          <w:rFonts w:ascii="宋体" w:hAnsi="宋体" w:cs="宋体"/>
          <w:bCs/>
          <w:sz w:val="32"/>
          <w:szCs w:val="32"/>
        </w:rPr>
      </w:pPr>
      <w:r>
        <w:rPr>
          <w:rFonts w:hint="eastAsia" w:ascii="宋体" w:hAnsi="宋体" w:cs="宋体"/>
          <w:bCs/>
          <w:sz w:val="32"/>
          <w:szCs w:val="32"/>
        </w:rPr>
        <w:t>2、2024年度单位一般公共预算财政拨款收入183.49万元</w:t>
      </w:r>
    </w:p>
    <w:p w14:paraId="2F771648">
      <w:pPr>
        <w:pStyle w:val="8"/>
        <w:spacing w:line="600" w:lineRule="exact"/>
        <w:ind w:firstLine="640"/>
        <w:rPr>
          <w:rFonts w:ascii="宋体" w:hAnsi="宋体" w:cs="宋体"/>
          <w:color w:val="0000FF"/>
          <w:sz w:val="32"/>
          <w:szCs w:val="32"/>
        </w:rPr>
      </w:pPr>
      <w:r>
        <w:rPr>
          <w:rFonts w:hint="eastAsia" w:ascii="宋体" w:hAnsi="宋体" w:cs="宋体"/>
          <w:bCs/>
          <w:sz w:val="32"/>
          <w:szCs w:val="32"/>
        </w:rPr>
        <w:t>3.2021年度单位一般公共预算财政拨款支出183.49万元，</w:t>
      </w:r>
      <w:r>
        <w:rPr>
          <w:rFonts w:hint="eastAsia" w:ascii="宋体" w:hAnsi="宋体" w:cs="宋体"/>
          <w:sz w:val="32"/>
          <w:szCs w:val="32"/>
        </w:rPr>
        <w:t>其中：项目支出17.85万元，基本支出165.64万元，其中：人员经费145.71万元，公用经费19.93万元。</w:t>
      </w:r>
    </w:p>
    <w:p w14:paraId="396AE895">
      <w:pPr>
        <w:pStyle w:val="8"/>
        <w:numPr>
          <w:ilvl w:val="0"/>
          <w:numId w:val="2"/>
        </w:numPr>
        <w:spacing w:line="600" w:lineRule="exact"/>
        <w:ind w:firstLine="643"/>
        <w:rPr>
          <w:rFonts w:ascii="宋体" w:hAnsi="宋体" w:cs="宋体"/>
          <w:b/>
          <w:sz w:val="32"/>
          <w:szCs w:val="32"/>
        </w:rPr>
      </w:pPr>
      <w:r>
        <w:rPr>
          <w:rFonts w:hint="eastAsia" w:ascii="宋体" w:hAnsi="宋体" w:cs="宋体"/>
          <w:b/>
          <w:sz w:val="32"/>
          <w:szCs w:val="32"/>
        </w:rPr>
        <w:t>项目支出情况</w:t>
      </w:r>
    </w:p>
    <w:p w14:paraId="60A8B3F5">
      <w:pPr>
        <w:pStyle w:val="8"/>
        <w:numPr>
          <w:ilvl w:val="0"/>
          <w:numId w:val="3"/>
        </w:numPr>
        <w:spacing w:line="600" w:lineRule="exact"/>
        <w:ind w:firstLine="640"/>
        <w:rPr>
          <w:rFonts w:ascii="宋体" w:hAnsi="宋体" w:cs="宋体"/>
          <w:sz w:val="32"/>
          <w:szCs w:val="32"/>
        </w:rPr>
      </w:pPr>
      <w:r>
        <w:rPr>
          <w:rFonts w:hint="eastAsia" w:ascii="宋体" w:hAnsi="宋体" w:cs="宋体"/>
          <w:sz w:val="32"/>
          <w:szCs w:val="32"/>
        </w:rPr>
        <w:t>两节慰问项目支出14.99万元；</w:t>
      </w:r>
    </w:p>
    <w:p w14:paraId="020692F7">
      <w:pPr>
        <w:pStyle w:val="8"/>
        <w:numPr>
          <w:ilvl w:val="0"/>
          <w:numId w:val="3"/>
        </w:numPr>
        <w:spacing w:line="600" w:lineRule="exact"/>
        <w:ind w:firstLine="640"/>
        <w:rPr>
          <w:rFonts w:ascii="宋体" w:hAnsi="宋体" w:cs="宋体"/>
          <w:sz w:val="32"/>
          <w:szCs w:val="32"/>
        </w:rPr>
      </w:pPr>
      <w:r>
        <w:rPr>
          <w:rFonts w:hint="eastAsia" w:ascii="宋体" w:hAnsi="宋体" w:cs="宋体"/>
          <w:sz w:val="32"/>
          <w:szCs w:val="32"/>
        </w:rPr>
        <w:t>换届经费项目支出2.86万元。</w:t>
      </w:r>
    </w:p>
    <w:p w14:paraId="541BBF81">
      <w:pPr>
        <w:pStyle w:val="8"/>
        <w:spacing w:line="600" w:lineRule="exact"/>
        <w:ind w:firstLine="0" w:firstLineChars="0"/>
        <w:rPr>
          <w:rFonts w:ascii="宋体" w:hAnsi="宋体" w:cs="宋体"/>
          <w:b/>
          <w:bCs/>
          <w:sz w:val="32"/>
          <w:szCs w:val="32"/>
        </w:rPr>
      </w:pPr>
      <w:r>
        <w:rPr>
          <w:rFonts w:hint="eastAsia" w:ascii="宋体" w:hAnsi="宋体" w:cs="宋体"/>
          <w:b/>
          <w:bCs/>
          <w:sz w:val="32"/>
          <w:szCs w:val="32"/>
        </w:rPr>
        <w:t>三、政府性基金预算支出情况</w:t>
      </w:r>
    </w:p>
    <w:p w14:paraId="03A05CA9">
      <w:pPr>
        <w:tabs>
          <w:tab w:val="left" w:pos="7560"/>
        </w:tabs>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本单位2024年决算无政府性基金预算财政拨款支出。</w:t>
      </w:r>
    </w:p>
    <w:p w14:paraId="1DD5C701">
      <w:pPr>
        <w:pStyle w:val="8"/>
        <w:spacing w:line="600" w:lineRule="exact"/>
        <w:ind w:firstLine="0" w:firstLineChars="0"/>
        <w:rPr>
          <w:rFonts w:ascii="宋体" w:hAnsi="宋体" w:cs="宋体"/>
          <w:b/>
          <w:bCs/>
          <w:sz w:val="32"/>
          <w:szCs w:val="32"/>
        </w:rPr>
      </w:pPr>
      <w:r>
        <w:rPr>
          <w:rFonts w:hint="eastAsia" w:ascii="宋体" w:hAnsi="宋体" w:cs="宋体"/>
          <w:b/>
          <w:bCs/>
          <w:sz w:val="32"/>
          <w:szCs w:val="32"/>
        </w:rPr>
        <w:t>四、国有资本经营预算支出情况</w:t>
      </w:r>
    </w:p>
    <w:p w14:paraId="2FF318AD">
      <w:pPr>
        <w:tabs>
          <w:tab w:val="left" w:pos="7560"/>
        </w:tabs>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本单位2024年决算无国有资本经营预算财政拨款支出。</w:t>
      </w:r>
    </w:p>
    <w:p w14:paraId="1DC12728">
      <w:pPr>
        <w:pStyle w:val="8"/>
        <w:spacing w:line="600" w:lineRule="exact"/>
        <w:ind w:firstLine="0" w:firstLineChars="0"/>
        <w:rPr>
          <w:rFonts w:ascii="宋体" w:hAnsi="宋体" w:cs="宋体"/>
          <w:b/>
          <w:bCs/>
          <w:sz w:val="32"/>
          <w:szCs w:val="32"/>
        </w:rPr>
      </w:pPr>
      <w:r>
        <w:rPr>
          <w:rFonts w:hint="eastAsia" w:ascii="宋体" w:hAnsi="宋体" w:cs="宋体"/>
          <w:b/>
          <w:bCs/>
          <w:sz w:val="32"/>
          <w:szCs w:val="32"/>
        </w:rPr>
        <w:t>五、社会保险基金预算支出情况</w:t>
      </w:r>
    </w:p>
    <w:p w14:paraId="7EE06F8C">
      <w:pPr>
        <w:pStyle w:val="8"/>
        <w:spacing w:line="600" w:lineRule="exact"/>
        <w:ind w:firstLine="640"/>
        <w:rPr>
          <w:rFonts w:ascii="宋体" w:hAnsi="宋体" w:cs="宋体"/>
          <w:sz w:val="32"/>
          <w:szCs w:val="32"/>
        </w:rPr>
      </w:pPr>
      <w:r>
        <w:rPr>
          <w:rFonts w:hint="eastAsia" w:ascii="宋体" w:hAnsi="宋体" w:cs="宋体"/>
          <w:sz w:val="32"/>
          <w:szCs w:val="32"/>
        </w:rPr>
        <w:t>本单位2024年决算无社会保险基金财政拨款支出。</w:t>
      </w:r>
    </w:p>
    <w:p w14:paraId="586849C4">
      <w:pPr>
        <w:spacing w:line="600" w:lineRule="exact"/>
        <w:rPr>
          <w:rFonts w:ascii="宋体" w:hAnsi="宋体" w:cs="宋体"/>
          <w:b/>
          <w:bCs/>
          <w:sz w:val="32"/>
          <w:szCs w:val="32"/>
        </w:rPr>
      </w:pPr>
      <w:r>
        <w:rPr>
          <w:rFonts w:hint="eastAsia" w:ascii="宋体" w:hAnsi="宋体" w:cs="宋体"/>
          <w:b/>
          <w:bCs/>
          <w:sz w:val="32"/>
          <w:szCs w:val="32"/>
        </w:rPr>
        <w:t>六、资金使用及绩效情况</w:t>
      </w:r>
    </w:p>
    <w:p w14:paraId="3794552A">
      <w:pPr>
        <w:spacing w:line="600" w:lineRule="exact"/>
        <w:ind w:firstLine="643" w:firstLineChars="200"/>
        <w:rPr>
          <w:rFonts w:ascii="宋体" w:hAnsi="宋体" w:cs="宋体"/>
          <w:b/>
          <w:sz w:val="32"/>
          <w:szCs w:val="32"/>
        </w:rPr>
      </w:pPr>
      <w:r>
        <w:rPr>
          <w:rFonts w:hint="eastAsia" w:ascii="宋体" w:hAnsi="宋体" w:cs="宋体"/>
          <w:b/>
          <w:sz w:val="32"/>
          <w:szCs w:val="32"/>
        </w:rPr>
        <w:t>(一）部门整体支出绩效情况</w:t>
      </w:r>
    </w:p>
    <w:p w14:paraId="06AD46DA">
      <w:pPr>
        <w:tabs>
          <w:tab w:val="left" w:pos="7560"/>
        </w:tabs>
        <w:adjustRightInd w:val="0"/>
        <w:snapToGrid w:val="0"/>
        <w:spacing w:line="560" w:lineRule="exact"/>
        <w:ind w:firstLine="640" w:firstLineChars="200"/>
        <w:rPr>
          <w:rFonts w:ascii="宋体" w:hAnsi="宋体" w:cs="宋体"/>
          <w:sz w:val="32"/>
          <w:szCs w:val="32"/>
        </w:rPr>
      </w:pPr>
      <w:r>
        <w:rPr>
          <w:rFonts w:hint="eastAsia" w:ascii="宋体" w:hAnsi="宋体" w:cs="宋体"/>
          <w:color w:val="000000"/>
          <w:sz w:val="32"/>
          <w:szCs w:val="32"/>
        </w:rPr>
        <w:t>本单位2024年年初预算资金总计</w:t>
      </w:r>
      <w:r>
        <w:rPr>
          <w:rFonts w:hint="eastAsia" w:ascii="宋体" w:hAnsi="宋体" w:cs="宋体"/>
          <w:sz w:val="32"/>
          <w:szCs w:val="32"/>
        </w:rPr>
        <w:t>201.58</w:t>
      </w:r>
      <w:r>
        <w:rPr>
          <w:rFonts w:hint="eastAsia" w:ascii="宋体" w:hAnsi="宋体" w:cs="宋体"/>
          <w:color w:val="000000"/>
          <w:sz w:val="32"/>
          <w:szCs w:val="32"/>
        </w:rPr>
        <w:t>万元，实际单位年度总支出183.49万元，预算执行率为91.03%。对困难职工开展帮扶救助，提高困难职工家庭生活水平，对劳模进行走访慰问。积极履职，强化管理，较好的完成了年度工作目标。</w:t>
      </w:r>
    </w:p>
    <w:p w14:paraId="4E8C5040">
      <w:pPr>
        <w:spacing w:line="600" w:lineRule="exact"/>
        <w:ind w:firstLine="643" w:firstLineChars="200"/>
        <w:rPr>
          <w:rFonts w:ascii="宋体" w:hAnsi="宋体" w:cs="宋体"/>
          <w:b/>
          <w:sz w:val="32"/>
          <w:szCs w:val="32"/>
        </w:rPr>
      </w:pPr>
      <w:r>
        <w:rPr>
          <w:rFonts w:hint="eastAsia" w:ascii="宋体" w:hAnsi="宋体" w:cs="宋体"/>
          <w:b/>
          <w:sz w:val="32"/>
          <w:szCs w:val="32"/>
        </w:rPr>
        <w:t>（二）专项资金支出绩效情况</w:t>
      </w:r>
    </w:p>
    <w:p w14:paraId="772A84B1">
      <w:pPr>
        <w:pStyle w:val="8"/>
        <w:spacing w:line="600" w:lineRule="exact"/>
        <w:ind w:firstLine="640"/>
        <w:rPr>
          <w:rFonts w:ascii="宋体" w:hAnsi="宋体" w:cs="宋体"/>
          <w:color w:val="000000"/>
          <w:sz w:val="32"/>
          <w:szCs w:val="32"/>
        </w:rPr>
      </w:pPr>
      <w:r>
        <w:rPr>
          <w:rFonts w:hint="eastAsia" w:ascii="宋体" w:hAnsi="宋体" w:cs="宋体"/>
          <w:color w:val="000000"/>
          <w:sz w:val="32"/>
          <w:szCs w:val="32"/>
        </w:rPr>
        <w:t>1.资金使用</w:t>
      </w:r>
    </w:p>
    <w:p w14:paraId="0AEE45DD">
      <w:pPr>
        <w:pStyle w:val="8"/>
        <w:spacing w:line="600" w:lineRule="exact"/>
        <w:ind w:firstLine="640"/>
        <w:rPr>
          <w:rFonts w:ascii="宋体" w:hAnsi="宋体" w:cs="宋体"/>
          <w:color w:val="000000"/>
          <w:sz w:val="32"/>
          <w:szCs w:val="32"/>
        </w:rPr>
      </w:pPr>
      <w:r>
        <w:rPr>
          <w:rFonts w:hint="eastAsia" w:ascii="宋体" w:hAnsi="宋体" w:cs="宋体"/>
          <w:color w:val="000000"/>
          <w:sz w:val="32"/>
          <w:szCs w:val="32"/>
        </w:rPr>
        <w:t>（1）严格资金使用管理。我单位制定了内部控制手册，涵盖了内部控制体系的建立、相关财务收支、政府采购、预算业务、资产管理、费用报销、合同管理、建设项目等业务方面管理制度。</w:t>
      </w:r>
    </w:p>
    <w:p w14:paraId="61BC3646">
      <w:pPr>
        <w:pStyle w:val="5"/>
        <w:widowControl/>
        <w:spacing w:line="520" w:lineRule="exact"/>
        <w:ind w:firstLine="640" w:firstLineChars="200"/>
        <w:rPr>
          <w:rFonts w:ascii="宋体" w:hAnsi="宋体" w:cs="宋体"/>
          <w:sz w:val="32"/>
          <w:szCs w:val="32"/>
        </w:rPr>
      </w:pPr>
      <w:r>
        <w:rPr>
          <w:rFonts w:hint="eastAsia" w:ascii="宋体" w:hAnsi="宋体" w:cs="宋体"/>
          <w:color w:val="000000"/>
          <w:sz w:val="32"/>
          <w:szCs w:val="32"/>
        </w:rPr>
        <w:t>（2）切实做到专款专用。</w:t>
      </w:r>
      <w:r>
        <w:rPr>
          <w:rFonts w:hint="eastAsia" w:ascii="宋体" w:hAnsi="宋体" w:cs="宋体"/>
          <w:sz w:val="32"/>
          <w:szCs w:val="32"/>
        </w:rPr>
        <w:t>本部门2024年年初预算专项资金共2个，具体情况如下：</w:t>
      </w:r>
    </w:p>
    <w:p w14:paraId="1D6CBE92">
      <w:pPr>
        <w:tabs>
          <w:tab w:val="left" w:pos="7560"/>
        </w:tabs>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一是慰问经费，预算支出15万元，实际支出14.99万元，该专项资金支出是为了确保:对困难职工群体开展帮扶慰问，实施“六个一批”帮扶措施，帮助缓解困难职工家庭医疗、就学、就业等困难。对劳模进行走访慰问，提高广大困难职工以及劳动模范的生活水平，体现组织的关怀。</w:t>
      </w:r>
    </w:p>
    <w:p w14:paraId="249F3932">
      <w:pPr>
        <w:tabs>
          <w:tab w:val="left" w:pos="7560"/>
        </w:tabs>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二是换届经费，预算支出3万元，实际支出2.86万元，该专项资金支出是为了确保:换届选举。</w:t>
      </w:r>
    </w:p>
    <w:p w14:paraId="17D15A90">
      <w:pPr>
        <w:numPr>
          <w:ilvl w:val="0"/>
          <w:numId w:val="4"/>
        </w:numPr>
        <w:snapToGrid w:val="0"/>
        <w:spacing w:line="560" w:lineRule="exact"/>
        <w:ind w:left="420" w:leftChars="200"/>
        <w:rPr>
          <w:rFonts w:ascii="宋体" w:hAnsi="宋体" w:cs="宋体"/>
          <w:sz w:val="32"/>
          <w:szCs w:val="32"/>
        </w:rPr>
      </w:pPr>
      <w:r>
        <w:rPr>
          <w:rFonts w:hint="eastAsia" w:ascii="宋体" w:hAnsi="宋体" w:cs="宋体"/>
          <w:sz w:val="32"/>
          <w:szCs w:val="32"/>
        </w:rPr>
        <w:t>绩效情况</w:t>
      </w:r>
    </w:p>
    <w:p w14:paraId="2112CB99">
      <w:pPr>
        <w:pStyle w:val="5"/>
        <w:spacing w:line="560" w:lineRule="exact"/>
        <w:ind w:firstLine="640" w:firstLineChars="200"/>
        <w:rPr>
          <w:rFonts w:ascii="宋体" w:hAnsi="宋体" w:cs="宋体"/>
          <w:sz w:val="32"/>
          <w:szCs w:val="32"/>
          <w:shd w:val="clear" w:color="auto" w:fill="FFFFFF"/>
        </w:rPr>
      </w:pPr>
      <w:r>
        <w:rPr>
          <w:rFonts w:hint="eastAsia" w:ascii="宋体" w:hAnsi="宋体" w:cs="宋体"/>
          <w:sz w:val="32"/>
          <w:szCs w:val="32"/>
        </w:rPr>
        <w:t>2024年</w:t>
      </w:r>
      <w:r>
        <w:rPr>
          <w:rFonts w:hint="eastAsia" w:ascii="宋体" w:hAnsi="宋体" w:cs="宋体"/>
          <w:sz w:val="32"/>
          <w:szCs w:val="32"/>
          <w:shd w:val="clear" w:color="auto" w:fill="FFFFFF"/>
        </w:rPr>
        <w:t>，在区委和市总的悉心指导的坚强领导下，坚持以习近平新时代中国特色社会主义思想为指导，全面贯彻落实党的二十大精神，围绕中心大局，聚焦主责主业，致力精准服务，彰显“工”字特色，团结动员广大职工为芦淞高质量发展贡献工会力量。</w:t>
      </w:r>
    </w:p>
    <w:p w14:paraId="0FD4BC89">
      <w:pPr>
        <w:spacing w:line="560" w:lineRule="exact"/>
        <w:ind w:firstLine="640" w:firstLineChars="200"/>
        <w:rPr>
          <w:rFonts w:ascii="宋体" w:hAnsi="宋体" w:cs="宋体"/>
          <w:color w:val="auto"/>
          <w:sz w:val="32"/>
          <w:szCs w:val="32"/>
          <w:shd w:val="clear" w:color="auto" w:fill="FFFFFF"/>
        </w:rPr>
      </w:pPr>
      <w:r>
        <w:rPr>
          <w:rFonts w:hint="eastAsia" w:ascii="宋体" w:hAnsi="宋体" w:cs="宋体"/>
          <w:color w:val="auto"/>
          <w:sz w:val="32"/>
          <w:szCs w:val="32"/>
          <w:shd w:val="clear" w:color="auto" w:fill="FFFFFF"/>
        </w:rPr>
        <w:t>在新春佳节即将到来之际，对建档困难职工、企业困难职工、社区困难职工、大病致困职工、环卫工人，新就业形态劳动者、劳动模范进行节日慰问，并送上诚挚问候和新春祝福，全年</w:t>
      </w:r>
      <w:r>
        <w:rPr>
          <w:rFonts w:hint="eastAsia" w:ascii="宋体" w:hAnsi="宋体" w:cs="宋体"/>
          <w:color w:val="auto"/>
          <w:kern w:val="0"/>
          <w:sz w:val="32"/>
          <w:szCs w:val="32"/>
          <w:lang w:bidi="zh-CN"/>
        </w:rPr>
        <w:t>帮扶慰问困难职工人数&gt;600人，慰问劳模人数37人。</w:t>
      </w:r>
      <w:r>
        <w:rPr>
          <w:rFonts w:hint="eastAsia" w:ascii="宋体" w:hAnsi="宋体" w:cs="宋体"/>
          <w:color w:val="auto"/>
          <w:kern w:val="0"/>
          <w:sz w:val="32"/>
          <w:szCs w:val="32"/>
        </w:rPr>
        <w:t>对困难职工群体开展帮扶慰问，实施“六个一批”帮扶措施，帮助缓解困难职工家庭医疗、就学、就业等困难。对劳模进行走访慰问。</w:t>
      </w:r>
    </w:p>
    <w:p w14:paraId="6BC4DF13">
      <w:pPr>
        <w:pStyle w:val="8"/>
        <w:spacing w:line="600" w:lineRule="exact"/>
        <w:ind w:firstLine="0" w:firstLineChars="0"/>
        <w:rPr>
          <w:rFonts w:ascii="宋体" w:hAnsi="宋体" w:cs="宋体"/>
          <w:b/>
          <w:bCs/>
          <w:sz w:val="32"/>
          <w:szCs w:val="32"/>
        </w:rPr>
      </w:pPr>
      <w:r>
        <w:rPr>
          <w:rFonts w:hint="eastAsia" w:ascii="宋体" w:hAnsi="宋体" w:cs="宋体"/>
          <w:b/>
          <w:bCs/>
          <w:sz w:val="32"/>
          <w:szCs w:val="32"/>
        </w:rPr>
        <w:t>七、存在的问题及原因分析</w:t>
      </w:r>
    </w:p>
    <w:p w14:paraId="76FC018B">
      <w:pPr>
        <w:spacing w:line="600" w:lineRule="exact"/>
        <w:ind w:firstLine="640" w:firstLineChars="200"/>
        <w:rPr>
          <w:rFonts w:ascii="宋体" w:hAnsi="宋体" w:cs="宋体"/>
          <w:sz w:val="32"/>
          <w:szCs w:val="32"/>
        </w:rPr>
      </w:pPr>
      <w:r>
        <w:rPr>
          <w:rFonts w:hint="eastAsia" w:ascii="宋体" w:hAnsi="宋体" w:cs="宋体"/>
          <w:sz w:val="32"/>
          <w:szCs w:val="32"/>
        </w:rPr>
        <w:t>无</w:t>
      </w:r>
    </w:p>
    <w:p w14:paraId="1FE30182">
      <w:pPr>
        <w:spacing w:line="600" w:lineRule="exact"/>
        <w:rPr>
          <w:rFonts w:ascii="宋体" w:hAnsi="宋体" w:cs="宋体"/>
          <w:b/>
          <w:bCs/>
          <w:sz w:val="32"/>
          <w:szCs w:val="32"/>
        </w:rPr>
      </w:pPr>
      <w:r>
        <w:rPr>
          <w:rFonts w:hint="eastAsia" w:ascii="宋体" w:hAnsi="宋体" w:cs="宋体"/>
          <w:b/>
          <w:bCs/>
          <w:sz w:val="32"/>
          <w:szCs w:val="32"/>
        </w:rPr>
        <w:t>八、下一步改进措施</w:t>
      </w:r>
    </w:p>
    <w:p w14:paraId="2146A717">
      <w:pPr>
        <w:pStyle w:val="2"/>
        <w:ind w:left="420" w:leftChars="200" w:firstLine="320" w:firstLineChars="100"/>
        <w:rPr>
          <w:rFonts w:ascii="宋体" w:hAnsi="宋体" w:cs="宋体"/>
          <w:sz w:val="32"/>
          <w:szCs w:val="32"/>
        </w:rPr>
      </w:pPr>
      <w:r>
        <w:rPr>
          <w:rFonts w:hint="eastAsia" w:ascii="宋体" w:hAnsi="宋体" w:cs="宋体"/>
          <w:sz w:val="32"/>
          <w:szCs w:val="32"/>
        </w:rPr>
        <w:t>无</w:t>
      </w:r>
    </w:p>
    <w:p w14:paraId="16ABB958">
      <w:pPr>
        <w:pStyle w:val="2"/>
        <w:rPr>
          <w:rFonts w:ascii="宋体" w:hAnsi="宋体" w:cs="宋体"/>
          <w:b/>
          <w:bCs/>
          <w:sz w:val="32"/>
          <w:szCs w:val="32"/>
        </w:rPr>
      </w:pPr>
      <w:r>
        <w:rPr>
          <w:rFonts w:hint="eastAsia" w:ascii="宋体" w:hAnsi="宋体" w:cs="宋体"/>
          <w:b/>
          <w:bCs/>
          <w:sz w:val="32"/>
          <w:szCs w:val="32"/>
        </w:rPr>
        <w:t>九、绩效自评结果拟应用和公开情况</w:t>
      </w:r>
    </w:p>
    <w:p w14:paraId="349286C5">
      <w:pPr>
        <w:ind w:firstLine="640" w:firstLineChars="200"/>
      </w:pPr>
      <w:r>
        <w:rPr>
          <w:rFonts w:hint="eastAsia" w:ascii="宋体" w:hAnsi="宋体" w:cs="宋体"/>
          <w:sz w:val="32"/>
          <w:szCs w:val="32"/>
        </w:rPr>
        <w:t>本单位无独立网站，绩效自评报告将在政府门户网站与决算报告一起公开。</w:t>
      </w:r>
    </w:p>
    <w:p w14:paraId="08B020CA">
      <w:pPr>
        <w:spacing w:line="600" w:lineRule="exact"/>
      </w:pPr>
      <w:r>
        <w:rPr>
          <w:rFonts w:hint="eastAsia" w:ascii="宋体" w:hAnsi="宋体" w:cs="宋体"/>
          <w:b/>
          <w:bCs/>
          <w:sz w:val="32"/>
          <w:szCs w:val="32"/>
        </w:rPr>
        <w:t>十、其他需要说明的情况</w:t>
      </w:r>
    </w:p>
    <w:p w14:paraId="7CBFC8E0">
      <w:pPr>
        <w:pStyle w:val="2"/>
        <w:ind w:left="420" w:leftChars="200" w:firstLine="320" w:firstLineChars="100"/>
        <w:rPr>
          <w:rFonts w:ascii="宋体" w:hAnsi="宋体" w:cs="宋体"/>
          <w:sz w:val="32"/>
          <w:szCs w:val="32"/>
        </w:rPr>
      </w:pPr>
      <w:r>
        <w:rPr>
          <w:rFonts w:hint="eastAsia" w:ascii="宋体" w:hAnsi="宋体" w:cs="宋体"/>
          <w:sz w:val="32"/>
          <w:szCs w:val="32"/>
        </w:rPr>
        <w:t>无</w:t>
      </w:r>
    </w:p>
    <w:p w14:paraId="571C592F">
      <w:pPr>
        <w:pStyle w:val="2"/>
      </w:pPr>
    </w:p>
    <w:p w14:paraId="2A7F409C">
      <w:pPr>
        <w:spacing w:line="600" w:lineRule="exact"/>
        <w:ind w:firstLine="640" w:firstLineChars="200"/>
        <w:rPr>
          <w:rFonts w:ascii="宋体" w:hAnsi="宋体" w:cs="宋体"/>
          <w:sz w:val="32"/>
          <w:szCs w:val="32"/>
        </w:rPr>
      </w:pPr>
    </w:p>
    <w:p w14:paraId="67AF56A9">
      <w:pPr>
        <w:spacing w:line="600" w:lineRule="exact"/>
        <w:rPr>
          <w:rFonts w:eastAsia="仿宋_GB2312"/>
          <w:kern w:val="0"/>
          <w:sz w:val="32"/>
          <w:szCs w:val="32"/>
        </w:rPr>
      </w:pPr>
    </w:p>
    <w:p w14:paraId="169B173F">
      <w:r>
        <w:rPr>
          <w:rFonts w:eastAsia="黑体"/>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7F31A"/>
    <w:multiLevelType w:val="singleLevel"/>
    <w:tmpl w:val="CEC7F31A"/>
    <w:lvl w:ilvl="0" w:tentative="0">
      <w:start w:val="1"/>
      <w:numFmt w:val="decimal"/>
      <w:suff w:val="nothing"/>
      <w:lvlText w:val="%1、"/>
      <w:lvlJc w:val="left"/>
    </w:lvl>
  </w:abstractNum>
  <w:abstractNum w:abstractNumId="1">
    <w:nsid w:val="EBB1C54B"/>
    <w:multiLevelType w:val="singleLevel"/>
    <w:tmpl w:val="EBB1C54B"/>
    <w:lvl w:ilvl="0" w:tentative="0">
      <w:start w:val="2"/>
      <w:numFmt w:val="decimal"/>
      <w:lvlText w:val="%1."/>
      <w:lvlJc w:val="left"/>
      <w:pPr>
        <w:tabs>
          <w:tab w:val="left" w:pos="312"/>
        </w:tabs>
      </w:pPr>
    </w:lvl>
  </w:abstractNum>
  <w:abstractNum w:abstractNumId="2">
    <w:nsid w:val="05245081"/>
    <w:multiLevelType w:val="singleLevel"/>
    <w:tmpl w:val="05245081"/>
    <w:lvl w:ilvl="0" w:tentative="0">
      <w:start w:val="3"/>
      <w:numFmt w:val="chineseCounting"/>
      <w:suff w:val="nothing"/>
      <w:lvlText w:val="（%1）"/>
      <w:lvlJc w:val="left"/>
      <w:rPr>
        <w:rFonts w:hint="eastAsia"/>
      </w:rPr>
    </w:lvl>
  </w:abstractNum>
  <w:abstractNum w:abstractNumId="3">
    <w:nsid w:val="4890FF15"/>
    <w:multiLevelType w:val="singleLevel"/>
    <w:tmpl w:val="4890FF15"/>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M2I3YjlkYmJmNTkzNmZjMTczZGJlMjZjODg5OWQifQ=="/>
  </w:docVars>
  <w:rsids>
    <w:rsidRoot w:val="00462629"/>
    <w:rsid w:val="00004E70"/>
    <w:rsid w:val="00037094"/>
    <w:rsid w:val="00207FA3"/>
    <w:rsid w:val="002C0350"/>
    <w:rsid w:val="00462629"/>
    <w:rsid w:val="005A433C"/>
    <w:rsid w:val="007917CE"/>
    <w:rsid w:val="00831599"/>
    <w:rsid w:val="008C62A7"/>
    <w:rsid w:val="00A56C8A"/>
    <w:rsid w:val="00D108BF"/>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5F02E5"/>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DD5FD7"/>
    <w:rsid w:val="14E33844"/>
    <w:rsid w:val="14EA23A8"/>
    <w:rsid w:val="15A27FE2"/>
    <w:rsid w:val="1627453B"/>
    <w:rsid w:val="16C15493"/>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905BC0"/>
    <w:rsid w:val="1DCB47DF"/>
    <w:rsid w:val="1E601115"/>
    <w:rsid w:val="1EB03217"/>
    <w:rsid w:val="1F000FB0"/>
    <w:rsid w:val="1F111AD7"/>
    <w:rsid w:val="1F5A1E7F"/>
    <w:rsid w:val="1FA707DF"/>
    <w:rsid w:val="1FFE7B8C"/>
    <w:rsid w:val="203C025A"/>
    <w:rsid w:val="20775CA3"/>
    <w:rsid w:val="217A1AB1"/>
    <w:rsid w:val="22695B47"/>
    <w:rsid w:val="22EA5935"/>
    <w:rsid w:val="243235AA"/>
    <w:rsid w:val="24B10BAC"/>
    <w:rsid w:val="24D2061D"/>
    <w:rsid w:val="251132F3"/>
    <w:rsid w:val="253C38DE"/>
    <w:rsid w:val="25B24E22"/>
    <w:rsid w:val="262B4FF6"/>
    <w:rsid w:val="264810A7"/>
    <w:rsid w:val="265A7CC8"/>
    <w:rsid w:val="27014400"/>
    <w:rsid w:val="271B2298"/>
    <w:rsid w:val="276D0D8C"/>
    <w:rsid w:val="27DE2311"/>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DF80961"/>
    <w:rsid w:val="2E1C0F3D"/>
    <w:rsid w:val="2E69253C"/>
    <w:rsid w:val="2EEF2198"/>
    <w:rsid w:val="2F0246FC"/>
    <w:rsid w:val="2F080155"/>
    <w:rsid w:val="30343502"/>
    <w:rsid w:val="30470CFF"/>
    <w:rsid w:val="306918BE"/>
    <w:rsid w:val="30A37680"/>
    <w:rsid w:val="31434FCB"/>
    <w:rsid w:val="31AF70F0"/>
    <w:rsid w:val="32D24F00"/>
    <w:rsid w:val="32D963A9"/>
    <w:rsid w:val="32ED21B4"/>
    <w:rsid w:val="331926DE"/>
    <w:rsid w:val="35124AFB"/>
    <w:rsid w:val="35164EC9"/>
    <w:rsid w:val="35EE1AE6"/>
    <w:rsid w:val="36216ACD"/>
    <w:rsid w:val="367274F5"/>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487C50"/>
    <w:rsid w:val="3F7004CB"/>
    <w:rsid w:val="3FFC7781"/>
    <w:rsid w:val="405317F7"/>
    <w:rsid w:val="40754FF3"/>
    <w:rsid w:val="40A91231"/>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829C2"/>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2763BA"/>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7D2A4C"/>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254614"/>
    <w:rsid w:val="66A877C4"/>
    <w:rsid w:val="67303E4C"/>
    <w:rsid w:val="67347CE6"/>
    <w:rsid w:val="675A5E15"/>
    <w:rsid w:val="677549A9"/>
    <w:rsid w:val="67F2708D"/>
    <w:rsid w:val="68030691"/>
    <w:rsid w:val="689E76A5"/>
    <w:rsid w:val="68DB1AF2"/>
    <w:rsid w:val="68E0427F"/>
    <w:rsid w:val="68F75735"/>
    <w:rsid w:val="694757F4"/>
    <w:rsid w:val="6A927E4E"/>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04A34"/>
    <w:rsid w:val="772B072A"/>
    <w:rsid w:val="777D78E1"/>
    <w:rsid w:val="778F1D5A"/>
    <w:rsid w:val="77976F68"/>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paragraph" w:styleId="8">
    <w:name w:val="List Paragraph"/>
    <w:basedOn w:val="1"/>
    <w:qFormat/>
    <w:uiPriority w:val="99"/>
    <w:pPr>
      <w:ind w:firstLine="420" w:firstLineChars="200"/>
    </w:pPr>
    <w:rPr>
      <w:rFonts w:ascii="Calibri" w:hAnsi="Calibri"/>
      <w:szCs w:val="22"/>
    </w:rPr>
  </w:style>
  <w:style w:type="character" w:customStyle="1" w:styleId="9">
    <w:name w:val="页眉 Char"/>
    <w:basedOn w:val="7"/>
    <w:link w:val="4"/>
    <w:qFormat/>
    <w:uiPriority w:val="0"/>
    <w:rPr>
      <w:rFonts w:ascii="Times New Roman" w:hAnsi="Times New Roman" w:eastAsia="宋体" w:cs="Times New Roman"/>
      <w:kern w:val="2"/>
      <w:sz w:val="18"/>
      <w:szCs w:val="18"/>
    </w:rPr>
  </w:style>
  <w:style w:type="character" w:customStyle="1" w:styleId="10">
    <w:name w:val="页脚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2090</Words>
  <Characters>2190</Characters>
  <Lines>16</Lines>
  <Paragraphs>4</Paragraphs>
  <TotalTime>10</TotalTime>
  <ScaleCrop>false</ScaleCrop>
  <LinksUpToDate>false</LinksUpToDate>
  <CharactersWithSpaces>2190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2025-10-21T01:32:00Z</dcterms:created>
  <dc:creator>Administrator.BF-20190731HTSG</dc:creator>
  <cp:lastModifiedBy>宗</cp:lastModifiedBy>
  <dcterms:modified xsi:type="dcterms:W3CDTF">2026-01-26T08:26:17Z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4C607FCD61E54E03A61856C937B428B7_13</vt:lpwstr>
  </property>
  <property fmtid="{D5CDD505-2E9C-101B-9397-08002B2CF9AE}" pid="4" name="KSOTemplateDocerSaveRecord">
    <vt:lpwstr>eyJoZGlkIjoiODAwNDQyMzVmYmQzYjJkNDQyZmZjMTBiOWQ5MmU2ODMifQ==</vt:lpwstr>
  </property>
</Properties>
</file>