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4BB1">
      <w:pPr>
        <w:jc w:val="center"/>
        <w:rPr>
          <w:rFonts w:hint="eastAsia" w:eastAsia="方正小标宋_GBK"/>
          <w:sz w:val="48"/>
          <w:szCs w:val="48"/>
          <w:lang w:eastAsia="zh-CN"/>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eastAsia="zh-CN"/>
        </w:rPr>
        <w:t>株洲市芦淞区审计局</w:t>
      </w:r>
    </w:p>
    <w:p w14:paraId="03F5D9E3">
      <w:pPr>
        <w:jc w:val="center"/>
        <w:rPr>
          <w:rFonts w:eastAsia="方正小标宋_GBK"/>
          <w:sz w:val="48"/>
          <w:szCs w:val="48"/>
        </w:rPr>
      </w:pPr>
      <w:r>
        <w:rPr>
          <w:rFonts w:hint="eastAsia" w:eastAsia="方正小标宋_GBK"/>
          <w:sz w:val="48"/>
          <w:szCs w:val="48"/>
          <w:lang w:eastAsia="zh-CN"/>
        </w:rPr>
        <w:t>整体</w:t>
      </w:r>
      <w:r>
        <w:rPr>
          <w:rFonts w:eastAsia="方正小标宋_GBK"/>
          <w:sz w:val="48"/>
          <w:szCs w:val="48"/>
        </w:rPr>
        <w:t>支出绩效自评报告</w:t>
      </w: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bookmarkStart w:id="0" w:name="_GoBack"/>
      <w:bookmarkEnd w:id="0"/>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1EDFD64">
      <w:pPr>
        <w:jc w:val="center"/>
        <w:rPr>
          <w:rFonts w:eastAsia="仿宋_GB2312"/>
          <w:sz w:val="32"/>
          <w:szCs w:val="32"/>
        </w:rPr>
      </w:pPr>
      <w:r>
        <w:rPr>
          <w:rFonts w:eastAsia="仿宋_GB2312"/>
          <w:sz w:val="32"/>
          <w:szCs w:val="32"/>
        </w:rPr>
        <w:t>（此页为封面）</w:t>
      </w:r>
    </w:p>
    <w:p w14:paraId="48CE3933">
      <w:pPr>
        <w:jc w:val="center"/>
        <w:rPr>
          <w:rFonts w:eastAsia="仿宋_GB2312"/>
          <w:sz w:val="32"/>
          <w:szCs w:val="32"/>
        </w:rPr>
      </w:pPr>
    </w:p>
    <w:p w14:paraId="7505B1A1">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（一）部门（单位）基本情况</w:t>
      </w:r>
    </w:p>
    <w:p w14:paraId="630ED5F8">
      <w:pPr>
        <w:spacing w:line="60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株洲市芦淞区审计局系政府机关单位，芦淞区审计局内设机构包括：办公室、法制审理股、综合审计股、区投资审计中心。区投资审计中心为非独立核算二级机构。我单位执行政府会计准则制度。单位年末在职人员为12人，其中政府机关人员</w:t>
      </w: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人，全额拨款事业单位人员</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人，政府雇员2人。区投资审计中心聘用工程造价审核专职工程师3名。</w:t>
      </w:r>
    </w:p>
    <w:p w14:paraId="1213D3F0">
      <w:pPr>
        <w:spacing w:line="60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根据芦办发〔2019〕36号文件规定，本部门主要职责是：负责对全区财政收支和法律法规规定属于审计监督范围的财务收支的真实、合法和效益进行审计监督，对公有资金、国有 资产、国有资源和领导干部履行经济责任情况实行审计全覆盖，对领导干部实行自然资源资产离任审计，对中央省委省政府、市委市政府、区委区政府有关重大政策措施贯彻落实情况进行跟踪审计等。</w:t>
      </w:r>
    </w:p>
    <w:p w14:paraId="0988FCFA">
      <w:pPr>
        <w:spacing w:line="600" w:lineRule="exact"/>
        <w:ind w:firstLine="643" w:firstLineChars="200"/>
        <w:rPr>
          <w:rFonts w:hint="eastAsia" w:eastAsia="楷体_GB2312"/>
          <w:b/>
          <w:sz w:val="32"/>
          <w:szCs w:val="32"/>
          <w:lang w:eastAsia="zh-CN"/>
        </w:rPr>
      </w:pPr>
      <w:r>
        <w:rPr>
          <w:rFonts w:eastAsia="楷体_GB2312"/>
          <w:b/>
          <w:sz w:val="32"/>
          <w:szCs w:val="32"/>
        </w:rPr>
        <w:t>（二）部门（单位）年度整体支出绩效目标，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35449449">
      <w:pPr>
        <w:spacing w:line="60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坚持审热点：聚焦养老、医保、惠农、就业等民生资金和政府投资重点项目开展审计，形成常态化、动态化震慑。坚持审经常：聚焦党的自我革命，对</w:t>
      </w:r>
      <w:r>
        <w:rPr>
          <w:rFonts w:hint="eastAsia" w:ascii="仿宋" w:hAnsi="仿宋" w:eastAsia="仿宋" w:cs="仿宋"/>
          <w:b w:val="0"/>
          <w:bCs/>
          <w:sz w:val="32"/>
          <w:szCs w:val="32"/>
          <w:lang w:val="en-US" w:eastAsia="zh-CN"/>
        </w:rPr>
        <w:t>6-7</w:t>
      </w:r>
      <w:r>
        <w:rPr>
          <w:rFonts w:hint="eastAsia" w:ascii="仿宋" w:hAnsi="仿宋" w:eastAsia="仿宋" w:cs="仿宋"/>
          <w:b w:val="0"/>
          <w:bCs/>
          <w:sz w:val="32"/>
          <w:szCs w:val="32"/>
        </w:rPr>
        <w:t>位区管领导干部开展经济责任审计和</w:t>
      </w:r>
      <w:r>
        <w:rPr>
          <w:rFonts w:hint="eastAsia" w:ascii="仿宋" w:hAnsi="仿宋" w:eastAsia="仿宋" w:cs="仿宋"/>
          <w:b w:val="0"/>
          <w:bCs/>
          <w:sz w:val="32"/>
          <w:szCs w:val="32"/>
          <w:lang w:val="en-US" w:eastAsia="zh-CN"/>
        </w:rPr>
        <w:t>1-2位区管领导</w:t>
      </w:r>
      <w:r>
        <w:rPr>
          <w:rFonts w:hint="eastAsia" w:ascii="仿宋" w:hAnsi="仿宋" w:eastAsia="仿宋" w:cs="仿宋"/>
          <w:b w:val="0"/>
          <w:bCs/>
          <w:sz w:val="32"/>
          <w:szCs w:val="32"/>
        </w:rPr>
        <w:t>自然资源审计，加强制约监督。进一步规范和完善投资审计体制，由 “以审代结”模式改革转型为全过程审计监督，回归审计监督本位。</w:t>
      </w:r>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5106ECCF">
      <w:pPr>
        <w:pStyle w:val="4"/>
        <w:spacing w:line="600" w:lineRule="exact"/>
        <w:ind w:firstLine="643"/>
        <w:rPr>
          <w:rFonts w:ascii="Times New Roman" w:hAnsi="Times New Roman" w:eastAsia="仿宋_GB2312" w:cs="Times New Roman"/>
          <w:sz w:val="32"/>
          <w:szCs w:val="32"/>
        </w:rPr>
      </w:pPr>
      <w:r>
        <w:rPr>
          <w:rFonts w:hint="eastAsia" w:ascii="Times New Roman" w:hAnsi="Times New Roman" w:eastAsia="楷体_GB2312"/>
          <w:b/>
          <w:sz w:val="32"/>
          <w:szCs w:val="32"/>
          <w:lang w:val="en-US" w:eastAsia="zh-CN"/>
        </w:rPr>
        <w:t>1.</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基本支出</w:t>
      </w:r>
      <w:r>
        <w:rPr>
          <w:rFonts w:ascii="Times New Roman" w:hAnsi="Times New Roman" w:eastAsia="仿宋_GB2312" w:cs="Times New Roman"/>
          <w:sz w:val="32"/>
          <w:szCs w:val="32"/>
        </w:rPr>
        <w:t>预算资金</w:t>
      </w:r>
      <w:r>
        <w:rPr>
          <w:rFonts w:hint="eastAsia" w:ascii="Times New Roman" w:hAnsi="Times New Roman" w:eastAsia="仿宋_GB2312" w:cs="Times New Roman"/>
          <w:color w:val="000000"/>
          <w:sz w:val="32"/>
          <w:szCs w:val="32"/>
          <w:lang w:val="en-US" w:eastAsia="zh-CN"/>
        </w:rPr>
        <w:t>193.75</w:t>
      </w:r>
      <w:r>
        <w:rPr>
          <w:rFonts w:hint="eastAsia" w:ascii="Times New Roman" w:hAnsi="Times New Roman" w:eastAsia="仿宋_GB2312" w:cs="Times New Roman"/>
          <w:color w:val="000000"/>
          <w:sz w:val="32"/>
          <w:szCs w:val="32"/>
        </w:rPr>
        <w:t>万元</w:t>
      </w:r>
      <w:r>
        <w:rPr>
          <w:rFonts w:ascii="Times New Roman" w:hAnsi="Times New Roman" w:eastAsia="仿宋_GB2312" w:cs="Times New Roman"/>
          <w:sz w:val="32"/>
          <w:szCs w:val="32"/>
        </w:rPr>
        <w:t>。</w:t>
      </w:r>
    </w:p>
    <w:p w14:paraId="36097CFC">
      <w:pPr>
        <w:pStyle w:val="4"/>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2.2024年度单位一般公共预算财政拨款收入393.68万元。</w:t>
      </w:r>
    </w:p>
    <w:p w14:paraId="052CF291">
      <w:pPr>
        <w:spacing w:line="580" w:lineRule="exact"/>
        <w:ind w:firstLine="640" w:firstLineChars="200"/>
        <w:rPr>
          <w:rFonts w:hint="eastAsia" w:eastAsia="仿宋"/>
          <w:color w:val="auto"/>
          <w:sz w:val="32"/>
          <w:szCs w:val="32"/>
        </w:rPr>
      </w:pPr>
      <w:r>
        <w:rPr>
          <w:rFonts w:eastAsia="仿宋"/>
          <w:color w:val="auto"/>
          <w:sz w:val="32"/>
          <w:szCs w:val="32"/>
        </w:rPr>
        <w:t>3.</w:t>
      </w:r>
      <w:r>
        <w:rPr>
          <w:rFonts w:hint="eastAsia" w:eastAsia="仿宋"/>
          <w:color w:val="auto"/>
          <w:sz w:val="32"/>
          <w:szCs w:val="32"/>
        </w:rPr>
        <w:t>202</w:t>
      </w:r>
      <w:r>
        <w:rPr>
          <w:rFonts w:hint="eastAsia" w:eastAsia="仿宋"/>
          <w:color w:val="auto"/>
          <w:sz w:val="32"/>
          <w:szCs w:val="32"/>
          <w:lang w:val="en-US" w:eastAsia="zh-CN"/>
        </w:rPr>
        <w:t>4</w:t>
      </w:r>
      <w:r>
        <w:rPr>
          <w:rFonts w:hint="eastAsia" w:eastAsia="仿宋"/>
          <w:color w:val="auto"/>
          <w:sz w:val="32"/>
          <w:szCs w:val="32"/>
        </w:rPr>
        <w:t>年度单位一般公共预算财政拨款支出</w:t>
      </w:r>
      <w:r>
        <w:rPr>
          <w:rFonts w:hint="eastAsia" w:eastAsia="仿宋"/>
          <w:color w:val="auto"/>
          <w:sz w:val="32"/>
          <w:szCs w:val="32"/>
          <w:lang w:val="en-US" w:eastAsia="zh-CN"/>
        </w:rPr>
        <w:t>393.68</w:t>
      </w:r>
      <w:r>
        <w:rPr>
          <w:rFonts w:hint="eastAsia" w:eastAsia="仿宋"/>
          <w:color w:val="auto"/>
          <w:sz w:val="32"/>
          <w:szCs w:val="32"/>
        </w:rPr>
        <w:t>万元。</w:t>
      </w:r>
    </w:p>
    <w:p w14:paraId="65368BC4">
      <w:pPr>
        <w:spacing w:line="580" w:lineRule="exact"/>
        <w:rPr>
          <w:rFonts w:hint="eastAsia" w:eastAsia="仿宋"/>
          <w:color w:val="0000FF"/>
          <w:sz w:val="32"/>
          <w:szCs w:val="32"/>
          <w:lang w:val="en-US" w:eastAsia="zh-CN"/>
        </w:rPr>
      </w:pPr>
      <w:r>
        <w:rPr>
          <w:rFonts w:eastAsia="仿宋"/>
          <w:color w:val="auto"/>
          <w:sz w:val="32"/>
          <w:szCs w:val="32"/>
        </w:rPr>
        <w:t>其中：项目支出</w:t>
      </w:r>
      <w:r>
        <w:rPr>
          <w:rFonts w:hint="eastAsia" w:eastAsia="仿宋"/>
          <w:color w:val="auto"/>
          <w:sz w:val="32"/>
          <w:szCs w:val="32"/>
          <w:lang w:val="en-US" w:eastAsia="zh-CN"/>
        </w:rPr>
        <w:t>178.4</w:t>
      </w:r>
      <w:r>
        <w:rPr>
          <w:rFonts w:eastAsia="仿宋"/>
          <w:color w:val="auto"/>
          <w:sz w:val="32"/>
          <w:szCs w:val="32"/>
        </w:rPr>
        <w:t>万元，基本支出</w:t>
      </w:r>
      <w:r>
        <w:rPr>
          <w:rFonts w:hint="eastAsia" w:eastAsia="仿宋"/>
          <w:color w:val="auto"/>
          <w:sz w:val="32"/>
          <w:szCs w:val="32"/>
          <w:lang w:val="en-US" w:eastAsia="zh-CN"/>
        </w:rPr>
        <w:t>215.28</w:t>
      </w:r>
      <w:r>
        <w:rPr>
          <w:rFonts w:eastAsia="仿宋"/>
          <w:color w:val="auto"/>
          <w:sz w:val="32"/>
          <w:szCs w:val="32"/>
        </w:rPr>
        <w:t>万元，其中：</w:t>
      </w:r>
      <w:r>
        <w:rPr>
          <w:rFonts w:hint="eastAsia" w:eastAsia="仿宋"/>
          <w:color w:val="auto"/>
          <w:sz w:val="32"/>
          <w:szCs w:val="32"/>
        </w:rPr>
        <w:t>人员经费</w:t>
      </w:r>
      <w:r>
        <w:rPr>
          <w:rFonts w:hint="eastAsia" w:eastAsia="仿宋"/>
          <w:color w:val="auto"/>
          <w:sz w:val="32"/>
          <w:szCs w:val="32"/>
          <w:lang w:val="en-US" w:eastAsia="zh-CN"/>
        </w:rPr>
        <w:t>193.01</w:t>
      </w:r>
      <w:r>
        <w:rPr>
          <w:rFonts w:hint="eastAsia" w:eastAsia="仿宋"/>
          <w:color w:val="auto"/>
          <w:sz w:val="32"/>
          <w:szCs w:val="32"/>
        </w:rPr>
        <w:t>万元，公用经费</w:t>
      </w:r>
      <w:r>
        <w:rPr>
          <w:rFonts w:hint="eastAsia" w:eastAsia="仿宋"/>
          <w:color w:val="auto"/>
          <w:sz w:val="32"/>
          <w:szCs w:val="32"/>
          <w:lang w:val="en-US" w:eastAsia="zh-CN"/>
        </w:rPr>
        <w:t>22.26</w:t>
      </w:r>
      <w:r>
        <w:rPr>
          <w:rFonts w:hint="eastAsia" w:eastAsia="仿宋"/>
          <w:color w:val="auto"/>
          <w:sz w:val="32"/>
          <w:szCs w:val="32"/>
        </w:rPr>
        <w:t>万元。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D11CB47">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全年项目支出178.4万元，其中含：1.审计业务专项经费40.12万元；2.投资审计中心运转经费支出137.4万元；3.党建专项经费0.88万元。</w:t>
      </w:r>
    </w:p>
    <w:p w14:paraId="0CD68619">
      <w:pPr>
        <w:pStyle w:val="4"/>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三、</w:t>
      </w:r>
      <w:r>
        <w:rPr>
          <w:rFonts w:ascii="Times New Roman" w:hAnsi="Times New Roman" w:eastAsia="黑体"/>
          <w:sz w:val="32"/>
          <w:szCs w:val="32"/>
        </w:rPr>
        <w:t>政府性基金预算支出情况</w:t>
      </w:r>
    </w:p>
    <w:p w14:paraId="48B172AD">
      <w:pPr>
        <w:pStyle w:val="4"/>
        <w:numPr>
          <w:ilvl w:val="0"/>
          <w:numId w:val="0"/>
        </w:numPr>
        <w:spacing w:line="600" w:lineRule="exact"/>
        <w:ind w:firstLine="640" w:firstLineChars="20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5A1E5722">
      <w:pPr>
        <w:pStyle w:val="4"/>
        <w:numPr>
          <w:ilvl w:val="0"/>
          <w:numId w:val="0"/>
        </w:numPr>
        <w:spacing w:line="600" w:lineRule="exact"/>
        <w:ind w:left="0" w:leftChars="0" w:firstLine="640" w:firstLineChars="200"/>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五、</w:t>
      </w:r>
      <w:r>
        <w:rPr>
          <w:rFonts w:ascii="Times New Roman" w:hAnsi="Times New Roman" w:eastAsia="黑体"/>
          <w:sz w:val="32"/>
          <w:szCs w:val="32"/>
        </w:rPr>
        <w:t>国有资本经营预算支出情况</w:t>
      </w:r>
    </w:p>
    <w:p w14:paraId="2385CD5D">
      <w:pPr>
        <w:pStyle w:val="4"/>
        <w:numPr>
          <w:ilvl w:val="0"/>
          <w:numId w:val="0"/>
        </w:numPr>
        <w:spacing w:line="600" w:lineRule="exact"/>
        <w:ind w:firstLine="640" w:firstLineChars="20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69913414">
      <w:pPr>
        <w:pStyle w:val="4"/>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五、</w:t>
      </w:r>
      <w:r>
        <w:rPr>
          <w:rFonts w:ascii="Times New Roman" w:hAnsi="Times New Roman" w:eastAsia="黑体"/>
          <w:sz w:val="32"/>
          <w:szCs w:val="32"/>
        </w:rPr>
        <w:t>社会保险基金预算支出情况</w:t>
      </w:r>
    </w:p>
    <w:p w14:paraId="157BD25D">
      <w:pPr>
        <w:pStyle w:val="4"/>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仿宋" w:cs="Times New Roman"/>
          <w:color w:val="auto"/>
          <w:kern w:val="2"/>
          <w:sz w:val="32"/>
          <w:szCs w:val="32"/>
          <w:lang w:val="en-US" w:eastAsia="zh-CN" w:bidi="ar-SA"/>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319E45AB">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2024年，芦淞区审计局坚持以习近平新时代中国特色社会主义思想为指导，深入学习贯彻党的二十大精神，坚决贯彻落实区委、区政府、上级审计机关的各项决策部署和区委审计委员会的指示要求，认真履职尽责，持续推进审计监督全覆盖，有效维护财经秩序，保障了全区经济社会健康发展。</w:t>
      </w:r>
    </w:p>
    <w:p w14:paraId="711124D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全年共完成审计（调查）项目15个，完成区政府和国有企业投资的工程项目结算审计22个，为政府节约资金2175.95万元。全年出具审计报告19份，形成审计专报（要情）3篇，获得书记、区长批示3篇，查出管理不规范问题金额99079万元，违规金额404万元，非金额计量问题40个，向纪委监委及有关部门移送处理事项6件。2024年，选送的关于白关镇沙堤村等村级组织专项审计项目获评全省优秀审计项目三等奖和全市优秀审计项目一等奖。</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123B5E8C">
      <w:pPr>
        <w:pStyle w:val="4"/>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1.年初预算项目有</w:t>
      </w:r>
      <w:r>
        <w:rPr>
          <w:rFonts w:hint="eastAsia" w:eastAsia="仿宋_GB2312"/>
          <w:color w:val="000000"/>
          <w:sz w:val="32"/>
          <w:szCs w:val="32"/>
          <w:lang w:val="en-US" w:eastAsia="zh-CN"/>
        </w:rPr>
        <w:t>1</w:t>
      </w:r>
      <w:r>
        <w:rPr>
          <w:rFonts w:hint="eastAsia" w:eastAsia="仿宋_GB2312"/>
          <w:color w:val="000000"/>
          <w:sz w:val="32"/>
          <w:szCs w:val="32"/>
          <w:lang w:eastAsia="zh-CN"/>
        </w:rPr>
        <w:t>个，具体情况如下：</w:t>
      </w:r>
    </w:p>
    <w:p w14:paraId="5A777762">
      <w:pPr>
        <w:pStyle w:val="4"/>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（1）年初预算项目“审计业务专项经费”专项资金，年中执行调增</w:t>
      </w:r>
      <w:r>
        <w:rPr>
          <w:rFonts w:hint="eastAsia" w:eastAsia="仿宋_GB2312"/>
          <w:color w:val="000000"/>
          <w:sz w:val="32"/>
          <w:szCs w:val="32"/>
          <w:lang w:val="en-US" w:eastAsia="zh-CN"/>
        </w:rPr>
        <w:t>10.12</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40.12</w:t>
      </w:r>
      <w:r>
        <w:rPr>
          <w:rFonts w:hint="eastAsia" w:eastAsia="仿宋_GB2312"/>
          <w:color w:val="000000"/>
          <w:sz w:val="32"/>
          <w:szCs w:val="32"/>
          <w:lang w:eastAsia="zh-CN"/>
        </w:rPr>
        <w:t>万元，结余结转0万元。项目实施及绩效情况如下：</w:t>
      </w:r>
    </w:p>
    <w:p w14:paraId="66EB7D11">
      <w:pPr>
        <w:pStyle w:val="4"/>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深化财政预算执行审计，着力提高财政预算管理水平。重点对2023年区本级财政收支的总体规模和结构、预算编制及执行、专项债和专项资金的管理使用等情况进行审计，促进财政资金直达精准有力，财政政策发挥实效，加大风险隐患揭示力度。强化经济责任和自然资源审计，促进领导干部履职尽责。2024年，区审计局对团区委、区司法局、区教育局、区交通运输局、区优营中心、庆云街道办事处6家单位7名领导干部开展经济责任审计，对庆云街道办事处开展自然资源审计，着重揭示了重大经济事项决策、政策执行、财务管理等方面存在的问题</w:t>
      </w:r>
    </w:p>
    <w:p w14:paraId="338FFC82">
      <w:pPr>
        <w:pStyle w:val="4"/>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2.年中追加项目有</w:t>
      </w:r>
      <w:r>
        <w:rPr>
          <w:rFonts w:hint="eastAsia" w:eastAsia="仿宋_GB2312"/>
          <w:color w:val="000000"/>
          <w:sz w:val="32"/>
          <w:szCs w:val="32"/>
          <w:lang w:val="en-US" w:eastAsia="zh-CN"/>
        </w:rPr>
        <w:t>1</w:t>
      </w:r>
      <w:r>
        <w:rPr>
          <w:rFonts w:hint="eastAsia" w:eastAsia="仿宋_GB2312"/>
          <w:color w:val="000000"/>
          <w:sz w:val="32"/>
          <w:szCs w:val="32"/>
          <w:lang w:eastAsia="zh-CN"/>
        </w:rPr>
        <w:t>个，具体情况如下：</w:t>
      </w:r>
    </w:p>
    <w:p w14:paraId="0F5DA6EA">
      <w:pPr>
        <w:pStyle w:val="4"/>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（1）年中追加项目“投资审计中心运行经费”专项资金，年中执行调增</w:t>
      </w:r>
      <w:r>
        <w:rPr>
          <w:rFonts w:hint="eastAsia" w:eastAsia="仿宋_GB2312"/>
          <w:color w:val="000000"/>
          <w:sz w:val="32"/>
          <w:szCs w:val="32"/>
          <w:lang w:val="en-US" w:eastAsia="zh-CN"/>
        </w:rPr>
        <w:t>137.4</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137.4</w:t>
      </w:r>
      <w:r>
        <w:rPr>
          <w:rFonts w:hint="eastAsia" w:eastAsia="仿宋_GB2312"/>
          <w:color w:val="000000"/>
          <w:sz w:val="32"/>
          <w:szCs w:val="32"/>
          <w:lang w:eastAsia="zh-CN"/>
        </w:rPr>
        <w:t>万元，结余结转0万元。项目实施及绩效情况如下：</w:t>
      </w:r>
    </w:p>
    <w:p w14:paraId="4001C4DC">
      <w:pPr>
        <w:pStyle w:val="4"/>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优化政府投资项目审计，实现政府投资降本增效。秉持“审减就是为财政创收”的理念，抓实政府投资项目全过程审计，扎紧政府“钱袋子”。一是优化投资审计重点。着力推进投资审计从数量规模向质量效益转变，聚焦重大资金使用、重大违纪违规问题、重大风险隐患等项目实施稽查审计和专项审计。二是优化投资审计方式。严格执行政府投资项目必经建设单位结算内审后再送审的规定，加强对建设单位内审人员的业务培训指导，督促建设单位切实履行项目管理责任，促进提升政府投资管理效能。2024年通过审计政府投资项目22个，发现多计工程款2175.95万元，平均审减率3.32%（在建设单位内审审减率达18.55%的基础上）。</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1A87EDC0">
      <w:pPr>
        <w:spacing w:line="600" w:lineRule="exact"/>
        <w:ind w:firstLine="640" w:firstLineChars="200"/>
        <w:rPr>
          <w:rFonts w:hint="eastAsia" w:eastAsia="仿宋_GB2312"/>
          <w:sz w:val="32"/>
          <w:szCs w:val="32"/>
        </w:rPr>
      </w:pPr>
      <w:r>
        <w:rPr>
          <w:rFonts w:hint="eastAsia" w:eastAsia="仿宋_GB2312"/>
          <w:sz w:val="32"/>
          <w:szCs w:val="32"/>
        </w:rPr>
        <w:t>预算资金绩效管理是一项长期性工作。由于不可预见因素，本单位在预算资金使用上也存在一定的不可预见性。在预算执行过程中存在有开支依据但无预算安排的现象，部门预算、绩效管理工作还有待进一步加强。</w:t>
      </w:r>
    </w:p>
    <w:p w14:paraId="038DAC4A">
      <w:pPr>
        <w:spacing w:line="600" w:lineRule="exact"/>
        <w:ind w:firstLine="640" w:firstLineChars="200"/>
        <w:rPr>
          <w:rFonts w:hint="eastAsia" w:eastAsia="黑体"/>
          <w:sz w:val="32"/>
          <w:szCs w:val="32"/>
        </w:rPr>
      </w:pPr>
      <w:r>
        <w:rPr>
          <w:rFonts w:hint="eastAsia" w:eastAsia="黑体"/>
          <w:sz w:val="32"/>
          <w:szCs w:val="32"/>
        </w:rPr>
        <w:t>八、下一步改进措施</w:t>
      </w:r>
    </w:p>
    <w:p w14:paraId="6EB71AFF">
      <w:pPr>
        <w:spacing w:line="600" w:lineRule="exact"/>
        <w:ind w:firstLine="640" w:firstLineChars="200"/>
        <w:rPr>
          <w:rFonts w:hint="eastAsia" w:eastAsia="仿宋_GB2312"/>
          <w:sz w:val="32"/>
          <w:szCs w:val="32"/>
        </w:rPr>
      </w:pPr>
      <w:r>
        <w:rPr>
          <w:rFonts w:hint="eastAsia" w:eastAsia="仿宋_GB2312"/>
          <w:sz w:val="32"/>
          <w:szCs w:val="32"/>
        </w:rPr>
        <w:t>进一步规范我局预决算管理，加强预算绩效日常监控，围绕绩效目标，适时监控绩效目标实现程度和预算执行情况，及时掌握绩效运行情况、资金支出进度等。</w:t>
      </w:r>
    </w:p>
    <w:p w14:paraId="4474E65E">
      <w:pPr>
        <w:spacing w:line="600" w:lineRule="exact"/>
        <w:ind w:firstLine="640" w:firstLineChars="200"/>
        <w:rPr>
          <w:rFonts w:hint="eastAsia" w:eastAsia="黑体"/>
          <w:sz w:val="32"/>
          <w:szCs w:val="32"/>
        </w:rPr>
      </w:pPr>
      <w:r>
        <w:rPr>
          <w:rFonts w:hint="eastAsia" w:eastAsia="黑体"/>
          <w:sz w:val="32"/>
          <w:szCs w:val="32"/>
        </w:rPr>
        <w:t>九、部门整体支出绩效自评结果拟应用和公开情况</w:t>
      </w:r>
    </w:p>
    <w:p w14:paraId="2B6813E9">
      <w:pPr>
        <w:spacing w:line="600" w:lineRule="exact"/>
        <w:ind w:firstLine="640" w:firstLineChars="200"/>
        <w:rPr>
          <w:rFonts w:eastAsia="黑体"/>
          <w:sz w:val="32"/>
          <w:szCs w:val="32"/>
        </w:rPr>
      </w:pPr>
      <w:r>
        <w:rPr>
          <w:rFonts w:hint="eastAsia" w:eastAsia="仿宋_GB2312"/>
          <w:sz w:val="32"/>
          <w:szCs w:val="32"/>
        </w:rPr>
        <w:t>绩效自评良好。全面公开绩效自评报告，绩效自评结果将在芦淞区门户网站上进行公开，接受社会监督。</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045EC994">
      <w:pPr>
        <w:spacing w:line="600" w:lineRule="exact"/>
        <w:ind w:firstLine="640" w:firstLineChars="200"/>
      </w:pPr>
      <w:r>
        <w:rPr>
          <w:rFonts w:hint="eastAsia" w:eastAsia="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497FD6"/>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CBF627E"/>
    <w:rsid w:val="1D271A66"/>
    <w:rsid w:val="1DCB47DF"/>
    <w:rsid w:val="1E601115"/>
    <w:rsid w:val="1EB03217"/>
    <w:rsid w:val="1F000FB0"/>
    <w:rsid w:val="1F111AD7"/>
    <w:rsid w:val="1F5A1E7F"/>
    <w:rsid w:val="1FA707DF"/>
    <w:rsid w:val="1FFE7B8C"/>
    <w:rsid w:val="203C025A"/>
    <w:rsid w:val="20775CA3"/>
    <w:rsid w:val="217A1AB1"/>
    <w:rsid w:val="22695B47"/>
    <w:rsid w:val="23570E6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4C7BCC"/>
    <w:rsid w:val="35124AFB"/>
    <w:rsid w:val="35164EC9"/>
    <w:rsid w:val="35EE1AE6"/>
    <w:rsid w:val="36216ACD"/>
    <w:rsid w:val="36AD5505"/>
    <w:rsid w:val="36DB24F1"/>
    <w:rsid w:val="37904E67"/>
    <w:rsid w:val="3797204C"/>
    <w:rsid w:val="37A771FF"/>
    <w:rsid w:val="37B37AED"/>
    <w:rsid w:val="37EF7DFA"/>
    <w:rsid w:val="380A1D4B"/>
    <w:rsid w:val="38625CF3"/>
    <w:rsid w:val="38A54053"/>
    <w:rsid w:val="38D37D37"/>
    <w:rsid w:val="391F428E"/>
    <w:rsid w:val="39312765"/>
    <w:rsid w:val="393A2055"/>
    <w:rsid w:val="399C1F0E"/>
    <w:rsid w:val="3A003CFF"/>
    <w:rsid w:val="3A1339C4"/>
    <w:rsid w:val="3AF63590"/>
    <w:rsid w:val="3B06110B"/>
    <w:rsid w:val="3B9B7004"/>
    <w:rsid w:val="3BCF551C"/>
    <w:rsid w:val="3C87456A"/>
    <w:rsid w:val="3CA231F4"/>
    <w:rsid w:val="3CDC3CFC"/>
    <w:rsid w:val="3CFC20B7"/>
    <w:rsid w:val="3E5F562D"/>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763B98"/>
    <w:rsid w:val="47D51345"/>
    <w:rsid w:val="47E11557"/>
    <w:rsid w:val="48196B29"/>
    <w:rsid w:val="4885603F"/>
    <w:rsid w:val="48BC6DC4"/>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B87862"/>
    <w:rsid w:val="4EE91176"/>
    <w:rsid w:val="4EF96755"/>
    <w:rsid w:val="4EFF6E71"/>
    <w:rsid w:val="4F515311"/>
    <w:rsid w:val="4F7317CB"/>
    <w:rsid w:val="4F7C135A"/>
    <w:rsid w:val="4FC01EDA"/>
    <w:rsid w:val="50281CF3"/>
    <w:rsid w:val="509154B6"/>
    <w:rsid w:val="50BB4683"/>
    <w:rsid w:val="50EC10F9"/>
    <w:rsid w:val="50F45034"/>
    <w:rsid w:val="516A2395"/>
    <w:rsid w:val="5177797E"/>
    <w:rsid w:val="52F6075F"/>
    <w:rsid w:val="53086FF5"/>
    <w:rsid w:val="533F218C"/>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AEB7469"/>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B85F88"/>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8A532C"/>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2101</Words>
  <Characters>2244</Characters>
  <Lines>0</Lines>
  <Paragraphs>0</Paragraphs>
  <TotalTime>12</TotalTime>
  <ScaleCrop>false</ScaleCrop>
  <LinksUpToDate>false</LinksUpToDate>
  <CharactersWithSpaces>2246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2026-01-26T08:23:04Z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C71950F399104E5C87514A789BC4C540_13</vt:lpwstr>
  </property>
  <property fmtid="{D5CDD505-2E9C-101B-9397-08002B2CF9AE}" pid="4" name="KSOTemplateDocerSaveRecord">
    <vt:lpwstr>eyJoZGlkIjoiMTdlNzdmYmU0NmYwZjFkMThjYjNiYzgwYjhkYmE5MTUiLCJ1c2VySWQiOiIxNDI3OTU5OTA3In0=</vt:lpwstr>
  </property>
</Properties>
</file>