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34889">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株洲市芦淞区天泰能源退休人员服务中心</w:t>
      </w:r>
      <w:r>
        <w:rPr>
          <w:rFonts w:hint="eastAsia" w:eastAsia="方正小标宋_GBK"/>
          <w:sz w:val="48"/>
          <w:szCs w:val="48"/>
          <w:lang w:eastAsia="zh-CN"/>
        </w:rPr>
        <w:t>整体</w:t>
      </w:r>
      <w:r>
        <w:rPr>
          <w:rFonts w:eastAsia="方正小标宋_GBK"/>
          <w:sz w:val="48"/>
          <w:szCs w:val="48"/>
        </w:rPr>
        <w:t>支出绩效自评报告</w:t>
      </w:r>
    </w:p>
    <w:p w14:paraId="12E1732E">
      <w:pPr>
        <w:jc w:val="center"/>
        <w:rPr>
          <w:rFonts w:eastAsia="黑体"/>
          <w:sz w:val="32"/>
          <w:szCs w:val="32"/>
        </w:rPr>
      </w:pPr>
    </w:p>
    <w:p w14:paraId="39B7874B">
      <w:pPr>
        <w:jc w:val="center"/>
        <w:rPr>
          <w:rFonts w:eastAsia="黑体"/>
          <w:sz w:val="32"/>
          <w:szCs w:val="32"/>
        </w:rPr>
      </w:pPr>
      <w:bookmarkStart w:id="0" w:name="_GoBack"/>
      <w:bookmarkEnd w:id="0"/>
    </w:p>
    <w:p w14:paraId="2CBA9CA5">
      <w:pPr>
        <w:jc w:val="center"/>
        <w:rPr>
          <w:rFonts w:eastAsia="黑体"/>
          <w:sz w:val="32"/>
          <w:szCs w:val="32"/>
        </w:rPr>
      </w:pPr>
    </w:p>
    <w:p w14:paraId="27931ECC">
      <w:pPr>
        <w:jc w:val="center"/>
        <w:rPr>
          <w:rFonts w:eastAsia="黑体"/>
          <w:sz w:val="32"/>
          <w:szCs w:val="32"/>
        </w:rPr>
      </w:pPr>
    </w:p>
    <w:p w14:paraId="2EDB846E">
      <w:pPr>
        <w:jc w:val="center"/>
        <w:rPr>
          <w:rFonts w:eastAsia="黑体"/>
          <w:sz w:val="32"/>
          <w:szCs w:val="32"/>
        </w:rPr>
      </w:pPr>
    </w:p>
    <w:p w14:paraId="626F7F40">
      <w:pPr>
        <w:jc w:val="center"/>
        <w:rPr>
          <w:rFonts w:eastAsia="黑体"/>
          <w:sz w:val="32"/>
          <w:szCs w:val="32"/>
        </w:rPr>
      </w:pPr>
    </w:p>
    <w:p w14:paraId="27EBD509">
      <w:pPr>
        <w:jc w:val="center"/>
        <w:rPr>
          <w:rFonts w:eastAsia="黑体"/>
          <w:sz w:val="32"/>
          <w:szCs w:val="32"/>
        </w:rPr>
      </w:pPr>
    </w:p>
    <w:p w14:paraId="652023FC">
      <w:pPr>
        <w:ind w:firstLine="880" w:firstLineChars="200"/>
        <w:jc w:val="center"/>
        <w:rPr>
          <w:rFonts w:eastAsia="黑体"/>
          <w:sz w:val="44"/>
          <w:szCs w:val="44"/>
        </w:rPr>
      </w:pPr>
    </w:p>
    <w:p w14:paraId="6BB2CA8D">
      <w:pPr>
        <w:ind w:firstLine="880" w:firstLineChars="200"/>
        <w:jc w:val="center"/>
        <w:rPr>
          <w:rFonts w:eastAsia="黑体"/>
          <w:sz w:val="44"/>
          <w:szCs w:val="44"/>
        </w:rPr>
      </w:pPr>
    </w:p>
    <w:p w14:paraId="1943423A">
      <w:pPr>
        <w:ind w:firstLine="880" w:firstLineChars="200"/>
        <w:jc w:val="center"/>
        <w:rPr>
          <w:rFonts w:eastAsia="黑体"/>
          <w:sz w:val="44"/>
          <w:szCs w:val="44"/>
        </w:rPr>
      </w:pPr>
    </w:p>
    <w:p w14:paraId="6C6C93B7">
      <w:pPr>
        <w:ind w:firstLine="720" w:firstLineChars="200"/>
        <w:jc w:val="center"/>
        <w:rPr>
          <w:rFonts w:eastAsia="黑体"/>
          <w:sz w:val="36"/>
          <w:szCs w:val="36"/>
        </w:rPr>
      </w:pPr>
      <w:r>
        <w:rPr>
          <w:rFonts w:eastAsia="黑体"/>
          <w:sz w:val="36"/>
          <w:szCs w:val="36"/>
        </w:rPr>
        <w:t>单位名称（盖章）：</w:t>
      </w:r>
    </w:p>
    <w:p w14:paraId="761CA0D9">
      <w:pPr>
        <w:jc w:val="center"/>
        <w:rPr>
          <w:rFonts w:eastAsia="黑体"/>
          <w:sz w:val="36"/>
          <w:szCs w:val="36"/>
        </w:rPr>
      </w:pPr>
    </w:p>
    <w:p w14:paraId="5F0040AE">
      <w:pPr>
        <w:jc w:val="center"/>
        <w:rPr>
          <w:rFonts w:eastAsia="黑体"/>
          <w:sz w:val="32"/>
          <w:szCs w:val="32"/>
        </w:rPr>
      </w:pPr>
    </w:p>
    <w:p w14:paraId="592B232B">
      <w:pPr>
        <w:jc w:val="center"/>
        <w:rPr>
          <w:rFonts w:eastAsia="黑体"/>
          <w:sz w:val="32"/>
          <w:szCs w:val="32"/>
        </w:rPr>
      </w:pPr>
    </w:p>
    <w:p w14:paraId="52018D21">
      <w:pPr>
        <w:jc w:val="center"/>
        <w:rPr>
          <w:rFonts w:eastAsia="黑体"/>
          <w:sz w:val="32"/>
          <w:szCs w:val="32"/>
        </w:rPr>
      </w:pPr>
    </w:p>
    <w:p w14:paraId="74F7851F">
      <w:pPr>
        <w:jc w:val="center"/>
        <w:rPr>
          <w:rFonts w:eastAsia="黑体"/>
          <w:sz w:val="32"/>
          <w:szCs w:val="32"/>
        </w:rPr>
      </w:pPr>
    </w:p>
    <w:p w14:paraId="1C6FAC5E">
      <w:pPr>
        <w:jc w:val="center"/>
        <w:rPr>
          <w:rFonts w:eastAsia="黑体"/>
          <w:sz w:val="32"/>
          <w:szCs w:val="32"/>
        </w:rPr>
      </w:pPr>
    </w:p>
    <w:p w14:paraId="260C71D0">
      <w:pPr>
        <w:jc w:val="center"/>
        <w:rPr>
          <w:rFonts w:eastAsia="黑体"/>
          <w:sz w:val="32"/>
          <w:szCs w:val="32"/>
        </w:rPr>
      </w:pPr>
    </w:p>
    <w:p w14:paraId="78FB58A5">
      <w:pPr>
        <w:jc w:val="center"/>
        <w:rPr>
          <w:rFonts w:eastAsia="仿宋_GB2312"/>
          <w:sz w:val="32"/>
          <w:szCs w:val="32"/>
        </w:rPr>
      </w:pPr>
    </w:p>
    <w:p w14:paraId="207A2B7E">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35ECD2F6">
      <w:pPr>
        <w:spacing w:line="600" w:lineRule="exact"/>
        <w:ind w:firstLine="643" w:firstLineChars="200"/>
        <w:rPr>
          <w:rFonts w:eastAsia="楷体_GB2312"/>
          <w:b/>
          <w:sz w:val="32"/>
          <w:szCs w:val="32"/>
        </w:rPr>
      </w:pPr>
      <w:r>
        <w:rPr>
          <w:rFonts w:eastAsia="楷体_GB2312"/>
          <w:b/>
          <w:sz w:val="32"/>
          <w:szCs w:val="32"/>
        </w:rPr>
        <w:t>（一）单位基本情况</w:t>
      </w:r>
    </w:p>
    <w:p w14:paraId="00286716">
      <w:pPr>
        <w:pStyle w:val="6"/>
        <w:keepNext w:val="0"/>
        <w:keepLines w:val="0"/>
        <w:widowControl/>
        <w:suppressLineNumbers w:val="0"/>
        <w:spacing w:before="0" w:beforeAutospacing="0" w:after="0" w:afterAutospacing="0" w:line="560" w:lineRule="exact"/>
        <w:ind w:right="0" w:firstLine="640" w:firstLineChars="200"/>
        <w:jc w:val="both"/>
        <w:rPr>
          <w:rFonts w:eastAsia="仿宋_GB2312"/>
          <w:color w:val="auto"/>
          <w:sz w:val="32"/>
          <w:szCs w:val="32"/>
          <w:highlight w:val="none"/>
        </w:rPr>
      </w:pPr>
      <w:r>
        <w:rPr>
          <w:rFonts w:ascii="Times New Roman" w:hAnsi="Times New Roman" w:eastAsia="仿宋_GB2312" w:cs="Times New Roman"/>
          <w:b w:val="0"/>
          <w:bCs w:val="0"/>
          <w:i w:val="0"/>
          <w:iCs w:val="0"/>
          <w:color w:val="auto"/>
          <w:spacing w:val="0"/>
          <w:w w:val="100"/>
          <w:sz w:val="32"/>
          <w:szCs w:val="32"/>
          <w:highlight w:val="none"/>
          <w:vertAlign w:val="baseline"/>
        </w:rPr>
        <w:t>根据株编办〔2012〕266号和芦政办发〔2013〕11号文件精神，芦淞区天泰能源退服中心主要职责是：做好原企业退休人员社会化管理、异地安置、人事档案、组织关系、来访接待、政策宣传调研、生存调查等管理服务工作；加强党组织建设和党员教育管理；组织开展文化健身活动，丰富退休人员的精神文化生活；掌握退休人员健康和生活情况，对高龄、残疾、孤老、患病住院以及其他特困人员进行走访慰问，配合有关部门做好社会救助工作；协助去世退休人员家属料理后事；做好资产管理工作；协助处理其他事项（包括协助处理原企业破产后续工作和破产遗留问题）。</w:t>
      </w:r>
    </w:p>
    <w:p w14:paraId="4A1796D9">
      <w:pPr>
        <w:pStyle w:val="6"/>
        <w:keepNext w:val="0"/>
        <w:keepLines w:val="0"/>
        <w:widowControl/>
        <w:suppressLineNumbers w:val="0"/>
        <w:spacing w:before="0" w:beforeAutospacing="0" w:after="0" w:afterAutospacing="0" w:line="560" w:lineRule="exact"/>
        <w:ind w:right="0" w:firstLine="640" w:firstLineChars="200"/>
        <w:jc w:val="both"/>
        <w:rPr>
          <w:rFonts w:hint="eastAsia" w:ascii="Times New Roman" w:eastAsia="仿宋_GB2312"/>
          <w:color w:val="auto"/>
          <w:sz w:val="32"/>
          <w:szCs w:val="32"/>
          <w:highlight w:val="yellow"/>
        </w:rPr>
      </w:pPr>
      <w:r>
        <w:rPr>
          <w:rFonts w:hint="eastAsia" w:ascii="Times New Roman" w:hAnsi="Times New Roman" w:eastAsia="仿宋_GB2312" w:cs="Times New Roman"/>
          <w:b w:val="0"/>
          <w:bCs w:val="0"/>
          <w:i w:val="0"/>
          <w:iCs w:val="0"/>
          <w:color w:val="auto"/>
          <w:spacing w:val="0"/>
          <w:w w:val="100"/>
          <w:sz w:val="32"/>
          <w:szCs w:val="32"/>
          <w:highlight w:val="none"/>
          <w:vertAlign w:val="baseline"/>
        </w:rPr>
        <w:t>株洲市芦淞区天泰能源退休人员服务中心为正科级全额拨款事业单位，</w:t>
      </w:r>
      <w:r>
        <w:rPr>
          <w:rFonts w:hint="eastAsia" w:ascii="仿宋" w:hAnsi="仿宋" w:eastAsia="仿宋"/>
          <w:sz w:val="32"/>
          <w:szCs w:val="32"/>
        </w:rPr>
        <w:t>2019年7月，</w:t>
      </w:r>
      <w:r>
        <w:rPr>
          <w:rFonts w:hint="eastAsia" w:ascii="仿宋" w:hAnsi="仿宋" w:eastAsia="仿宋" w:cs="Times New Roman"/>
          <w:color w:val="000000"/>
          <w:sz w:val="32"/>
          <w:szCs w:val="32"/>
        </w:rPr>
        <w:t>根据《关于调整芦淞区大京风景名胜区管理中心等有关机构编制事项的通知》（芦编办〔2019〕16号），</w:t>
      </w:r>
      <w:r>
        <w:rPr>
          <w:rFonts w:hint="eastAsia" w:ascii="仿宋" w:hAnsi="仿宋" w:eastAsia="仿宋"/>
          <w:sz w:val="32"/>
          <w:szCs w:val="32"/>
        </w:rPr>
        <w:t>核定编制5名、领导职数3名。</w:t>
      </w:r>
      <w:r>
        <w:rPr>
          <w:rFonts w:hint="eastAsia" w:ascii="Times New Roman" w:hAnsi="Times New Roman" w:eastAsia="仿宋_GB2312" w:cs="Times New Roman"/>
          <w:b w:val="0"/>
          <w:bCs w:val="0"/>
          <w:i w:val="0"/>
          <w:iCs w:val="0"/>
          <w:color w:val="auto"/>
          <w:spacing w:val="0"/>
          <w:w w:val="100"/>
          <w:sz w:val="32"/>
          <w:szCs w:val="32"/>
          <w:highlight w:val="none"/>
          <w:vertAlign w:val="baseline"/>
        </w:rPr>
        <w:t>现有在编人员</w:t>
      </w:r>
      <w:r>
        <w:rPr>
          <w:rFonts w:hint="eastAsia" w:eastAsia="仿宋_GB2312" w:cs="Times New Roman"/>
          <w:b w:val="0"/>
          <w:bCs w:val="0"/>
          <w:i w:val="0"/>
          <w:iCs w:val="0"/>
          <w:color w:val="auto"/>
          <w:spacing w:val="0"/>
          <w:w w:val="100"/>
          <w:sz w:val="32"/>
          <w:szCs w:val="32"/>
          <w:highlight w:val="none"/>
          <w:vertAlign w:val="baseline"/>
          <w:lang w:val="en-US" w:eastAsia="zh-CN"/>
        </w:rPr>
        <w:t>4</w:t>
      </w:r>
      <w:r>
        <w:rPr>
          <w:rFonts w:hint="eastAsia" w:ascii="Times New Roman" w:hAnsi="Times New Roman" w:eastAsia="仿宋_GB2312" w:cs="Times New Roman"/>
          <w:b w:val="0"/>
          <w:bCs w:val="0"/>
          <w:i w:val="0"/>
          <w:iCs w:val="0"/>
          <w:color w:val="auto"/>
          <w:spacing w:val="0"/>
          <w:w w:val="100"/>
          <w:sz w:val="32"/>
          <w:szCs w:val="32"/>
          <w:highlight w:val="none"/>
          <w:vertAlign w:val="baseline"/>
        </w:rPr>
        <w:t>人，</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劳务派遣</w:t>
      </w:r>
      <w:r>
        <w:rPr>
          <w:rFonts w:hint="eastAsia" w:ascii="Times New Roman" w:hAnsi="Times New Roman" w:eastAsia="仿宋_GB2312" w:cs="Times New Roman"/>
          <w:b w:val="0"/>
          <w:bCs w:val="0"/>
          <w:i w:val="0"/>
          <w:iCs w:val="0"/>
          <w:color w:val="auto"/>
          <w:spacing w:val="0"/>
          <w:w w:val="100"/>
          <w:sz w:val="32"/>
          <w:szCs w:val="32"/>
          <w:highlight w:val="none"/>
          <w:vertAlign w:val="baseline"/>
        </w:rPr>
        <w:t>人员2人。</w:t>
      </w:r>
    </w:p>
    <w:p w14:paraId="2B1D9DEF">
      <w:pPr>
        <w:spacing w:line="600" w:lineRule="exact"/>
        <w:ind w:firstLine="643" w:firstLineChars="200"/>
        <w:rPr>
          <w:rFonts w:hint="eastAsia" w:eastAsia="楷体_GB2312"/>
          <w:b/>
          <w:sz w:val="32"/>
          <w:szCs w:val="32"/>
          <w:lang w:eastAsia="zh-CN"/>
        </w:rPr>
      </w:pPr>
      <w:r>
        <w:rPr>
          <w:rFonts w:eastAsia="楷体_GB2312"/>
          <w:b/>
          <w:sz w:val="32"/>
          <w:szCs w:val="32"/>
        </w:rPr>
        <w:t>（二）单位年度整体支出绩效目标</w:t>
      </w:r>
    </w:p>
    <w:p w14:paraId="601E801C">
      <w:p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绩效目标包括：</w:t>
      </w:r>
    </w:p>
    <w:p w14:paraId="71974371">
      <w:p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1、保障本单位正常办公、生活秩序； </w:t>
      </w:r>
    </w:p>
    <w:p w14:paraId="274592D3">
      <w:p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2、做好原企业退休人员来电、来访接待，生存认证，人事档案管理等；</w:t>
      </w:r>
    </w:p>
    <w:p w14:paraId="23D15531">
      <w:p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3、组织原企业退休人员开展文化健身活动；</w:t>
      </w:r>
    </w:p>
    <w:p w14:paraId="33932D72">
      <w:p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4、做好特困退休人员的走访慰问、救济工作；</w:t>
      </w:r>
    </w:p>
    <w:p w14:paraId="5D5379A3">
      <w:p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5、协助去世退休人员家属料理后事；</w:t>
      </w:r>
    </w:p>
    <w:p w14:paraId="759D51B6">
      <w:pPr>
        <w:spacing w:line="600" w:lineRule="exact"/>
        <w:ind w:firstLine="640" w:firstLineChars="200"/>
        <w:rPr>
          <w:rFonts w:ascii="仿宋" w:hAnsi="仿宋" w:eastAsia="仿宋" w:cs="仿宋_GB2312"/>
          <w:color w:val="333333"/>
          <w:sz w:val="32"/>
          <w:szCs w:val="32"/>
        </w:rPr>
      </w:pPr>
      <w:r>
        <w:rPr>
          <w:rFonts w:hint="eastAsia" w:ascii="仿宋_GB2312" w:hAnsi="仿宋" w:eastAsia="仿宋_GB2312" w:cs="Times New Roman"/>
          <w:kern w:val="2"/>
          <w:sz w:val="32"/>
          <w:szCs w:val="32"/>
          <w:lang w:val="en-US" w:eastAsia="zh-CN" w:bidi="ar-SA"/>
        </w:rPr>
        <w:t>6、加强党组织建设和党员教育管理。</w:t>
      </w:r>
    </w:p>
    <w:p w14:paraId="2DF8D311">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2B4BCB5C">
      <w:pPr>
        <w:pStyle w:val="10"/>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1E67A514">
      <w:pPr>
        <w:pStyle w:val="10"/>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eastAsia="仿宋"/>
          <w:b w:val="0"/>
          <w:bCs/>
          <w:color w:val="000000"/>
          <w:sz w:val="32"/>
          <w:szCs w:val="32"/>
          <w:lang w:eastAsia="zh-CN"/>
        </w:rPr>
      </w:pPr>
      <w:r>
        <w:rPr>
          <w:rFonts w:hint="eastAsia" w:ascii="Times New Roman" w:hAnsi="Times New Roman" w:eastAsia="楷体_GB2312"/>
          <w:b w:val="0"/>
          <w:bCs/>
          <w:sz w:val="32"/>
          <w:szCs w:val="32"/>
          <w:lang w:val="en-US" w:eastAsia="zh-CN"/>
        </w:rPr>
        <w:t>1、</w:t>
      </w:r>
      <w:r>
        <w:rPr>
          <w:rFonts w:hint="eastAsia" w:eastAsia="仿宋"/>
          <w:b w:val="0"/>
          <w:bCs/>
          <w:color w:val="000000"/>
          <w:sz w:val="32"/>
          <w:szCs w:val="32"/>
          <w:lang w:eastAsia="zh-CN"/>
        </w:rPr>
        <w:t>2024</w:t>
      </w:r>
      <w:r>
        <w:rPr>
          <w:rFonts w:eastAsia="仿宋"/>
          <w:b w:val="0"/>
          <w:bCs/>
          <w:color w:val="000000"/>
          <w:sz w:val="32"/>
          <w:szCs w:val="32"/>
        </w:rPr>
        <w:t>年预算资金</w:t>
      </w:r>
      <w:r>
        <w:rPr>
          <w:rFonts w:hint="eastAsia" w:eastAsia="仿宋"/>
          <w:b w:val="0"/>
          <w:bCs/>
          <w:color w:val="000000"/>
          <w:sz w:val="32"/>
          <w:szCs w:val="32"/>
        </w:rPr>
        <w:t>171.43</w:t>
      </w:r>
      <w:r>
        <w:rPr>
          <w:rFonts w:hint="eastAsia" w:eastAsia="仿宋"/>
          <w:b w:val="0"/>
          <w:bCs/>
          <w:color w:val="000000"/>
          <w:sz w:val="32"/>
          <w:szCs w:val="32"/>
          <w:lang w:eastAsia="zh-CN"/>
        </w:rPr>
        <w:t>万元。</w:t>
      </w:r>
    </w:p>
    <w:p w14:paraId="7D833C80">
      <w:pPr>
        <w:pStyle w:val="10"/>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仿宋"/>
          <w:b w:val="0"/>
          <w:bCs/>
          <w:color w:val="auto"/>
          <w:sz w:val="32"/>
          <w:szCs w:val="32"/>
          <w:lang w:val="en-US" w:eastAsia="zh-CN"/>
        </w:rPr>
      </w:pPr>
      <w:r>
        <w:rPr>
          <w:rFonts w:hint="eastAsia" w:eastAsia="仿宋"/>
          <w:b w:val="0"/>
          <w:bCs/>
          <w:color w:val="auto"/>
          <w:sz w:val="32"/>
          <w:szCs w:val="32"/>
          <w:lang w:val="en-US" w:eastAsia="zh-CN"/>
        </w:rPr>
        <w:t>2、2024年度</w:t>
      </w:r>
      <w:r>
        <w:rPr>
          <w:rFonts w:eastAsia="仿宋"/>
          <w:b w:val="0"/>
          <w:bCs/>
          <w:color w:val="auto"/>
          <w:sz w:val="32"/>
          <w:szCs w:val="32"/>
        </w:rPr>
        <w:t>单位</w:t>
      </w:r>
      <w:r>
        <w:rPr>
          <w:rFonts w:hint="eastAsia" w:eastAsia="仿宋"/>
          <w:b w:val="0"/>
          <w:bCs/>
          <w:color w:val="auto"/>
          <w:sz w:val="32"/>
          <w:szCs w:val="32"/>
        </w:rPr>
        <w:t>一般公共预算财政拨款</w:t>
      </w:r>
      <w:r>
        <w:rPr>
          <w:rFonts w:eastAsia="仿宋"/>
          <w:b w:val="0"/>
          <w:bCs/>
          <w:color w:val="auto"/>
          <w:sz w:val="32"/>
          <w:szCs w:val="32"/>
        </w:rPr>
        <w:t>收入</w:t>
      </w:r>
      <w:r>
        <w:rPr>
          <w:rFonts w:hint="eastAsia" w:eastAsia="仿宋"/>
          <w:b w:val="0"/>
          <w:bCs/>
          <w:color w:val="auto"/>
          <w:sz w:val="32"/>
          <w:szCs w:val="32"/>
        </w:rPr>
        <w:t>218.37</w:t>
      </w:r>
      <w:r>
        <w:rPr>
          <w:rFonts w:hint="eastAsia" w:eastAsia="仿宋"/>
          <w:b w:val="0"/>
          <w:bCs/>
          <w:color w:val="000000"/>
          <w:sz w:val="32"/>
          <w:szCs w:val="32"/>
          <w:lang w:eastAsia="zh-CN"/>
        </w:rPr>
        <w:t>万元。</w:t>
      </w:r>
    </w:p>
    <w:p w14:paraId="39336B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b w:val="0"/>
          <w:bCs/>
          <w:color w:val="0000FF"/>
          <w:sz w:val="32"/>
          <w:szCs w:val="32"/>
          <w:lang w:val="en-US" w:eastAsia="zh-CN"/>
        </w:rPr>
      </w:pPr>
      <w:r>
        <w:rPr>
          <w:rFonts w:eastAsia="仿宋"/>
          <w:b w:val="0"/>
          <w:bCs/>
          <w:color w:val="auto"/>
          <w:sz w:val="32"/>
          <w:szCs w:val="32"/>
        </w:rPr>
        <w:t>3</w:t>
      </w:r>
      <w:r>
        <w:rPr>
          <w:rFonts w:hint="eastAsia" w:eastAsia="仿宋"/>
          <w:b w:val="0"/>
          <w:bCs/>
          <w:color w:val="auto"/>
          <w:sz w:val="32"/>
          <w:szCs w:val="32"/>
          <w:lang w:eastAsia="zh-CN"/>
        </w:rPr>
        <w:t>、</w:t>
      </w:r>
      <w:r>
        <w:rPr>
          <w:rFonts w:hint="eastAsia" w:eastAsia="仿宋"/>
          <w:b w:val="0"/>
          <w:bCs/>
          <w:color w:val="auto"/>
          <w:sz w:val="32"/>
          <w:szCs w:val="32"/>
          <w:lang w:val="en-US" w:eastAsia="zh-CN"/>
        </w:rPr>
        <w:t>2024年度</w:t>
      </w:r>
      <w:r>
        <w:rPr>
          <w:rFonts w:eastAsia="仿宋"/>
          <w:b w:val="0"/>
          <w:bCs/>
          <w:color w:val="auto"/>
          <w:sz w:val="32"/>
          <w:szCs w:val="32"/>
        </w:rPr>
        <w:t>单位</w:t>
      </w:r>
      <w:r>
        <w:rPr>
          <w:rFonts w:hint="eastAsia" w:eastAsia="仿宋"/>
          <w:b w:val="0"/>
          <w:bCs/>
          <w:color w:val="auto"/>
          <w:sz w:val="32"/>
          <w:szCs w:val="32"/>
        </w:rPr>
        <w:t>一般公共预算财政拨款</w:t>
      </w:r>
      <w:r>
        <w:rPr>
          <w:rFonts w:hint="eastAsia" w:eastAsia="仿宋"/>
          <w:b w:val="0"/>
          <w:bCs/>
          <w:color w:val="auto"/>
          <w:sz w:val="32"/>
          <w:szCs w:val="32"/>
          <w:lang w:eastAsia="zh-CN"/>
        </w:rPr>
        <w:t>支出218.37</w:t>
      </w:r>
      <w:r>
        <w:rPr>
          <w:rFonts w:hint="eastAsia" w:eastAsia="仿宋"/>
          <w:b w:val="0"/>
          <w:bCs/>
          <w:color w:val="000000"/>
          <w:sz w:val="32"/>
          <w:szCs w:val="32"/>
          <w:lang w:eastAsia="zh-CN"/>
        </w:rPr>
        <w:t>万元，</w:t>
      </w:r>
      <w:r>
        <w:rPr>
          <w:rFonts w:eastAsia="仿宋"/>
          <w:b w:val="0"/>
          <w:bCs/>
          <w:color w:val="auto"/>
          <w:sz w:val="32"/>
          <w:szCs w:val="32"/>
        </w:rPr>
        <w:t>其中：项目支出</w:t>
      </w:r>
      <w:r>
        <w:rPr>
          <w:rFonts w:hint="eastAsia" w:eastAsia="仿宋"/>
          <w:b w:val="0"/>
          <w:bCs/>
          <w:color w:val="auto"/>
          <w:sz w:val="32"/>
          <w:szCs w:val="32"/>
          <w:lang w:val="en-US" w:eastAsia="zh-CN"/>
        </w:rPr>
        <w:t>125.13</w:t>
      </w:r>
      <w:r>
        <w:rPr>
          <w:rFonts w:eastAsia="仿宋"/>
          <w:b w:val="0"/>
          <w:bCs/>
          <w:color w:val="auto"/>
          <w:sz w:val="32"/>
          <w:szCs w:val="32"/>
        </w:rPr>
        <w:t>万元，基本支出</w:t>
      </w:r>
      <w:r>
        <w:rPr>
          <w:rFonts w:hint="eastAsia" w:eastAsia="仿宋"/>
          <w:b w:val="0"/>
          <w:bCs/>
          <w:color w:val="auto"/>
          <w:sz w:val="32"/>
          <w:szCs w:val="32"/>
          <w:lang w:val="en-US" w:eastAsia="zh-CN"/>
        </w:rPr>
        <w:t>93.24</w:t>
      </w:r>
      <w:r>
        <w:rPr>
          <w:rFonts w:eastAsia="仿宋"/>
          <w:b w:val="0"/>
          <w:bCs/>
          <w:color w:val="auto"/>
          <w:sz w:val="32"/>
          <w:szCs w:val="32"/>
        </w:rPr>
        <w:t>万元，其中：人员经费</w:t>
      </w:r>
      <w:r>
        <w:rPr>
          <w:rFonts w:hint="eastAsia" w:eastAsia="仿宋"/>
          <w:b w:val="0"/>
          <w:bCs/>
          <w:color w:val="auto"/>
          <w:sz w:val="32"/>
          <w:szCs w:val="32"/>
          <w:lang w:val="en-US" w:eastAsia="zh-CN"/>
        </w:rPr>
        <w:t>86.57</w:t>
      </w:r>
      <w:r>
        <w:rPr>
          <w:rFonts w:eastAsia="仿宋"/>
          <w:b w:val="0"/>
          <w:bCs/>
          <w:color w:val="auto"/>
          <w:sz w:val="32"/>
          <w:szCs w:val="32"/>
        </w:rPr>
        <w:t>万元，公用经费</w:t>
      </w:r>
      <w:r>
        <w:rPr>
          <w:rFonts w:hint="eastAsia" w:eastAsia="仿宋"/>
          <w:b w:val="0"/>
          <w:bCs/>
          <w:color w:val="auto"/>
          <w:sz w:val="32"/>
          <w:szCs w:val="32"/>
          <w:lang w:val="en-US" w:eastAsia="zh-CN"/>
        </w:rPr>
        <w:t>6.67万</w:t>
      </w:r>
      <w:r>
        <w:rPr>
          <w:rFonts w:eastAsia="仿宋"/>
          <w:b w:val="0"/>
          <w:bCs/>
          <w:color w:val="auto"/>
          <w:sz w:val="32"/>
          <w:szCs w:val="32"/>
        </w:rPr>
        <w:t>元。</w:t>
      </w:r>
    </w:p>
    <w:p w14:paraId="6DE2F4D3">
      <w:pPr>
        <w:pStyle w:val="10"/>
        <w:spacing w:line="600" w:lineRule="exact"/>
        <w:ind w:firstLine="643"/>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w:t>
      </w:r>
      <w:r>
        <w:rPr>
          <w:rFonts w:ascii="Times New Roman" w:hAnsi="Times New Roman" w:eastAsia="楷体_GB2312" w:cs="Times New Roman"/>
          <w:b/>
          <w:sz w:val="32"/>
          <w:szCs w:val="32"/>
          <w:lang w:val="en-US" w:eastAsia="zh-CN"/>
        </w:rPr>
        <w:t>项目支出情况</w:t>
      </w:r>
    </w:p>
    <w:p w14:paraId="21A20D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1、留守经费项目支出125.13万元。</w:t>
      </w:r>
    </w:p>
    <w:p w14:paraId="008F0E35">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31FFF0DD">
      <w:pPr>
        <w:pStyle w:val="6"/>
        <w:spacing w:before="0" w:beforeAutospacing="0" w:after="0" w:afterAutospacing="0" w:line="600" w:lineRule="exact"/>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本单位没有政府性基金收入，也没有使用政府性基金安排的支出。</w:t>
      </w:r>
    </w:p>
    <w:p w14:paraId="05D47F7C">
      <w:pPr>
        <w:pStyle w:val="10"/>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p>
    <w:p w14:paraId="1BB29B1B">
      <w:pPr>
        <w:pStyle w:val="6"/>
        <w:spacing w:before="0" w:beforeAutospacing="0" w:after="0" w:afterAutospacing="0" w:line="600" w:lineRule="exact"/>
        <w:ind w:firstLine="640" w:firstLineChars="200"/>
        <w:jc w:val="both"/>
        <w:rPr>
          <w:rFonts w:ascii="Times New Roman" w:hAnsi="Times New Roman" w:eastAsia="黑体"/>
          <w:sz w:val="32"/>
          <w:szCs w:val="32"/>
        </w:rPr>
      </w:pPr>
      <w:r>
        <w:rPr>
          <w:rFonts w:hint="eastAsia" w:ascii="仿宋_GB2312" w:hAnsi="仿宋" w:eastAsia="仿宋_GB2312" w:cs="Times New Roman"/>
          <w:kern w:val="2"/>
          <w:sz w:val="32"/>
          <w:szCs w:val="32"/>
          <w:lang w:val="en-US" w:eastAsia="zh-CN" w:bidi="ar-SA"/>
        </w:rPr>
        <w:t>本单位没有国有资本经营预算支出。</w:t>
      </w:r>
    </w:p>
    <w:p w14:paraId="4B5B579D">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2BFF465D">
      <w:pPr>
        <w:pStyle w:val="6"/>
        <w:spacing w:before="0" w:beforeAutospacing="0" w:after="0" w:afterAutospacing="0" w:line="600" w:lineRule="exact"/>
        <w:ind w:firstLine="640" w:firstLineChars="200"/>
        <w:jc w:val="both"/>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无。</w:t>
      </w:r>
    </w:p>
    <w:p w14:paraId="4242AF71">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DDF319C">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5BBD79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color w:val="000000" w:themeColor="text1"/>
          <w:sz w:val="32"/>
          <w:szCs w:val="32"/>
          <w:lang w:eastAsia="zh-CN"/>
          <w14:textFill>
            <w14:solidFill>
              <w14:schemeClr w14:val="tx1"/>
            </w14:solidFill>
          </w14:textFill>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开办老年大学，老有所安。</w:t>
      </w:r>
      <w:r>
        <w:rPr>
          <w:rFonts w:hint="eastAsia" w:ascii="仿宋" w:hAnsi="仿宋" w:eastAsia="仿宋" w:cs="仿宋"/>
          <w:b w:val="0"/>
          <w:bCs/>
          <w:color w:val="000000" w:themeColor="text1"/>
          <w:sz w:val="32"/>
          <w:szCs w:val="32"/>
          <w:shd w:val="clear" w:color="auto" w:fill="FFFFFF"/>
          <w:lang w:val="en-US" w:eastAsia="zh-CN"/>
          <w14:textFill>
            <w14:solidFill>
              <w14:schemeClr w14:val="tx1"/>
            </w14:solidFill>
          </w14:textFill>
        </w:rPr>
        <w:t>将闲置的办公楼三、四楼改造升级，打造芦淞区老干部大学天泰能源退服中心分校。分校面积近1000平方米，拥有10余间功能完备的教室，在区老干局指导帮助下，于9月份</w:t>
      </w:r>
      <w:r>
        <w:rPr>
          <w:rFonts w:hint="eastAsia" w:ascii="仿宋" w:hAnsi="仿宋" w:eastAsia="仿宋"/>
          <w:b w:val="0"/>
          <w:bCs/>
          <w:color w:val="000000" w:themeColor="text1"/>
          <w:sz w:val="32"/>
          <w:szCs w:val="32"/>
          <w:lang w:eastAsia="zh-CN"/>
          <w14:textFill>
            <w14:solidFill>
              <w14:schemeClr w14:val="tx1"/>
            </w14:solidFill>
          </w14:textFill>
        </w:rPr>
        <w:t>开办了声乐、形体、乒乓球等兴趣班。开课以来，收费低、环境设施好、教学质量高、离家近等优越条件，得到了广大老年人的高度称赞。</w:t>
      </w:r>
    </w:p>
    <w:p w14:paraId="22400D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lang w:eastAsia="zh-CN"/>
          <w14:textFill>
            <w14:solidFill>
              <w14:schemeClr w14:val="tx1"/>
            </w14:solidFill>
          </w14:textFill>
        </w:rPr>
        <w:t>引进养老机构，老有所依。</w:t>
      </w:r>
      <w:r>
        <w:rPr>
          <w:rFonts w:hint="eastAsia" w:ascii="仿宋" w:hAnsi="仿宋" w:eastAsia="仿宋"/>
          <w:b w:val="0"/>
          <w:bCs/>
          <w:color w:val="000000" w:themeColor="text1"/>
          <w:sz w:val="32"/>
          <w:szCs w:val="32"/>
          <w:lang w:val="en-US" w:eastAsia="zh-CN"/>
          <w14:textFill>
            <w14:solidFill>
              <w14:schemeClr w14:val="tx1"/>
            </w14:solidFill>
          </w14:textFill>
        </w:rPr>
        <w:t>在区委区政府主要领导的关心支持下，2024年元月与</w:t>
      </w:r>
      <w:r>
        <w:rPr>
          <w:rFonts w:hint="eastAsia" w:ascii="仿宋" w:hAnsi="仿宋" w:eastAsia="仿宋"/>
          <w:b w:val="0"/>
          <w:bCs/>
          <w:color w:val="000000" w:themeColor="text1"/>
          <w:sz w:val="32"/>
          <w:szCs w:val="32"/>
          <w14:textFill>
            <w14:solidFill>
              <w14:schemeClr w14:val="tx1"/>
            </w14:solidFill>
          </w14:textFill>
        </w:rPr>
        <w:t>株洲潇湘恒泽智慧养老服务有限公司</w:t>
      </w:r>
      <w:r>
        <w:rPr>
          <w:rFonts w:hint="eastAsia" w:ascii="仿宋" w:hAnsi="仿宋" w:eastAsia="仿宋"/>
          <w:b w:val="0"/>
          <w:bCs/>
          <w:color w:val="000000" w:themeColor="text1"/>
          <w:sz w:val="32"/>
          <w:szCs w:val="32"/>
          <w:lang w:eastAsia="zh-CN"/>
          <w14:textFill>
            <w14:solidFill>
              <w14:schemeClr w14:val="tx1"/>
            </w14:solidFill>
          </w14:textFill>
        </w:rPr>
        <w:t>签定租赁合同，打造服务周边的养老中心，通过四</w:t>
      </w:r>
      <w:r>
        <w:rPr>
          <w:rFonts w:hint="eastAsia" w:ascii="仿宋" w:hAnsi="仿宋" w:eastAsia="仿宋"/>
          <w:b w:val="0"/>
          <w:bCs/>
          <w:color w:val="000000" w:themeColor="text1"/>
          <w:sz w:val="32"/>
          <w:szCs w:val="32"/>
          <w:lang w:val="en-US" w:eastAsia="zh-CN"/>
          <w14:textFill>
            <w14:solidFill>
              <w14:schemeClr w14:val="tx1"/>
            </w14:solidFill>
          </w14:textFill>
        </w:rPr>
        <w:t>个月的改造升级，投资近300万元，于2024年5月</w:t>
      </w:r>
      <w:r>
        <w:rPr>
          <w:rFonts w:hint="eastAsia" w:ascii="仿宋" w:hAnsi="仿宋" w:eastAsia="仿宋"/>
          <w:b w:val="0"/>
          <w:bCs/>
          <w:color w:val="000000" w:themeColor="text1"/>
          <w:sz w:val="32"/>
          <w:szCs w:val="32"/>
          <w:lang w:eastAsia="zh-CN"/>
          <w14:textFill>
            <w14:solidFill>
              <w14:schemeClr w14:val="tx1"/>
            </w14:solidFill>
          </w14:textFill>
        </w:rPr>
        <w:t>投入运营。开业以来，满足老年人在就餐、助卫、助浴、娱乐等方面的需求，让老年人的获得感、幸福感、安全感更加充实，更有保障、更可持续。</w:t>
      </w:r>
    </w:p>
    <w:p w14:paraId="1DF25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sz w:val="32"/>
          <w:szCs w:val="32"/>
          <w:lang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满足日常需要，老有所乐</w:t>
      </w:r>
      <w:r>
        <w:rPr>
          <w:rFonts w:hint="eastAsia" w:ascii="楷体" w:hAnsi="楷体" w:eastAsia="楷体"/>
          <w:b w:val="0"/>
          <w:bCs/>
          <w:sz w:val="32"/>
          <w:szCs w:val="32"/>
          <w:lang w:eastAsia="zh-CN"/>
        </w:rPr>
        <w:t>。</w:t>
      </w:r>
      <w:r>
        <w:rPr>
          <w:rFonts w:hint="eastAsia" w:ascii="仿宋" w:hAnsi="仿宋" w:eastAsia="仿宋"/>
          <w:b w:val="0"/>
          <w:bCs/>
          <w:sz w:val="32"/>
          <w:szCs w:val="32"/>
        </w:rPr>
        <w:t>除传统节日外，老年活动中心天天</w:t>
      </w:r>
      <w:r>
        <w:rPr>
          <w:rFonts w:hint="eastAsia" w:ascii="仿宋" w:hAnsi="仿宋" w:eastAsia="仿宋"/>
          <w:b w:val="0"/>
          <w:bCs/>
          <w:sz w:val="32"/>
          <w:szCs w:val="32"/>
          <w:lang w:eastAsia="zh-CN"/>
        </w:rPr>
        <w:t>对外</w:t>
      </w:r>
      <w:r>
        <w:rPr>
          <w:rFonts w:hint="eastAsia" w:ascii="仿宋" w:hAnsi="仿宋" w:eastAsia="仿宋"/>
          <w:b w:val="0"/>
          <w:bCs/>
          <w:sz w:val="32"/>
          <w:szCs w:val="32"/>
        </w:rPr>
        <w:t>开放</w:t>
      </w:r>
      <w:r>
        <w:rPr>
          <w:rFonts w:hint="eastAsia" w:ascii="仿宋" w:hAnsi="仿宋" w:eastAsia="仿宋"/>
          <w:b w:val="0"/>
          <w:bCs/>
          <w:sz w:val="32"/>
          <w:szCs w:val="32"/>
          <w:lang w:eastAsia="zh-CN"/>
        </w:rPr>
        <w:t>。同时</w:t>
      </w:r>
      <w:r>
        <w:rPr>
          <w:rFonts w:hint="eastAsia" w:ascii="仿宋_GB2312" w:hAnsi="仿宋" w:eastAsia="仿宋_GB2312"/>
          <w:b w:val="0"/>
          <w:bCs/>
          <w:color w:val="000000" w:themeColor="text1"/>
          <w:sz w:val="32"/>
          <w:szCs w:val="32"/>
          <w:shd w:val="clear" w:color="auto" w:fill="FFFFFF"/>
          <w:lang w:eastAsia="zh-CN"/>
          <w14:textFill>
            <w14:solidFill>
              <w14:schemeClr w14:val="tx1"/>
            </w14:solidFill>
          </w14:textFill>
        </w:rPr>
        <w:t>发挥六楼综合会议室功能，方便退休人员唱歌和文艺表演，满足老年人日间休闲娱乐需要。</w:t>
      </w:r>
      <w:r>
        <w:rPr>
          <w:rFonts w:hint="eastAsia" w:ascii="仿宋_GB2312" w:hAnsi="仿宋" w:eastAsia="仿宋_GB2312" w:cs="Arial"/>
          <w:b w:val="0"/>
          <w:bCs/>
          <w:color w:val="000000" w:themeColor="text1"/>
          <w:sz w:val="32"/>
          <w:szCs w:val="32"/>
          <w:shd w:val="clear" w:color="auto" w:fill="FFFFFF"/>
          <w:lang w:eastAsia="zh-CN"/>
          <w14:textFill>
            <w14:solidFill>
              <w14:schemeClr w14:val="tx1"/>
            </w14:solidFill>
          </w14:textFill>
        </w:rPr>
        <w:t>设施的完备与功能的增多，吸引了小区和周边老年群众的纷纷来访，参加</w:t>
      </w:r>
      <w:r>
        <w:rPr>
          <w:rFonts w:hint="eastAsia" w:ascii="仿宋" w:hAnsi="仿宋" w:eastAsia="仿宋"/>
          <w:b w:val="0"/>
          <w:bCs/>
          <w:color w:val="000000" w:themeColor="text1"/>
          <w:sz w:val="32"/>
          <w:szCs w:val="32"/>
          <w14:textFill>
            <w14:solidFill>
              <w14:schemeClr w14:val="tx1"/>
            </w14:solidFill>
          </w14:textFill>
        </w:rPr>
        <w:t>活动</w:t>
      </w:r>
      <w:r>
        <w:rPr>
          <w:rFonts w:hint="eastAsia" w:ascii="仿宋" w:hAnsi="仿宋" w:eastAsia="仿宋"/>
          <w:b w:val="0"/>
          <w:bCs/>
          <w:color w:val="000000" w:themeColor="text1"/>
          <w:sz w:val="32"/>
          <w:szCs w:val="32"/>
          <w:lang w:eastAsia="zh-CN"/>
          <w14:textFill>
            <w14:solidFill>
              <w14:schemeClr w14:val="tx1"/>
            </w14:solidFill>
          </w14:textFill>
        </w:rPr>
        <w:t>人数</w:t>
      </w:r>
      <w:r>
        <w:rPr>
          <w:rFonts w:hint="eastAsia" w:ascii="仿宋" w:hAnsi="仿宋" w:eastAsia="仿宋"/>
          <w:b w:val="0"/>
          <w:bCs/>
          <w:color w:val="000000" w:themeColor="text1"/>
          <w:sz w:val="32"/>
          <w:szCs w:val="32"/>
          <w14:textFill>
            <w14:solidFill>
              <w14:schemeClr w14:val="tx1"/>
            </w14:solidFill>
          </w14:textFill>
        </w:rPr>
        <w:t>日均达200人次以上</w:t>
      </w:r>
      <w:r>
        <w:rPr>
          <w:rFonts w:hint="eastAsia" w:ascii="仿宋" w:hAnsi="仿宋" w:eastAsia="仿宋"/>
          <w:b w:val="0"/>
          <w:bCs/>
          <w:color w:val="000000" w:themeColor="text1"/>
          <w:sz w:val="32"/>
          <w:szCs w:val="32"/>
          <w:lang w:eastAsia="zh-CN"/>
          <w14:textFill>
            <w14:solidFill>
              <w14:schemeClr w14:val="tx1"/>
            </w14:solidFill>
          </w14:textFill>
        </w:rPr>
        <w:t>。</w:t>
      </w:r>
    </w:p>
    <w:p w14:paraId="21870B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lang w:eastAsia="zh-CN"/>
          <w14:textFill>
            <w14:solidFill>
              <w14:schemeClr w14:val="tx1"/>
            </w14:solidFill>
          </w14:textFill>
        </w:rPr>
        <w:t>目前，形成了“服务全功能、老人全覆盖、时间全天候”的服务体系。即：对所有老年人全开放，</w:t>
      </w:r>
      <w:r>
        <w:rPr>
          <w:rFonts w:hint="eastAsia" w:ascii="仿宋" w:hAnsi="仿宋" w:eastAsia="仿宋"/>
          <w:b w:val="0"/>
          <w:bCs/>
          <w:color w:val="000000" w:themeColor="text1"/>
          <w:sz w:val="32"/>
          <w:szCs w:val="32"/>
          <w14:textFill>
            <w14:solidFill>
              <w14:schemeClr w14:val="tx1"/>
            </w14:solidFill>
          </w14:textFill>
        </w:rPr>
        <w:t>有养老</w:t>
      </w:r>
      <w:r>
        <w:rPr>
          <w:rFonts w:hint="eastAsia" w:ascii="仿宋" w:hAnsi="仿宋" w:eastAsia="仿宋"/>
          <w:b w:val="0"/>
          <w:bCs/>
          <w:color w:val="000000" w:themeColor="text1"/>
          <w:sz w:val="32"/>
          <w:szCs w:val="32"/>
          <w:lang w:eastAsia="zh-CN"/>
          <w14:textFill>
            <w14:solidFill>
              <w14:schemeClr w14:val="tx1"/>
            </w14:solidFill>
          </w14:textFill>
        </w:rPr>
        <w:t>配餐</w:t>
      </w:r>
      <w:r>
        <w:rPr>
          <w:rFonts w:hint="eastAsia" w:ascii="仿宋" w:hAnsi="仿宋" w:eastAsia="仿宋"/>
          <w:b w:val="0"/>
          <w:bCs/>
          <w:color w:val="000000" w:themeColor="text1"/>
          <w:sz w:val="32"/>
          <w:szCs w:val="32"/>
          <w14:textFill>
            <w14:solidFill>
              <w14:schemeClr w14:val="tx1"/>
            </w14:solidFill>
          </w14:textFill>
        </w:rPr>
        <w:t>需求的可以进养老</w:t>
      </w:r>
      <w:r>
        <w:rPr>
          <w:rFonts w:hint="eastAsia" w:ascii="仿宋" w:hAnsi="仿宋" w:eastAsia="仿宋"/>
          <w:b w:val="0"/>
          <w:bCs/>
          <w:color w:val="000000" w:themeColor="text1"/>
          <w:sz w:val="32"/>
          <w:szCs w:val="32"/>
          <w:lang w:eastAsia="zh-CN"/>
          <w14:textFill>
            <w14:solidFill>
              <w14:schemeClr w14:val="tx1"/>
            </w14:solidFill>
          </w14:textFill>
        </w:rPr>
        <w:t>中心</w:t>
      </w:r>
      <w:r>
        <w:rPr>
          <w:rFonts w:hint="eastAsia" w:ascii="仿宋" w:hAnsi="仿宋" w:eastAsia="仿宋"/>
          <w:b w:val="0"/>
          <w:bCs/>
          <w:color w:val="000000" w:themeColor="text1"/>
          <w:sz w:val="32"/>
          <w:szCs w:val="32"/>
          <w14:textFill>
            <w14:solidFill>
              <w14:schemeClr w14:val="tx1"/>
            </w14:solidFill>
          </w14:textFill>
        </w:rPr>
        <w:t>，有</w:t>
      </w:r>
      <w:r>
        <w:rPr>
          <w:rFonts w:hint="eastAsia" w:ascii="仿宋" w:hAnsi="仿宋" w:eastAsia="仿宋"/>
          <w:b w:val="0"/>
          <w:bCs/>
          <w:color w:val="000000" w:themeColor="text1"/>
          <w:sz w:val="32"/>
          <w:szCs w:val="32"/>
          <w:lang w:eastAsia="zh-CN"/>
          <w14:textFill>
            <w14:solidFill>
              <w14:schemeClr w14:val="tx1"/>
            </w14:solidFill>
          </w14:textFill>
        </w:rPr>
        <w:t>兴趣爱好</w:t>
      </w:r>
      <w:r>
        <w:rPr>
          <w:rFonts w:hint="eastAsia" w:ascii="仿宋" w:hAnsi="仿宋" w:eastAsia="仿宋"/>
          <w:b w:val="0"/>
          <w:bCs/>
          <w:color w:val="000000" w:themeColor="text1"/>
          <w:sz w:val="32"/>
          <w:szCs w:val="32"/>
          <w14:textFill>
            <w14:solidFill>
              <w14:schemeClr w14:val="tx1"/>
            </w14:solidFill>
          </w14:textFill>
        </w:rPr>
        <w:t>需求的可以进老年大学，只希望进行文体活动的可以</w:t>
      </w:r>
      <w:r>
        <w:rPr>
          <w:rFonts w:hint="eastAsia" w:ascii="仿宋" w:hAnsi="仿宋" w:eastAsia="仿宋"/>
          <w:b w:val="0"/>
          <w:bCs/>
          <w:color w:val="000000" w:themeColor="text1"/>
          <w:sz w:val="32"/>
          <w:szCs w:val="32"/>
          <w:lang w:eastAsia="zh-CN"/>
          <w14:textFill>
            <w14:solidFill>
              <w14:schemeClr w14:val="tx1"/>
            </w14:solidFill>
          </w14:textFill>
        </w:rPr>
        <w:t>进活动</w:t>
      </w:r>
      <w:r>
        <w:rPr>
          <w:rFonts w:hint="eastAsia" w:ascii="仿宋" w:hAnsi="仿宋" w:eastAsia="仿宋"/>
          <w:b w:val="0"/>
          <w:bCs/>
          <w:color w:val="000000" w:themeColor="text1"/>
          <w:sz w:val="32"/>
          <w:szCs w:val="32"/>
          <w14:textFill>
            <w14:solidFill>
              <w14:schemeClr w14:val="tx1"/>
            </w14:solidFill>
          </w14:textFill>
        </w:rPr>
        <w:t>中心，</w:t>
      </w:r>
      <w:r>
        <w:rPr>
          <w:rFonts w:hint="eastAsia" w:ascii="仿宋" w:hAnsi="仿宋" w:eastAsia="仿宋" w:cs="仿宋"/>
          <w:b w:val="0"/>
          <w:bCs/>
          <w:sz w:val="32"/>
          <w:szCs w:val="32"/>
          <w:shd w:val="clear" w:color="auto" w:fill="FFFFFF"/>
          <w:lang w:eastAsia="zh-CN"/>
        </w:rPr>
        <w:t>真正实现老有所养、老有所乐、老有所依、老有所安</w:t>
      </w:r>
      <w:r>
        <w:rPr>
          <w:rFonts w:hint="eastAsia" w:ascii="仿宋" w:hAnsi="仿宋" w:eastAsia="仿宋" w:cs="仿宋"/>
          <w:b w:val="0"/>
          <w:bCs/>
          <w:sz w:val="32"/>
          <w:szCs w:val="32"/>
          <w:shd w:val="clear" w:color="auto" w:fill="FFFFFF"/>
        </w:rPr>
        <w:t>。</w:t>
      </w:r>
    </w:p>
    <w:p w14:paraId="7BCAE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b w:val="0"/>
          <w:bCs/>
          <w:sz w:val="32"/>
          <w:szCs w:val="32"/>
          <w:lang w:val="en-US" w:eastAsia="zh-CN"/>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确保资产收益。</w:t>
      </w:r>
      <w:r>
        <w:rPr>
          <w:rFonts w:hint="eastAsia" w:ascii="仿宋" w:hAnsi="仿宋" w:eastAsia="仿宋"/>
          <w:b w:val="0"/>
          <w:bCs/>
          <w:sz w:val="32"/>
          <w:szCs w:val="32"/>
        </w:rPr>
        <w:t>202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w:t>
      </w:r>
      <w:r>
        <w:rPr>
          <w:rFonts w:hint="eastAsia" w:ascii="仿宋" w:hAnsi="仿宋" w:eastAsia="仿宋"/>
          <w:b w:val="0"/>
          <w:bCs/>
          <w:sz w:val="32"/>
          <w:szCs w:val="32"/>
          <w:lang w:eastAsia="zh-CN"/>
        </w:rPr>
        <w:t>签定门面租赁合同</w:t>
      </w:r>
      <w:r>
        <w:rPr>
          <w:rFonts w:hint="eastAsia" w:ascii="仿宋" w:hAnsi="仿宋" w:eastAsia="仿宋"/>
          <w:b w:val="0"/>
          <w:bCs/>
          <w:sz w:val="32"/>
          <w:szCs w:val="32"/>
          <w:lang w:val="en-US" w:eastAsia="zh-CN"/>
        </w:rPr>
        <w:t>23个，</w:t>
      </w:r>
      <w:r>
        <w:rPr>
          <w:rFonts w:hint="eastAsia" w:ascii="仿宋" w:hAnsi="仿宋" w:eastAsia="仿宋"/>
          <w:b w:val="0"/>
          <w:bCs/>
          <w:sz w:val="32"/>
          <w:szCs w:val="32"/>
        </w:rPr>
        <w:t>租金收入184.64万元，</w:t>
      </w:r>
      <w:r>
        <w:rPr>
          <w:rFonts w:hint="eastAsia" w:ascii="仿宋" w:hAnsi="仿宋" w:eastAsia="仿宋"/>
          <w:b w:val="0"/>
          <w:bCs/>
          <w:sz w:val="32"/>
          <w:szCs w:val="32"/>
          <w:lang w:val="en-US" w:eastAsia="zh-CN"/>
        </w:rPr>
        <w:t>顶住租赁户以各种理由要求降低租金或缓交租金的诉求，</w:t>
      </w:r>
      <w:r>
        <w:rPr>
          <w:rFonts w:hint="eastAsia" w:ascii="仿宋" w:hAnsi="仿宋" w:eastAsia="仿宋"/>
          <w:b w:val="0"/>
          <w:bCs/>
          <w:sz w:val="32"/>
          <w:szCs w:val="32"/>
          <w:lang w:eastAsia="zh-CN"/>
        </w:rPr>
        <w:t>收租率</w:t>
      </w:r>
      <w:r>
        <w:rPr>
          <w:rFonts w:hint="eastAsia" w:ascii="仿宋" w:hAnsi="仿宋" w:eastAsia="仿宋"/>
          <w:b w:val="0"/>
          <w:bCs/>
          <w:sz w:val="32"/>
          <w:szCs w:val="32"/>
          <w:lang w:val="en-US" w:eastAsia="zh-CN"/>
        </w:rPr>
        <w:t>100%。</w:t>
      </w:r>
    </w:p>
    <w:p w14:paraId="19AAC2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lang w:eastAsia="zh-CN"/>
        </w:rPr>
        <w:t>链接社会资源。</w:t>
      </w:r>
      <w:r>
        <w:rPr>
          <w:rFonts w:hint="eastAsia" w:ascii="仿宋" w:hAnsi="仿宋" w:eastAsia="仿宋" w:cs="仿宋"/>
          <w:b w:val="0"/>
          <w:bCs/>
          <w:color w:val="000000" w:themeColor="text1"/>
          <w:sz w:val="32"/>
          <w:szCs w:val="32"/>
          <w:shd w:val="clear" w:color="auto" w:fill="FFFFFF"/>
          <w:lang w:val="en-US" w:eastAsia="zh-CN"/>
          <w14:textFill>
            <w14:solidFill>
              <w14:schemeClr w14:val="tx1"/>
            </w14:solidFill>
          </w14:textFill>
        </w:rPr>
        <w:t>办公楼三、四楼改造升级，打造成芦淞区老干部大学天泰能源退服中心分校。</w:t>
      </w:r>
      <w:r>
        <w:rPr>
          <w:rFonts w:hint="eastAsia" w:ascii="仿宋" w:hAnsi="仿宋" w:eastAsia="仿宋"/>
          <w:b w:val="0"/>
          <w:bCs/>
          <w:sz w:val="32"/>
          <w:szCs w:val="32"/>
        </w:rPr>
        <w:t>成功</w:t>
      </w:r>
      <w:r>
        <w:rPr>
          <w:rFonts w:hint="eastAsia" w:ascii="仿宋" w:hAnsi="仿宋" w:eastAsia="仿宋"/>
          <w:b w:val="0"/>
          <w:bCs/>
          <w:sz w:val="32"/>
          <w:szCs w:val="32"/>
          <w:lang w:eastAsia="zh-CN"/>
        </w:rPr>
        <w:t>引进</w:t>
      </w:r>
      <w:r>
        <w:rPr>
          <w:rFonts w:hint="eastAsia" w:ascii="仿宋" w:hAnsi="仿宋" w:eastAsia="仿宋"/>
          <w:b w:val="0"/>
          <w:bCs/>
          <w:color w:val="000000" w:themeColor="text1"/>
          <w:sz w:val="32"/>
          <w:szCs w:val="32"/>
          <w:lang w:eastAsia="zh-CN"/>
          <w14:textFill>
            <w14:solidFill>
              <w14:schemeClr w14:val="tx1"/>
            </w14:solidFill>
          </w14:textFill>
        </w:rPr>
        <w:t>养老企业</w:t>
      </w:r>
      <w:r>
        <w:rPr>
          <w:rFonts w:hint="eastAsia" w:ascii="仿宋" w:hAnsi="仿宋" w:eastAsia="仿宋"/>
          <w:b w:val="0"/>
          <w:bCs/>
          <w:sz w:val="32"/>
          <w:szCs w:val="32"/>
        </w:rPr>
        <w:t>进驻</w:t>
      </w:r>
      <w:r>
        <w:rPr>
          <w:rFonts w:hint="eastAsia" w:ascii="仿宋" w:hAnsi="仿宋" w:eastAsia="仿宋"/>
          <w:b w:val="0"/>
          <w:bCs/>
          <w:sz w:val="32"/>
          <w:szCs w:val="32"/>
          <w:lang w:eastAsia="zh-CN"/>
        </w:rPr>
        <w:t>原洗煤厂幼儿园</w:t>
      </w:r>
      <w:r>
        <w:rPr>
          <w:rFonts w:hint="eastAsia" w:ascii="仿宋" w:hAnsi="仿宋" w:eastAsia="仿宋"/>
          <w:b w:val="0"/>
          <w:bCs/>
          <w:sz w:val="32"/>
          <w:szCs w:val="32"/>
        </w:rPr>
        <w:t>，</w:t>
      </w:r>
      <w:r>
        <w:rPr>
          <w:rFonts w:hint="eastAsia" w:ascii="仿宋" w:hAnsi="仿宋" w:eastAsia="仿宋"/>
          <w:b w:val="0"/>
          <w:bCs/>
          <w:sz w:val="32"/>
          <w:szCs w:val="32"/>
          <w:lang w:eastAsia="zh-CN"/>
        </w:rPr>
        <w:t>升级改造成养老服务中心。</w:t>
      </w:r>
    </w:p>
    <w:p w14:paraId="0459ED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color w:val="000000" w:themeColor="text1"/>
          <w:sz w:val="32"/>
          <w:szCs w:val="32"/>
          <w14:textFill>
            <w14:solidFill>
              <w14:schemeClr w14:val="tx1"/>
            </w14:solidFill>
          </w14:textFill>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lang w:eastAsia="zh-CN"/>
        </w:rPr>
        <w:t>加强安全管理。</w:t>
      </w:r>
      <w:r>
        <w:rPr>
          <w:rFonts w:hint="eastAsia" w:ascii="仿宋" w:hAnsi="仿宋" w:eastAsia="仿宋"/>
          <w:b w:val="0"/>
          <w:bCs/>
          <w:sz w:val="32"/>
          <w:szCs w:val="32"/>
          <w:lang w:eastAsia="zh-CN"/>
        </w:rPr>
        <w:t>聘请专业公司进行房屋结构安全性鉴定，每月对门面进行消防安全检查，并出具消防整改督查单。针对办公楼外墙掉落水泥块的问题，立即做好外墙排危修复施工，确保资产安全管理到位。</w:t>
      </w:r>
    </w:p>
    <w:p w14:paraId="42ABFEB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6DA49E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本部门2024年年初预算专项资金共1个，具体情况如下：</w:t>
      </w:r>
    </w:p>
    <w:p w14:paraId="1AB306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改制企业留守机构专用经费，实际支出125.13万元；该专项资金支出为管理服务对象的活动支出、困难管理服务对象的慰问和救济支出、公共设施的维护和活动器材的更新支出、弥补日常工作经费的不足。</w:t>
      </w:r>
    </w:p>
    <w:p w14:paraId="1A3FE1F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实际支出中以下项目未做年初预算，具体情况如下：</w:t>
      </w:r>
    </w:p>
    <w:p w14:paraId="7773C8A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1.党建经费0.40万元；资金来源为贺家土街道办事处拨党费返还款。</w:t>
      </w:r>
    </w:p>
    <w:p w14:paraId="66419A87">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0EC8EFD0">
      <w:pPr>
        <w:pStyle w:val="6"/>
        <w:keepNext w:val="0"/>
        <w:keepLines w:val="0"/>
        <w:widowControl/>
        <w:suppressLineNumbers w:val="0"/>
        <w:spacing w:before="0" w:beforeAutospacing="0" w:after="0" w:afterAutospacing="0" w:line="560" w:lineRule="exact"/>
        <w:ind w:right="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对绩效评价工作的重要性认识有待进一步提高,项目支出绩效评价指标体系不完善，给考核评价带来一定的困难。造成这一问题的原因主要是在主观意识上缺乏主动性，对绩效观念的广度和深度认识不足。</w:t>
      </w:r>
    </w:p>
    <w:p w14:paraId="1AF4F08E">
      <w:pPr>
        <w:spacing w:line="600" w:lineRule="exact"/>
        <w:ind w:firstLine="640" w:firstLineChars="200"/>
        <w:rPr>
          <w:rFonts w:eastAsia="黑体"/>
          <w:sz w:val="32"/>
          <w:szCs w:val="32"/>
        </w:rPr>
      </w:pPr>
      <w:r>
        <w:rPr>
          <w:rFonts w:eastAsia="黑体"/>
          <w:sz w:val="32"/>
          <w:szCs w:val="32"/>
        </w:rPr>
        <w:t>八、下一步改进措施</w:t>
      </w:r>
    </w:p>
    <w:p w14:paraId="7D156320">
      <w:pPr>
        <w:pStyle w:val="6"/>
        <w:keepNext w:val="0"/>
        <w:keepLines w:val="0"/>
        <w:widowControl/>
        <w:suppressLineNumbers w:val="0"/>
        <w:spacing w:before="0" w:beforeAutospacing="0" w:after="0" w:afterAutospacing="0" w:line="560" w:lineRule="exact"/>
        <w:ind w:right="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针对发现的问题我单位将着力做好预算绩效管理工作的宣传和应用，因地制宜的制定普遍适用的共性指标和适合本单位的个性指标，将绩效管理真正重视起来。科学地评价本单位项目资金运用情况，从而提高财政资金支出的运行效率。</w:t>
      </w:r>
    </w:p>
    <w:p w14:paraId="2E5F824A">
      <w:pPr>
        <w:spacing w:line="600" w:lineRule="exact"/>
        <w:ind w:firstLine="640" w:firstLineChars="200"/>
        <w:rPr>
          <w:rFonts w:eastAsia="黑体"/>
          <w:sz w:val="32"/>
          <w:szCs w:val="32"/>
        </w:rPr>
      </w:pPr>
      <w:r>
        <w:rPr>
          <w:rFonts w:eastAsia="黑体"/>
          <w:sz w:val="32"/>
          <w:szCs w:val="32"/>
        </w:rPr>
        <w:t>九、绩效自评结果拟应用和公开情况</w:t>
      </w:r>
    </w:p>
    <w:p w14:paraId="483CE414">
      <w:pPr>
        <w:pStyle w:val="5"/>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本单位没有独立公开网站，自评结果在芦淞区政府官网上公示公开，接受社会监督。</w:t>
      </w:r>
    </w:p>
    <w:p w14:paraId="5519662A">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241008E1">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41D94F99">
      <w:pPr>
        <w:spacing w:line="600" w:lineRule="exact"/>
        <w:rPr>
          <w:rFonts w:eastAsia="仿宋_GB2312"/>
          <w:kern w:val="0"/>
          <w:sz w:val="32"/>
          <w:szCs w:val="32"/>
        </w:rPr>
      </w:pPr>
    </w:p>
    <w:p w14:paraId="018103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8F5ED4"/>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A94C54"/>
    <w:rsid w:val="34550A4A"/>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01444"/>
    <w:rsid w:val="453A160B"/>
    <w:rsid w:val="45703714"/>
    <w:rsid w:val="45CF0E16"/>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0B5241"/>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CC1914"/>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6C5C98"/>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pPr>
  </w:style>
  <w:style w:type="paragraph" w:styleId="4">
    <w:name w:val="Body Text Indent"/>
    <w:basedOn w:val="1"/>
    <w:qFormat/>
    <w:uiPriority w:val="0"/>
    <w:pPr>
      <w:spacing w:after="120"/>
      <w:ind w:left="420" w:leftChars="200"/>
    </w:p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0"/>
    <w:rPr>
      <w:sz w:val="24"/>
    </w:rPr>
  </w:style>
  <w:style w:type="paragraph" w:styleId="7">
    <w:name w:val="Body Text First Indent 2"/>
    <w:basedOn w:val="4"/>
    <w:qFormat/>
    <w:uiPriority w:val="0"/>
    <w:pPr>
      <w:ind w:firstLine="420" w:firstLineChars="200"/>
    </w:pPr>
  </w:style>
  <w:style w:type="paragraph" w:styleId="10">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2040</Words>
  <Characters>2148</Characters>
  <Lines>0</Lines>
  <Paragraphs>0</Paragraphs>
  <TotalTime>8</TotalTime>
  <ScaleCrop>false</ScaleCrop>
  <LinksUpToDate>false</LinksUpToDate>
  <CharactersWithSpaces>2149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2026-01-23T02:10:42Z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0C6E547646AB4D86B361B72D630D0B05_13</vt:lpwstr>
  </property>
  <property fmtid="{D5CDD505-2E9C-101B-9397-08002B2CF9AE}" pid="4" name="KSOTemplateDocerSaveRecord">
    <vt:lpwstr>eyJoZGlkIjoiNWZhM2JiNDI2Yjk2OGFjMGQ0YzcyMzQ0ZTBlZmZiYjQiLCJ1c2VySWQiOiIxNDU1NjA5MTY5In0=</vt:lpwstr>
  </property>
</Properties>
</file>