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A7E5A">
      <w:pPr>
        <w:tabs>
          <w:tab w:val="left" w:pos="7560"/>
        </w:tabs>
        <w:adjustRightInd w:val="0"/>
        <w:snapToGrid w:val="0"/>
        <w:spacing w:line="560" w:lineRule="exact"/>
        <w:jc w:val="left"/>
        <w:rPr>
          <w:rFonts w:eastAsia="黑体"/>
          <w:sz w:val="32"/>
          <w:szCs w:val="32"/>
        </w:rPr>
      </w:pPr>
    </w:p>
    <w:p w14:paraId="72EEEEB9">
      <w:pPr>
        <w:snapToGrid w:val="0"/>
        <w:spacing w:line="560" w:lineRule="exact"/>
        <w:jc w:val="center"/>
        <w:rPr>
          <w:rFonts w:hint="eastAsia" w:ascii="方正小标宋简体" w:eastAsia="方正小标宋简体"/>
          <w:sz w:val="48"/>
          <w:szCs w:val="44"/>
        </w:rPr>
      </w:pPr>
      <w:r>
        <w:rPr>
          <w:rFonts w:hint="eastAsia" w:ascii="方正小标宋简体" w:eastAsia="方正小标宋简体"/>
          <w:sz w:val="48"/>
          <w:szCs w:val="44"/>
        </w:rPr>
        <w:t>202</w:t>
      </w:r>
      <w:r>
        <w:rPr>
          <w:rFonts w:hint="eastAsia" w:ascii="方正小标宋简体" w:eastAsia="方正小标宋简体"/>
          <w:sz w:val="48"/>
          <w:szCs w:val="44"/>
          <w:lang w:val="en-US" w:eastAsia="zh-CN"/>
        </w:rPr>
        <w:t>4</w:t>
      </w:r>
      <w:r>
        <w:rPr>
          <w:rFonts w:hint="eastAsia" w:ascii="方正小标宋简体" w:eastAsia="方正小标宋简体"/>
          <w:sz w:val="48"/>
          <w:szCs w:val="44"/>
        </w:rPr>
        <w:t>年度部门（单位）整体支出</w:t>
      </w:r>
    </w:p>
    <w:p w14:paraId="2F9C7670">
      <w:pPr>
        <w:snapToGrid w:val="0"/>
        <w:spacing w:line="560" w:lineRule="exact"/>
        <w:jc w:val="center"/>
        <w:rPr>
          <w:rFonts w:hint="eastAsia" w:ascii="方正大标宋简体" w:eastAsia="方正大标宋简体"/>
          <w:sz w:val="48"/>
          <w:szCs w:val="52"/>
        </w:rPr>
      </w:pPr>
      <w:r>
        <w:rPr>
          <w:rFonts w:hint="eastAsia" w:ascii="方正小标宋简体" w:eastAsia="方正小标宋简体"/>
          <w:sz w:val="48"/>
          <w:szCs w:val="44"/>
        </w:rPr>
        <w:t>绩效自评报告</w:t>
      </w:r>
    </w:p>
    <w:p w14:paraId="09739CEB">
      <w:pPr>
        <w:spacing w:line="600" w:lineRule="exact"/>
        <w:ind w:firstLine="3520" w:firstLineChars="1100"/>
        <w:jc w:val="left"/>
        <w:rPr>
          <w:rFonts w:eastAsia="仿宋_GB2312"/>
          <w:sz w:val="32"/>
          <w:szCs w:val="32"/>
        </w:rPr>
      </w:pPr>
    </w:p>
    <w:p w14:paraId="1C436F27">
      <w:pPr>
        <w:jc w:val="center"/>
        <w:rPr>
          <w:rFonts w:eastAsia="楷体_GB2312"/>
          <w:b/>
          <w:sz w:val="32"/>
          <w:szCs w:val="32"/>
        </w:rPr>
      </w:pPr>
    </w:p>
    <w:p w14:paraId="3532163A">
      <w:pPr>
        <w:jc w:val="center"/>
        <w:rPr>
          <w:rFonts w:eastAsia="楷体_GB2312"/>
          <w:b/>
          <w:sz w:val="32"/>
          <w:szCs w:val="32"/>
        </w:rPr>
      </w:pPr>
    </w:p>
    <w:p w14:paraId="5D7D6E51">
      <w:pPr>
        <w:jc w:val="center"/>
        <w:rPr>
          <w:rFonts w:eastAsia="楷体_GB2312"/>
          <w:b/>
          <w:sz w:val="32"/>
          <w:szCs w:val="32"/>
        </w:rPr>
      </w:pPr>
      <w:bookmarkStart w:id="0" w:name="_GoBack"/>
      <w:bookmarkEnd w:id="0"/>
    </w:p>
    <w:p w14:paraId="0C91A6F0">
      <w:pPr>
        <w:jc w:val="center"/>
        <w:rPr>
          <w:rFonts w:eastAsia="楷体_GB2312"/>
          <w:b/>
          <w:sz w:val="32"/>
          <w:szCs w:val="32"/>
        </w:rPr>
      </w:pPr>
    </w:p>
    <w:p w14:paraId="194E7AF6">
      <w:pPr>
        <w:jc w:val="center"/>
        <w:rPr>
          <w:rFonts w:eastAsia="楷体_GB2312"/>
          <w:b/>
          <w:sz w:val="32"/>
          <w:szCs w:val="32"/>
        </w:rPr>
      </w:pPr>
    </w:p>
    <w:p w14:paraId="772D6B45">
      <w:pPr>
        <w:jc w:val="center"/>
        <w:rPr>
          <w:rFonts w:eastAsia="楷体_GB2312"/>
          <w:b/>
          <w:sz w:val="32"/>
          <w:szCs w:val="32"/>
        </w:rPr>
      </w:pPr>
    </w:p>
    <w:p w14:paraId="71D04638">
      <w:pPr>
        <w:jc w:val="center"/>
        <w:rPr>
          <w:rFonts w:eastAsia="黑体"/>
          <w:sz w:val="32"/>
          <w:szCs w:val="32"/>
        </w:rPr>
      </w:pPr>
    </w:p>
    <w:p w14:paraId="16C204A4">
      <w:pPr>
        <w:jc w:val="center"/>
        <w:rPr>
          <w:rFonts w:eastAsia="黑体"/>
          <w:sz w:val="32"/>
          <w:szCs w:val="32"/>
        </w:rPr>
      </w:pPr>
    </w:p>
    <w:p w14:paraId="4A4E3A83">
      <w:pPr>
        <w:jc w:val="center"/>
        <w:rPr>
          <w:rFonts w:eastAsia="黑体"/>
          <w:sz w:val="32"/>
          <w:szCs w:val="32"/>
        </w:rPr>
      </w:pPr>
    </w:p>
    <w:p w14:paraId="5544E510">
      <w:pPr>
        <w:jc w:val="center"/>
        <w:rPr>
          <w:rFonts w:eastAsia="黑体"/>
          <w:sz w:val="32"/>
          <w:szCs w:val="32"/>
        </w:rPr>
      </w:pPr>
    </w:p>
    <w:p w14:paraId="125F4592">
      <w:pPr>
        <w:jc w:val="center"/>
        <w:rPr>
          <w:rFonts w:eastAsia="黑体"/>
          <w:sz w:val="32"/>
          <w:szCs w:val="32"/>
        </w:rPr>
      </w:pPr>
    </w:p>
    <w:p w14:paraId="0A787D7A">
      <w:pPr>
        <w:jc w:val="center"/>
        <w:rPr>
          <w:rFonts w:eastAsia="黑体"/>
          <w:sz w:val="32"/>
          <w:szCs w:val="32"/>
        </w:rPr>
      </w:pPr>
    </w:p>
    <w:p w14:paraId="0C32BAD6">
      <w:pPr>
        <w:jc w:val="center"/>
        <w:rPr>
          <w:rFonts w:eastAsia="黑体"/>
          <w:sz w:val="32"/>
          <w:szCs w:val="32"/>
        </w:rPr>
      </w:pPr>
    </w:p>
    <w:p w14:paraId="59C600C4">
      <w:pPr>
        <w:jc w:val="center"/>
        <w:rPr>
          <w:rFonts w:eastAsia="黑体"/>
          <w:sz w:val="32"/>
          <w:szCs w:val="32"/>
        </w:rPr>
      </w:pPr>
    </w:p>
    <w:p w14:paraId="48A275E5">
      <w:pPr>
        <w:jc w:val="center"/>
        <w:rPr>
          <w:rFonts w:eastAsia="黑体"/>
          <w:sz w:val="32"/>
          <w:szCs w:val="32"/>
        </w:rPr>
      </w:pPr>
    </w:p>
    <w:p w14:paraId="31D404E4">
      <w:pPr>
        <w:jc w:val="center"/>
        <w:rPr>
          <w:rFonts w:eastAsia="黑体"/>
          <w:sz w:val="32"/>
          <w:szCs w:val="32"/>
        </w:rPr>
      </w:pPr>
    </w:p>
    <w:p w14:paraId="158D176C">
      <w:pPr>
        <w:spacing w:line="600" w:lineRule="exact"/>
        <w:ind w:firstLine="0" w:firstLineChars="0"/>
        <w:jc w:val="center"/>
        <w:rPr>
          <w:rFonts w:hint="eastAsia" w:ascii="仿宋_GB2312" w:eastAsia="仿宋_GB2312"/>
          <w:sz w:val="32"/>
          <w:szCs w:val="32"/>
        </w:rPr>
      </w:pPr>
      <w:r>
        <w:rPr>
          <w:rFonts w:hint="eastAsia" w:ascii="仿宋_GB2312" w:eastAsia="仿宋_GB2312"/>
          <w:sz w:val="32"/>
          <w:szCs w:val="32"/>
        </w:rPr>
        <w:t>部门（单位）名称：株洲市芦淞区人民代表大会</w:t>
      </w:r>
    </w:p>
    <w:p w14:paraId="4FC244CA">
      <w:pPr>
        <w:spacing w:line="600" w:lineRule="exact"/>
        <w:ind w:firstLine="0" w:firstLineChars="0"/>
        <w:jc w:val="center"/>
        <w:rPr>
          <w:rFonts w:hint="eastAsia" w:ascii="仿宋_GB2312" w:eastAsia="仿宋_GB2312"/>
          <w:sz w:val="32"/>
          <w:szCs w:val="32"/>
          <w:u w:val="single"/>
        </w:rPr>
      </w:pPr>
      <w:r>
        <w:rPr>
          <w:rFonts w:hint="eastAsia" w:ascii="仿宋_GB2312" w:eastAsia="仿宋_GB2312"/>
          <w:sz w:val="32"/>
          <w:szCs w:val="32"/>
        </w:rPr>
        <w:t>常务委员会</w:t>
      </w:r>
      <w:r>
        <w:rPr>
          <w:rFonts w:hint="eastAsia" w:ascii="仿宋_GB2312" w:eastAsia="仿宋_GB2312"/>
          <w:sz w:val="32"/>
          <w:szCs w:val="32"/>
          <w:u w:val="single"/>
        </w:rPr>
        <w:t>（盖章）</w:t>
      </w:r>
    </w:p>
    <w:p w14:paraId="246EF40D">
      <w:pPr>
        <w:spacing w:line="600" w:lineRule="exact"/>
        <w:ind w:firstLine="3200" w:firstLineChars="1000"/>
        <w:rPr>
          <w:rFonts w:hint="eastAsia" w:ascii="仿宋_GB2312" w:eastAsia="仿宋_GB2312"/>
          <w:sz w:val="32"/>
          <w:szCs w:val="32"/>
        </w:rPr>
      </w:pPr>
      <w:r>
        <w:rPr>
          <w:rFonts w:hint="eastAsia" w:ascii="仿宋_GB2312" w:eastAsia="仿宋_GB2312"/>
          <w:sz w:val="32"/>
          <w:szCs w:val="32"/>
        </w:rPr>
        <w:t>年  月  日</w:t>
      </w:r>
    </w:p>
    <w:p w14:paraId="481C3D2B">
      <w:pPr>
        <w:jc w:val="center"/>
        <w:rPr>
          <w:rFonts w:hint="eastAsia" w:ascii="仿宋_GB2312" w:eastAsia="仿宋_GB2312"/>
          <w:sz w:val="32"/>
          <w:szCs w:val="32"/>
        </w:rPr>
      </w:pPr>
    </w:p>
    <w:p w14:paraId="00AD34CE">
      <w:pPr>
        <w:ind w:firstLine="2880" w:firstLineChars="900"/>
        <w:rPr>
          <w:rFonts w:hint="eastAsia" w:ascii="仿宋_GB2312" w:eastAsia="仿宋_GB2312"/>
          <w:sz w:val="32"/>
          <w:szCs w:val="32"/>
        </w:rPr>
      </w:pPr>
    </w:p>
    <w:p w14:paraId="293DF4EC">
      <w:pPr>
        <w:ind w:firstLine="2880" w:firstLineChars="900"/>
        <w:rPr>
          <w:rFonts w:hint="eastAsia" w:ascii="仿宋_GB2312" w:eastAsia="仿宋_GB2312"/>
          <w:sz w:val="32"/>
          <w:szCs w:val="32"/>
        </w:rPr>
      </w:pPr>
    </w:p>
    <w:p w14:paraId="7660477E">
      <w:pPr>
        <w:jc w:val="left"/>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14:paraId="683D9452">
      <w:pPr>
        <w:jc w:val="center"/>
        <w:rPr>
          <w:rFonts w:hint="eastAsia" w:ascii="方正小标宋简体" w:eastAsia="方正小标宋简体"/>
          <w:sz w:val="40"/>
          <w:szCs w:val="32"/>
        </w:rPr>
      </w:pPr>
      <w:r>
        <w:rPr>
          <w:rFonts w:hint="eastAsia" w:ascii="方正小标宋简体" w:eastAsia="方正小标宋简体"/>
          <w:sz w:val="40"/>
          <w:szCs w:val="32"/>
          <w:lang w:val="en-US" w:eastAsia="zh-CN"/>
        </w:rPr>
        <w:t>2024</w:t>
      </w:r>
      <w:r>
        <w:rPr>
          <w:rFonts w:hint="eastAsia" w:ascii="方正小标宋简体" w:eastAsia="方正小标宋简体"/>
          <w:sz w:val="40"/>
          <w:szCs w:val="32"/>
        </w:rPr>
        <w:t>年度株洲市芦淞区人民代表大会常务委员会整体支出绩效自评报告</w:t>
      </w:r>
    </w:p>
    <w:p w14:paraId="7F12A3BD">
      <w:pPr>
        <w:jc w:val="left"/>
        <w:rPr>
          <w:rFonts w:ascii="仿宋_GB2312" w:eastAsia="仿宋_GB2312"/>
          <w:sz w:val="32"/>
          <w:szCs w:val="32"/>
        </w:rPr>
      </w:pPr>
    </w:p>
    <w:p w14:paraId="49173C8E">
      <w:pPr>
        <w:jc w:val="left"/>
        <w:rPr>
          <w:rFonts w:ascii="仿宋_GB2312" w:eastAsia="仿宋_GB2312"/>
          <w:sz w:val="32"/>
          <w:szCs w:val="32"/>
        </w:rPr>
      </w:pPr>
    </w:p>
    <w:p w14:paraId="0376422E">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一、部门（单位）基本情况</w:t>
      </w:r>
    </w:p>
    <w:p w14:paraId="29E4EEA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部门职能职责</w:t>
      </w:r>
    </w:p>
    <w:p w14:paraId="18A6B59A">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在本行政区域内，保证宪法、法律、行政法规和上级人民代表大会及其常委会决议的遵守和执行。</w:t>
      </w:r>
    </w:p>
    <w:p w14:paraId="73F6C7D1">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领导或主持本级人民代表大会代表的选举。</w:t>
      </w:r>
    </w:p>
    <w:p w14:paraId="6898157E">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3.</w:t>
      </w:r>
      <w:r>
        <w:rPr>
          <w:rFonts w:hint="eastAsia" w:eastAsia="仿宋_GB2312"/>
          <w:sz w:val="32"/>
          <w:szCs w:val="32"/>
        </w:rPr>
        <w:t>召集本级人民代表大会会议。</w:t>
      </w:r>
    </w:p>
    <w:p w14:paraId="52E4DEB5">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讨论、决定本行政区域的政治、经济、教育、科学、文化、卫生、环境和资源保护、民政、民族等工作的重大事项。</w:t>
      </w:r>
    </w:p>
    <w:p w14:paraId="2C453A51">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5.</w:t>
      </w:r>
      <w:r>
        <w:rPr>
          <w:rFonts w:hint="eastAsia" w:eastAsia="仿宋_GB2312"/>
          <w:sz w:val="32"/>
          <w:szCs w:val="32"/>
        </w:rPr>
        <w:t>根据本级人民政府的建议，决定对本行政区域内的国民经济和社会发展计划、预算的部分变更。</w:t>
      </w:r>
    </w:p>
    <w:p w14:paraId="149CEE69">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6.</w:t>
      </w:r>
      <w:r>
        <w:rPr>
          <w:rFonts w:hint="eastAsia" w:eastAsia="仿宋_GB2312"/>
          <w:sz w:val="32"/>
          <w:szCs w:val="32"/>
        </w:rPr>
        <w:t>监督本级人民政府、监察委员会、人民法院和人民检察院的工作，受理人民群众对上述机关和国家工作人员的申诉和意见。</w:t>
      </w:r>
    </w:p>
    <w:p w14:paraId="2A77372F">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7.</w:t>
      </w:r>
      <w:r>
        <w:rPr>
          <w:rFonts w:hint="eastAsia" w:eastAsia="仿宋_GB2312"/>
          <w:sz w:val="32"/>
          <w:szCs w:val="32"/>
        </w:rPr>
        <w:t>撤销下一级人民代表大会不适当的决议。</w:t>
      </w:r>
    </w:p>
    <w:p w14:paraId="79541518">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8.</w:t>
      </w:r>
      <w:r>
        <w:rPr>
          <w:rFonts w:hint="eastAsia" w:eastAsia="仿宋_GB2312"/>
          <w:sz w:val="32"/>
          <w:szCs w:val="32"/>
        </w:rPr>
        <w:t>撤销本级人民政府不适当的决定和命令。</w:t>
      </w:r>
    </w:p>
    <w:p w14:paraId="7863F077">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9.</w:t>
      </w:r>
      <w:r>
        <w:rPr>
          <w:rFonts w:hint="eastAsia" w:eastAsia="仿宋_GB2312"/>
          <w:sz w:val="32"/>
          <w:szCs w:val="32"/>
        </w:rPr>
        <w:t>在本级人民代表大会闭会期间，决定个别副区长的任免；在区长和监察委员会主任、人民法院院长、人民检察院检察长因故不能担任职务的时候，从本级人民政府、监察委员会、人民法院、人民检察院副职领导人员中决定代理人选；决定代理检察长，须报上一级人民检察院和人大常委会备案。</w:t>
      </w:r>
    </w:p>
    <w:p w14:paraId="120FDE00">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10.</w:t>
      </w:r>
      <w:r>
        <w:rPr>
          <w:rFonts w:hint="eastAsia" w:eastAsia="仿宋_GB2312"/>
          <w:sz w:val="32"/>
          <w:szCs w:val="32"/>
        </w:rPr>
        <w:t>按照中华人民共和国监察法、人民法院组织法和人民检察院组织法的规定，任免芦淞区监察委员会副主任、委员，任免芦淞区人民法院副院长、庭长、副庭长、审判委员会委员、审判员，任免芦淞区人民检察院副检察长、检察委员会委员、检察员。</w:t>
      </w:r>
    </w:p>
    <w:p w14:paraId="0B95B7E6">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11.</w:t>
      </w:r>
      <w:r>
        <w:rPr>
          <w:rFonts w:hint="eastAsia" w:eastAsia="仿宋_GB2312"/>
          <w:sz w:val="32"/>
          <w:szCs w:val="32"/>
        </w:rPr>
        <w:t>在本级人民代表大会闭会期间，决定撤销个别副区长的职务；决定撤销由它任命的本级人民政府其他组成人员和监察委员会副主任、委员，人民法院副院长、庭长、副庭长、审判委员会委员、审判员，人民检察院副检察长、检察委员会委员、检察员。</w:t>
      </w:r>
    </w:p>
    <w:p w14:paraId="47D67427">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12.</w:t>
      </w:r>
      <w:r>
        <w:rPr>
          <w:rFonts w:hint="eastAsia" w:eastAsia="仿宋_GB2312"/>
          <w:sz w:val="32"/>
          <w:szCs w:val="32"/>
        </w:rPr>
        <w:t>在本级人民代表大会闭会期间，补选上一级人民代表大会出缺的代表和罢免个别代表。</w:t>
      </w:r>
    </w:p>
    <w:p w14:paraId="6BF75407">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lang w:val="en-US" w:eastAsia="zh-CN"/>
        </w:rPr>
        <w:t>13.</w:t>
      </w:r>
      <w:r>
        <w:rPr>
          <w:rFonts w:hint="eastAsia" w:eastAsia="仿宋_GB2312"/>
          <w:sz w:val="32"/>
          <w:szCs w:val="32"/>
        </w:rPr>
        <w:t>决定授予地方的荣誉称号。</w:t>
      </w:r>
    </w:p>
    <w:p w14:paraId="73289262">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机构设置</w:t>
      </w:r>
      <w:r>
        <w:rPr>
          <w:rFonts w:hint="eastAsia" w:ascii="Times New Roman" w:hAnsi="Times New Roman" w:eastAsia="仿宋_GB2312" w:cs="Times New Roman"/>
          <w:sz w:val="32"/>
          <w:szCs w:val="32"/>
          <w:lang w:val="en-US" w:eastAsia="zh-CN"/>
        </w:rPr>
        <w:t>和人员情况</w:t>
      </w:r>
    </w:p>
    <w:p w14:paraId="065FFDFD">
      <w:pPr>
        <w:tabs>
          <w:tab w:val="left" w:pos="7560"/>
        </w:tabs>
        <w:adjustRightInd w:val="0"/>
        <w:snapToGrid w:val="0"/>
        <w:spacing w:line="560" w:lineRule="exact"/>
        <w:ind w:firstLine="640" w:firstLineChars="200"/>
        <w:rPr>
          <w:rFonts w:hint="eastAsia" w:eastAsia="仿宋_GB2312"/>
          <w:bCs/>
          <w:color w:val="FF0000"/>
          <w:sz w:val="32"/>
          <w:szCs w:val="32"/>
        </w:rPr>
      </w:pPr>
      <w:r>
        <w:rPr>
          <w:rFonts w:hint="eastAsia" w:ascii="Times New Roman" w:eastAsia="仿宋_GB2312"/>
          <w:bCs/>
          <w:color w:val="000000"/>
          <w:sz w:val="32"/>
          <w:szCs w:val="32"/>
          <w:lang w:val="en-US" w:eastAsia="zh-CN"/>
        </w:rPr>
        <w:t>1.</w:t>
      </w:r>
      <w:r>
        <w:rPr>
          <w:rFonts w:hint="eastAsia" w:ascii="Times New Roman" w:eastAsia="仿宋_GB2312"/>
          <w:bCs/>
          <w:color w:val="000000"/>
          <w:sz w:val="32"/>
          <w:szCs w:val="32"/>
        </w:rPr>
        <w:t>部门设置。根据编办核定，我单位内设</w:t>
      </w:r>
      <w:r>
        <w:rPr>
          <w:rFonts w:hint="eastAsia" w:ascii="Times New Roman" w:eastAsia="仿宋_GB2312"/>
          <w:bCs/>
          <w:color w:val="000000"/>
          <w:sz w:val="32"/>
          <w:szCs w:val="32"/>
          <w:lang w:val="en-US" w:eastAsia="zh-CN"/>
        </w:rPr>
        <w:t>委办8</w:t>
      </w:r>
      <w:r>
        <w:rPr>
          <w:rFonts w:hint="eastAsia" w:ascii="Times New Roman" w:eastAsia="仿宋_GB2312"/>
          <w:bCs/>
          <w:color w:val="000000"/>
          <w:sz w:val="32"/>
          <w:szCs w:val="32"/>
        </w:rPr>
        <w:t>个，分别是：</w:t>
      </w:r>
      <w:r>
        <w:rPr>
          <w:rFonts w:hint="eastAsia" w:eastAsia="仿宋_GB2312"/>
          <w:sz w:val="32"/>
          <w:szCs w:val="32"/>
        </w:rPr>
        <w:t>区人大常委会办公室（信访办公室）、区人大常委会</w:t>
      </w:r>
      <w:r>
        <w:rPr>
          <w:rFonts w:hint="eastAsia" w:eastAsia="仿宋_GB2312"/>
          <w:sz w:val="32"/>
          <w:szCs w:val="32"/>
          <w:lang w:val="en-US" w:eastAsia="zh-CN"/>
        </w:rPr>
        <w:t>代表</w:t>
      </w:r>
      <w:r>
        <w:rPr>
          <w:rFonts w:hint="eastAsia" w:eastAsia="仿宋_GB2312"/>
          <w:sz w:val="32"/>
          <w:szCs w:val="32"/>
        </w:rPr>
        <w:t>工作委员会、区人大监察和司法委员会（法制委员会）、区人大财政经济委员会（预算工作委员会）、区人大教育科学文化卫生委员会（民族华侨外事委员会）、区人大环境与资源保护委员会、区人大农业与农村委员会、区人大社会建设委员会</w:t>
      </w:r>
      <w:r>
        <w:rPr>
          <w:rFonts w:hint="eastAsia" w:ascii="Times New Roman" w:eastAsia="仿宋_GB2312"/>
          <w:bCs/>
          <w:color w:val="000000"/>
          <w:sz w:val="32"/>
          <w:szCs w:val="32"/>
        </w:rPr>
        <w:t>。所属事业单位</w:t>
      </w:r>
      <w:r>
        <w:rPr>
          <w:rFonts w:hint="eastAsia" w:eastAsia="仿宋_GB2312"/>
          <w:sz w:val="32"/>
          <w:szCs w:val="32"/>
          <w:lang w:val="en-US" w:eastAsia="zh-CN"/>
        </w:rPr>
        <w:t>1</w:t>
      </w:r>
      <w:r>
        <w:rPr>
          <w:rFonts w:hint="eastAsia" w:ascii="Times New Roman" w:eastAsia="仿宋_GB2312"/>
          <w:bCs/>
          <w:color w:val="000000"/>
          <w:sz w:val="32"/>
          <w:szCs w:val="32"/>
        </w:rPr>
        <w:t>个，</w:t>
      </w:r>
      <w:r>
        <w:rPr>
          <w:rFonts w:hint="eastAsia" w:ascii="Times New Roman" w:eastAsia="仿宋_GB2312"/>
          <w:bCs/>
          <w:color w:val="000000"/>
          <w:sz w:val="32"/>
          <w:szCs w:val="32"/>
          <w:lang w:val="en-US" w:eastAsia="zh-CN"/>
        </w:rPr>
        <w:t>为人大代表事务中心</w:t>
      </w:r>
      <w:r>
        <w:rPr>
          <w:rFonts w:hint="eastAsia" w:eastAsia="仿宋_GB2312"/>
          <w:bCs/>
          <w:sz w:val="32"/>
          <w:szCs w:val="32"/>
        </w:rPr>
        <w:t>。</w:t>
      </w:r>
    </w:p>
    <w:p w14:paraId="3D3308E1">
      <w:pPr>
        <w:tabs>
          <w:tab w:val="left" w:pos="7560"/>
        </w:tabs>
        <w:adjustRightInd w:val="0"/>
        <w:snapToGrid w:val="0"/>
        <w:spacing w:line="560" w:lineRule="exact"/>
        <w:ind w:firstLine="640" w:firstLineChars="200"/>
        <w:jc w:val="both"/>
        <w:rPr>
          <w:rFonts w:ascii="Times New Roman" w:eastAsia="仿宋_GB2312"/>
          <w:color w:val="000000"/>
          <w:sz w:val="32"/>
          <w:szCs w:val="32"/>
          <w:highlight w:val="none"/>
        </w:rPr>
      </w:pPr>
      <w:r>
        <w:rPr>
          <w:rFonts w:hint="eastAsia" w:ascii="Times New Roman" w:eastAsia="仿宋_GB2312"/>
          <w:bCs/>
          <w:color w:val="000000"/>
          <w:sz w:val="32"/>
          <w:szCs w:val="32"/>
          <w:lang w:val="en-US" w:eastAsia="zh-CN"/>
        </w:rPr>
        <w:t>2.</w:t>
      </w:r>
      <w:r>
        <w:rPr>
          <w:rFonts w:hint="eastAsia" w:ascii="Times New Roman" w:eastAsia="仿宋_GB2312"/>
          <w:bCs/>
          <w:color w:val="000000"/>
          <w:sz w:val="32"/>
          <w:szCs w:val="32"/>
        </w:rPr>
        <w:t>人员情况。本部门编制数</w:t>
      </w:r>
      <w:r>
        <w:rPr>
          <w:rFonts w:hint="eastAsia" w:eastAsia="仿宋_GB2312"/>
          <w:sz w:val="32"/>
          <w:szCs w:val="32"/>
          <w:lang w:val="en-US" w:eastAsia="zh-CN"/>
        </w:rPr>
        <w:t>21</w:t>
      </w:r>
      <w:r>
        <w:rPr>
          <w:rFonts w:hint="eastAsia" w:ascii="Times New Roman" w:eastAsia="仿宋_GB2312"/>
          <w:bCs/>
          <w:color w:val="000000"/>
          <w:sz w:val="32"/>
          <w:szCs w:val="32"/>
        </w:rPr>
        <w:t>人，在职人数</w:t>
      </w:r>
      <w:r>
        <w:rPr>
          <w:rFonts w:hint="eastAsia" w:eastAsia="仿宋_GB2312"/>
          <w:bCs/>
          <w:color w:val="000000"/>
          <w:sz w:val="32"/>
          <w:szCs w:val="32"/>
          <w:lang w:val="en-US" w:eastAsia="zh-CN"/>
        </w:rPr>
        <w:t>24</w:t>
      </w:r>
      <w:r>
        <w:rPr>
          <w:rFonts w:hint="eastAsia" w:ascii="Times New Roman" w:eastAsia="仿宋_GB2312"/>
          <w:bCs/>
          <w:color w:val="000000"/>
          <w:sz w:val="32"/>
          <w:szCs w:val="32"/>
        </w:rPr>
        <w:t>人，其中在岗人数</w:t>
      </w:r>
      <w:r>
        <w:rPr>
          <w:rFonts w:hint="eastAsia" w:eastAsia="仿宋_GB2312"/>
          <w:sz w:val="32"/>
          <w:szCs w:val="32"/>
          <w:lang w:val="en-US" w:eastAsia="zh-CN"/>
        </w:rPr>
        <w:t>24</w:t>
      </w:r>
      <w:r>
        <w:rPr>
          <w:rFonts w:hint="eastAsia" w:ascii="Times New Roman" w:eastAsia="仿宋_GB2312"/>
          <w:bCs/>
          <w:color w:val="000000"/>
          <w:sz w:val="32"/>
          <w:szCs w:val="32"/>
        </w:rPr>
        <w:t>人；离退休人数</w:t>
      </w:r>
      <w:r>
        <w:rPr>
          <w:rFonts w:hint="eastAsia" w:eastAsia="仿宋_GB2312"/>
          <w:sz w:val="32"/>
          <w:szCs w:val="32"/>
          <w:lang w:val="en-US" w:eastAsia="zh-CN"/>
        </w:rPr>
        <w:t>35</w:t>
      </w:r>
      <w:r>
        <w:rPr>
          <w:rFonts w:hint="eastAsia" w:ascii="Times New Roman" w:eastAsia="仿宋_GB2312"/>
          <w:bCs/>
          <w:color w:val="000000"/>
          <w:sz w:val="32"/>
          <w:szCs w:val="32"/>
          <w:highlight w:val="none"/>
        </w:rPr>
        <w:t>人，退休人员</w:t>
      </w:r>
      <w:r>
        <w:rPr>
          <w:rFonts w:hint="eastAsia" w:eastAsia="仿宋_GB2312"/>
          <w:sz w:val="32"/>
          <w:szCs w:val="32"/>
          <w:highlight w:val="none"/>
          <w:lang w:val="en-US" w:eastAsia="zh-CN"/>
        </w:rPr>
        <w:t>35</w:t>
      </w:r>
      <w:r>
        <w:rPr>
          <w:rFonts w:hint="eastAsia" w:ascii="Times New Roman" w:eastAsia="仿宋_GB2312"/>
          <w:bCs/>
          <w:color w:val="000000"/>
          <w:sz w:val="32"/>
          <w:szCs w:val="32"/>
          <w:highlight w:val="none"/>
        </w:rPr>
        <w:t>人。</w:t>
      </w:r>
    </w:p>
    <w:p w14:paraId="4DDCB3C4">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二、一般公共预算支出情况</w:t>
      </w:r>
    </w:p>
    <w:p w14:paraId="055E01EC">
      <w:pPr>
        <w:tabs>
          <w:tab w:val="left" w:pos="7560"/>
        </w:tabs>
        <w:adjustRightInd w:val="0"/>
        <w:snapToGrid w:val="0"/>
        <w:spacing w:line="560" w:lineRule="exact"/>
        <w:ind w:firstLine="640" w:firstLineChars="200"/>
        <w:rPr>
          <w:rFonts w:hint="eastAsia" w:ascii="Times New Roman" w:eastAsia="仿宋_GB2312"/>
          <w:sz w:val="32"/>
          <w:szCs w:val="32"/>
          <w:highlight w:val="none"/>
        </w:rPr>
      </w:pPr>
      <w:r>
        <w:rPr>
          <w:rFonts w:hint="eastAsia" w:ascii="Times New Roman" w:eastAsia="仿宋_GB2312"/>
          <w:sz w:val="32"/>
          <w:szCs w:val="32"/>
        </w:rPr>
        <w:t>（一</w:t>
      </w:r>
      <w:r>
        <w:rPr>
          <w:rFonts w:hint="eastAsia" w:ascii="Times New Roman" w:eastAsia="仿宋_GB2312"/>
          <w:sz w:val="32"/>
          <w:szCs w:val="32"/>
          <w:highlight w:val="none"/>
        </w:rPr>
        <w:t>）基本支出情况</w:t>
      </w:r>
    </w:p>
    <w:p w14:paraId="309FA851">
      <w:pPr>
        <w:tabs>
          <w:tab w:val="left" w:pos="7560"/>
        </w:tabs>
        <w:adjustRightInd w:val="0"/>
        <w:snapToGrid w:val="0"/>
        <w:spacing w:line="56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1、2024年预算资金959.58万元。</w:t>
      </w:r>
    </w:p>
    <w:p w14:paraId="33A80733">
      <w:pPr>
        <w:tabs>
          <w:tab w:val="left" w:pos="7560"/>
        </w:tabs>
        <w:adjustRightInd w:val="0"/>
        <w:snapToGrid w:val="0"/>
        <w:spacing w:line="560" w:lineRule="exact"/>
        <w:ind w:left="638" w:leftChars="304" w:firstLine="0" w:firstLineChars="0"/>
        <w:rPr>
          <w:rFonts w:hint="eastAsia" w:eastAsia="仿宋_GB2312"/>
          <w:sz w:val="32"/>
          <w:szCs w:val="32"/>
          <w:highlight w:val="none"/>
          <w:lang w:val="en-US" w:eastAsia="zh-CN"/>
        </w:rPr>
      </w:pPr>
      <w:r>
        <w:rPr>
          <w:rFonts w:hint="eastAsia" w:eastAsia="仿宋_GB2312"/>
          <w:sz w:val="32"/>
          <w:szCs w:val="32"/>
          <w:highlight w:val="none"/>
          <w:lang w:val="en-US" w:eastAsia="zh-CN"/>
        </w:rPr>
        <w:t>2、2024年度单位一般公共预算财政拨款收入938.45万元。</w:t>
      </w:r>
    </w:p>
    <w:p w14:paraId="5ACAA68F">
      <w:pPr>
        <w:tabs>
          <w:tab w:val="left" w:pos="7560"/>
        </w:tabs>
        <w:adjustRightInd w:val="0"/>
        <w:snapToGrid w:val="0"/>
        <w:spacing w:line="560" w:lineRule="exact"/>
        <w:ind w:left="638" w:leftChars="304" w:firstLine="0" w:firstLineChars="0"/>
        <w:rPr>
          <w:rFonts w:hint="eastAsia" w:eastAsia="仿宋_GB2312"/>
          <w:sz w:val="32"/>
          <w:szCs w:val="32"/>
          <w:highlight w:val="none"/>
          <w:lang w:val="en-US" w:eastAsia="zh-CN"/>
        </w:rPr>
      </w:pPr>
      <w:r>
        <w:rPr>
          <w:rFonts w:hint="eastAsia" w:eastAsia="仿宋_GB2312"/>
          <w:sz w:val="32"/>
          <w:szCs w:val="32"/>
          <w:highlight w:val="none"/>
          <w:lang w:val="en-US" w:eastAsia="zh-CN"/>
        </w:rPr>
        <w:t>3、2024年度单位一般公共预算财政拨款支出938.45万元，其中：项目支出145.36万元，基本支出793.09万元，其中：人员经费678.5万元，公用经费114.59万元。</w:t>
      </w:r>
    </w:p>
    <w:p w14:paraId="42919039">
      <w:pPr>
        <w:tabs>
          <w:tab w:val="left" w:pos="7560"/>
        </w:tabs>
        <w:adjustRightInd w:val="0"/>
        <w:snapToGrid w:val="0"/>
        <w:spacing w:line="560" w:lineRule="exact"/>
        <w:ind w:firstLine="640" w:firstLineChars="200"/>
        <w:rPr>
          <w:rFonts w:hint="eastAsia" w:ascii="Times New Roman" w:eastAsia="仿宋_GB2312"/>
          <w:sz w:val="32"/>
          <w:szCs w:val="32"/>
          <w:highlight w:val="none"/>
        </w:rPr>
      </w:pPr>
      <w:r>
        <w:rPr>
          <w:rFonts w:hint="eastAsia" w:ascii="Times New Roman" w:eastAsia="仿宋_GB2312"/>
          <w:sz w:val="32"/>
          <w:szCs w:val="32"/>
          <w:highlight w:val="none"/>
        </w:rPr>
        <w:t>（二）项目支出情况</w:t>
      </w:r>
    </w:p>
    <w:p w14:paraId="4FC8BEEE">
      <w:pPr>
        <w:tabs>
          <w:tab w:val="left" w:pos="7560"/>
        </w:tabs>
        <w:adjustRightInd w:val="0"/>
        <w:snapToGrid w:val="0"/>
        <w:spacing w:line="56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1.表履职经费64.51万元；2.全会经费11.43万元；3.预算审查经费1.81万元；4.省市代表活动经费6.46万元；5.上级专款20.6万元；6.代表培训费11.00万元；7.预算监督联网系统建设经费29.54万元。</w:t>
      </w:r>
    </w:p>
    <w:p w14:paraId="4D39986E">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三、政府性基金预算支出情况</w:t>
      </w:r>
    </w:p>
    <w:p w14:paraId="443031DA">
      <w:pPr>
        <w:tabs>
          <w:tab w:val="left" w:pos="7560"/>
        </w:tabs>
        <w:adjustRightInd w:val="0"/>
        <w:snapToGrid w:val="0"/>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14:paraId="1425CC11">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四、国有资本经营预算支出情况</w:t>
      </w:r>
    </w:p>
    <w:p w14:paraId="630BDD37">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无。</w:t>
      </w:r>
    </w:p>
    <w:p w14:paraId="33A63297">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五、社会保险基金预算支出情况</w:t>
      </w:r>
    </w:p>
    <w:p w14:paraId="64A36F9C">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无。</w:t>
      </w:r>
    </w:p>
    <w:p w14:paraId="0A43D727">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六、资金使用及绩效情况（包含单位管理的公共专项）</w:t>
      </w:r>
    </w:p>
    <w:p w14:paraId="2337FCDA">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（一）整体支出绩效情况</w:t>
      </w:r>
    </w:p>
    <w:p w14:paraId="296985E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40"/>
          <w:u w:val="none"/>
          <w:lang w:val="en-US" w:eastAsia="zh-CN"/>
        </w:rPr>
        <w:t>2024年，区人大常委会在区委的正确领导下，紧扣中心大局，以“人大工作高质量发展”为主题，切实履行宪法和法律赋予的各项职权，交出了一份履职尽责的合格答卷。</w:t>
      </w:r>
      <w:r>
        <w:rPr>
          <w:rFonts w:hint="default" w:ascii="Times New Roman" w:hAnsi="Times New Roman" w:eastAsia="方正仿宋_GBK" w:cs="Times New Roman"/>
          <w:color w:val="auto"/>
          <w:sz w:val="32"/>
          <w:szCs w:val="40"/>
          <w:highlight w:val="none"/>
          <w:u w:val="none"/>
          <w:lang w:val="en-US" w:eastAsia="zh-CN"/>
        </w:rPr>
        <w:t>全年召开常委会会议10次、主任会议14次，组织开展执法检查、视察调研31次，听取和审议“一府一委两院”工作报告23项，作出决议决定13项</w:t>
      </w:r>
      <w:r>
        <w:rPr>
          <w:rFonts w:hint="default" w:ascii="Times New Roman" w:hAnsi="Times New Roman" w:eastAsia="方正仿宋_GBK" w:cs="Times New Roman"/>
          <w:color w:val="auto"/>
          <w:sz w:val="32"/>
          <w:szCs w:val="40"/>
          <w:u w:val="none"/>
          <w:lang w:val="en-US" w:eastAsia="zh-CN"/>
        </w:rPr>
        <w:t>，圆满完成了区六届人大四次会议确定的</w:t>
      </w:r>
      <w:r>
        <w:rPr>
          <w:rFonts w:hint="eastAsia" w:eastAsia="方正仿宋_GBK" w:cs="Times New Roman"/>
          <w:color w:val="auto"/>
          <w:sz w:val="32"/>
          <w:szCs w:val="40"/>
          <w:u w:val="none"/>
          <w:lang w:val="en-US" w:eastAsia="zh-CN"/>
        </w:rPr>
        <w:t>各项</w:t>
      </w:r>
      <w:r>
        <w:rPr>
          <w:rFonts w:hint="default" w:ascii="Times New Roman" w:hAnsi="Times New Roman" w:eastAsia="方正仿宋_GBK" w:cs="Times New Roman"/>
          <w:color w:val="auto"/>
          <w:sz w:val="32"/>
          <w:szCs w:val="40"/>
          <w:u w:val="none"/>
          <w:lang w:val="en-US" w:eastAsia="zh-CN"/>
        </w:rPr>
        <w:t>工作任务。</w:t>
      </w:r>
    </w:p>
    <w:p w14:paraId="2A46BB5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40"/>
          <w:highlight w:val="none"/>
          <w:u w:val="none"/>
          <w:lang w:val="en-US" w:eastAsia="zh-CN"/>
        </w:rPr>
      </w:pPr>
      <w:r>
        <w:rPr>
          <w:rFonts w:hint="eastAsia" w:ascii="Times New Roman" w:hAnsi="Times New Roman" w:eastAsia="方正仿宋_GBK" w:cs="Times New Roman"/>
          <w:color w:val="auto"/>
          <w:sz w:val="32"/>
          <w:szCs w:val="40"/>
          <w:highlight w:val="none"/>
          <w:u w:val="none"/>
          <w:lang w:val="en-US" w:eastAsia="zh-CN"/>
        </w:rPr>
        <w:t xml:space="preserve">1. </w:t>
      </w:r>
      <w:r>
        <w:rPr>
          <w:rFonts w:hint="default" w:ascii="Times New Roman" w:hAnsi="Times New Roman" w:eastAsia="方正仿宋_GBK" w:cs="Times New Roman"/>
          <w:color w:val="auto"/>
          <w:sz w:val="32"/>
          <w:szCs w:val="40"/>
          <w:highlight w:val="none"/>
          <w:u w:val="none"/>
          <w:lang w:val="en-US" w:eastAsia="zh-CN"/>
        </w:rPr>
        <w:t>政治聚焦“高站位”，落实党的全面领导更加坚定</w:t>
      </w:r>
    </w:p>
    <w:p w14:paraId="7674D7C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color w:val="auto"/>
          <w:sz w:val="32"/>
          <w:szCs w:val="40"/>
          <w:u w:val="none"/>
          <w:lang w:val="en-US" w:eastAsia="zh-CN"/>
        </w:rPr>
        <w:t>区人大常委会坚持党的领导这个根本原则毫不含糊，自觉把党的领导贯穿于人大工作全过程各方面，始终保持人大工作正确政治方向。持续加强思想理论武装。严格落实党组会、常委会“第一议题”制度，先后组织学习</w:t>
      </w:r>
      <w:r>
        <w:rPr>
          <w:rFonts w:hint="eastAsia" w:ascii="Times New Roman" w:hAnsi="Times New Roman" w:eastAsia="方正仿宋_GBK" w:cs="Times New Roman"/>
          <w:color w:val="auto"/>
          <w:sz w:val="32"/>
          <w:szCs w:val="40"/>
          <w:u w:val="none"/>
          <w:lang w:val="en-US" w:eastAsia="zh-CN"/>
        </w:rPr>
        <w:t>20</w:t>
      </w:r>
      <w:r>
        <w:rPr>
          <w:rFonts w:hint="default" w:ascii="Times New Roman" w:hAnsi="Times New Roman" w:eastAsia="方正仿宋_GBK" w:cs="Times New Roman"/>
          <w:color w:val="auto"/>
          <w:sz w:val="32"/>
          <w:szCs w:val="40"/>
          <w:u w:val="none"/>
          <w:lang w:val="en-US" w:eastAsia="zh-CN"/>
        </w:rPr>
        <w:t>次，研讨交流</w:t>
      </w:r>
      <w:r>
        <w:rPr>
          <w:rFonts w:hint="eastAsia" w:ascii="Times New Roman" w:hAnsi="Times New Roman" w:eastAsia="方正仿宋_GBK" w:cs="Times New Roman"/>
          <w:color w:val="auto"/>
          <w:sz w:val="32"/>
          <w:szCs w:val="40"/>
          <w:u w:val="none"/>
          <w:lang w:val="en-US" w:eastAsia="zh-CN"/>
        </w:rPr>
        <w:t>20</w:t>
      </w:r>
      <w:r>
        <w:rPr>
          <w:rFonts w:hint="default" w:ascii="Times New Roman" w:hAnsi="Times New Roman" w:eastAsia="方正仿宋_GBK" w:cs="Times New Roman"/>
          <w:color w:val="auto"/>
          <w:sz w:val="32"/>
          <w:szCs w:val="40"/>
          <w:u w:val="none"/>
          <w:lang w:val="en-US" w:eastAsia="zh-CN"/>
        </w:rPr>
        <w:t>次，及时跟进学习习近平新时代中国特色社会主义思想。切实坚持党的全面领导。严格执行请示报告制度，全年向区委请示报告重大事项、重要问题、工作重要进展8次。认真加强党的建设，发挥常委会党组、人大机关支部的引领作用，</w:t>
      </w:r>
      <w:r>
        <w:rPr>
          <w:rFonts w:hint="eastAsia" w:ascii="Times New Roman" w:hAnsi="Times New Roman" w:eastAsia="方正仿宋_GBK" w:cs="Times New Roman"/>
          <w:color w:val="auto"/>
          <w:sz w:val="32"/>
          <w:szCs w:val="40"/>
          <w:u w:val="none"/>
          <w:lang w:val="en-US" w:eastAsia="zh-CN"/>
        </w:rPr>
        <w:t>确保</w:t>
      </w:r>
      <w:r>
        <w:rPr>
          <w:rFonts w:hint="default" w:ascii="Times New Roman" w:hAnsi="Times New Roman" w:eastAsia="方正仿宋_GBK" w:cs="Times New Roman"/>
          <w:color w:val="auto"/>
          <w:sz w:val="32"/>
          <w:szCs w:val="40"/>
          <w:u w:val="none"/>
          <w:lang w:val="en-US" w:eastAsia="zh-CN"/>
        </w:rPr>
        <w:t>党的主张和意图在人大得到全面贯彻和有效执行。认真贯彻区委决策部署。区人大常委会坚持贯彻落实区委意图，依法行使重大事项决定权、任免权</w:t>
      </w:r>
      <w:r>
        <w:rPr>
          <w:rFonts w:hint="default" w:ascii="Times New Roman" w:hAnsi="Times New Roman" w:eastAsia="方正仿宋_GBK" w:cs="Times New Roman"/>
          <w:color w:val="auto"/>
          <w:sz w:val="32"/>
          <w:szCs w:val="32"/>
          <w:u w:val="none"/>
          <w:shd w:val="clear" w:color="auto" w:fill="FFFFFF"/>
          <w:lang w:val="en-US" w:eastAsia="zh-CN"/>
        </w:rPr>
        <w:t>。敢于“啃硬骨头”，积极支持参加</w:t>
      </w:r>
      <w:r>
        <w:rPr>
          <w:rFonts w:hint="default" w:ascii="Times New Roman" w:hAnsi="Times New Roman" w:eastAsia="方正仿宋_GBK" w:cs="Times New Roman"/>
          <w:b w:val="0"/>
          <w:bCs w:val="0"/>
          <w:color w:val="auto"/>
          <w:sz w:val="32"/>
          <w:szCs w:val="32"/>
          <w:u w:val="none"/>
          <w:shd w:val="clear" w:color="auto" w:fill="FFFFFF"/>
          <w:lang w:val="en-US" w:eastAsia="zh-CN"/>
        </w:rPr>
        <w:t>全区重点难点工作以及突发事件处置，在围绕中心、服务大局中凸显人大担当</w:t>
      </w:r>
      <w:r>
        <w:rPr>
          <w:rFonts w:hint="eastAsia" w:eastAsia="方正仿宋_GBK" w:cs="Times New Roman"/>
          <w:b w:val="0"/>
          <w:bCs w:val="0"/>
          <w:color w:val="auto"/>
          <w:sz w:val="32"/>
          <w:szCs w:val="32"/>
          <w:u w:val="none"/>
          <w:shd w:val="clear" w:color="auto" w:fill="FFFFFF"/>
          <w:lang w:val="en-US" w:eastAsia="zh-CN"/>
        </w:rPr>
        <w:t>和人大</w:t>
      </w:r>
      <w:r>
        <w:rPr>
          <w:rFonts w:hint="default" w:ascii="Times New Roman" w:hAnsi="Times New Roman" w:eastAsia="方正仿宋_GBK" w:cs="Times New Roman"/>
          <w:b w:val="0"/>
          <w:bCs w:val="0"/>
          <w:color w:val="auto"/>
          <w:sz w:val="32"/>
          <w:szCs w:val="32"/>
          <w:u w:val="none"/>
          <w:shd w:val="clear" w:color="auto" w:fill="FFFFFF"/>
          <w:lang w:val="en-US" w:eastAsia="zh-CN"/>
        </w:rPr>
        <w:t>作为。</w:t>
      </w:r>
    </w:p>
    <w:p w14:paraId="532BF6A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u w:val="none"/>
          <w:shd w:val="clear" w:color="auto" w:fill="FFFFFF"/>
          <w:lang w:val="en-US" w:eastAsia="zh-CN"/>
        </w:rPr>
      </w:pPr>
      <w:r>
        <w:rPr>
          <w:rFonts w:hint="eastAsia" w:ascii="Times New Roman" w:hAnsi="Times New Roman" w:eastAsia="方正仿宋_GBK" w:cs="Times New Roman"/>
          <w:b w:val="0"/>
          <w:bCs w:val="0"/>
          <w:color w:val="auto"/>
          <w:sz w:val="32"/>
          <w:szCs w:val="32"/>
          <w:u w:val="none"/>
          <w:shd w:val="clear" w:color="auto" w:fill="FFFFFF"/>
          <w:lang w:val="en-US" w:eastAsia="zh-CN"/>
        </w:rPr>
        <w:t xml:space="preserve">2. </w:t>
      </w:r>
      <w:r>
        <w:rPr>
          <w:rFonts w:hint="default" w:ascii="Times New Roman" w:hAnsi="Times New Roman" w:eastAsia="方正仿宋_GBK" w:cs="Times New Roman"/>
          <w:b w:val="0"/>
          <w:bCs w:val="0"/>
          <w:color w:val="auto"/>
          <w:sz w:val="32"/>
          <w:szCs w:val="32"/>
          <w:u w:val="none"/>
          <w:shd w:val="clear" w:color="auto" w:fill="FFFFFF"/>
          <w:lang w:val="en-US" w:eastAsia="zh-CN"/>
        </w:rPr>
        <w:t>监督聚焦“高质量”，法治力量更加彰显</w:t>
      </w:r>
    </w:p>
    <w:p w14:paraId="675B1B1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u w:val="none"/>
          <w:shd w:val="clear" w:color="auto" w:fill="FFFFFF"/>
          <w:lang w:val="en-US" w:eastAsia="zh-CN"/>
        </w:rPr>
      </w:pPr>
      <w:r>
        <w:rPr>
          <w:rFonts w:hint="default" w:ascii="Times New Roman" w:hAnsi="Times New Roman" w:eastAsia="方正仿宋_GBK" w:cs="Times New Roman"/>
          <w:b w:val="0"/>
          <w:bCs w:val="0"/>
          <w:color w:val="auto"/>
          <w:sz w:val="32"/>
          <w:szCs w:val="32"/>
          <w:u w:val="none"/>
          <w:shd w:val="clear" w:color="auto" w:fill="FFFFFF"/>
          <w:lang w:val="en-US" w:eastAsia="zh-CN"/>
        </w:rPr>
        <w:t>区人大常委会认真履行宪</w:t>
      </w:r>
      <w:r>
        <w:rPr>
          <w:rFonts w:hint="eastAsia" w:ascii="Times New Roman" w:hAnsi="Times New Roman" w:eastAsia="方正仿宋_GBK" w:cs="Times New Roman"/>
          <w:b w:val="0"/>
          <w:bCs w:val="0"/>
          <w:color w:val="auto"/>
          <w:sz w:val="32"/>
          <w:szCs w:val="32"/>
          <w:u w:val="none"/>
          <w:shd w:val="clear" w:color="auto" w:fill="FFFFFF"/>
          <w:lang w:val="en-US" w:eastAsia="zh-CN"/>
        </w:rPr>
        <w:t>法和</w:t>
      </w:r>
      <w:r>
        <w:rPr>
          <w:rFonts w:hint="default" w:ascii="Times New Roman" w:hAnsi="Times New Roman" w:eastAsia="方正仿宋_GBK" w:cs="Times New Roman"/>
          <w:b w:val="0"/>
          <w:bCs w:val="0"/>
          <w:color w:val="auto"/>
          <w:sz w:val="32"/>
          <w:szCs w:val="32"/>
          <w:u w:val="none"/>
          <w:shd w:val="clear" w:color="auto" w:fill="FFFFFF"/>
          <w:lang w:val="en-US" w:eastAsia="zh-CN"/>
        </w:rPr>
        <w:t>法律赋予的监督职权，不断提升监督实效，既服务高质量发展，又彰显法律权威和尊严。力推经济民生持续向好。落实新修订的</w:t>
      </w:r>
      <w:r>
        <w:rPr>
          <w:rFonts w:hint="eastAsia" w:ascii="Times New Roman" w:hAnsi="Times New Roman" w:eastAsia="方正仿宋_GBK" w:cs="Times New Roman"/>
          <w:b w:val="0"/>
          <w:bCs w:val="0"/>
          <w:color w:val="auto"/>
          <w:sz w:val="32"/>
          <w:szCs w:val="32"/>
          <w:u w:val="none"/>
          <w:shd w:val="clear" w:color="auto" w:fill="FFFFFF"/>
          <w:lang w:val="en-US" w:eastAsia="zh-CN"/>
        </w:rPr>
        <w:t>《</w:t>
      </w:r>
      <w:r>
        <w:rPr>
          <w:rFonts w:hint="default" w:ascii="Times New Roman" w:hAnsi="Times New Roman" w:eastAsia="方正仿宋_GBK" w:cs="Times New Roman"/>
          <w:b w:val="0"/>
          <w:bCs w:val="0"/>
          <w:color w:val="auto"/>
          <w:sz w:val="32"/>
          <w:szCs w:val="32"/>
          <w:u w:val="none"/>
          <w:shd w:val="clear" w:color="auto" w:fill="FFFFFF"/>
          <w:lang w:val="en-US" w:eastAsia="zh-CN"/>
        </w:rPr>
        <w:t>监督法</w:t>
      </w:r>
      <w:r>
        <w:rPr>
          <w:rFonts w:hint="eastAsia" w:ascii="Times New Roman" w:hAnsi="Times New Roman" w:eastAsia="方正仿宋_GBK" w:cs="Times New Roman"/>
          <w:b w:val="0"/>
          <w:bCs w:val="0"/>
          <w:color w:val="auto"/>
          <w:sz w:val="32"/>
          <w:szCs w:val="32"/>
          <w:u w:val="none"/>
          <w:shd w:val="clear" w:color="auto" w:fill="FFFFFF"/>
          <w:lang w:val="en-US" w:eastAsia="zh-CN"/>
        </w:rPr>
        <w:t>》</w:t>
      </w:r>
      <w:r>
        <w:rPr>
          <w:rFonts w:hint="default" w:ascii="Times New Roman" w:hAnsi="Times New Roman" w:eastAsia="方正仿宋_GBK" w:cs="Times New Roman"/>
          <w:b w:val="0"/>
          <w:bCs w:val="0"/>
          <w:color w:val="auto"/>
          <w:sz w:val="32"/>
          <w:szCs w:val="32"/>
          <w:u w:val="none"/>
          <w:shd w:val="clear" w:color="auto" w:fill="FFFFFF"/>
          <w:lang w:val="en-US" w:eastAsia="zh-CN"/>
        </w:rPr>
        <w:t>，加强财政经济工作监督，听取审议计划</w:t>
      </w:r>
      <w:r>
        <w:rPr>
          <w:rFonts w:hint="eastAsia" w:ascii="Times New Roman" w:hAnsi="Times New Roman" w:eastAsia="方正仿宋_GBK" w:cs="Times New Roman"/>
          <w:b w:val="0"/>
          <w:bCs w:val="0"/>
          <w:color w:val="auto"/>
          <w:sz w:val="32"/>
          <w:szCs w:val="32"/>
          <w:u w:val="none"/>
          <w:shd w:val="clear" w:color="auto" w:fill="FFFFFF"/>
          <w:lang w:val="en-US" w:eastAsia="zh-CN"/>
        </w:rPr>
        <w:t>、</w:t>
      </w:r>
      <w:r>
        <w:rPr>
          <w:rFonts w:hint="default" w:ascii="Times New Roman" w:hAnsi="Times New Roman" w:eastAsia="方正仿宋_GBK" w:cs="Times New Roman"/>
          <w:b w:val="0"/>
          <w:bCs w:val="0"/>
          <w:color w:val="auto"/>
          <w:sz w:val="32"/>
          <w:szCs w:val="32"/>
          <w:u w:val="none"/>
          <w:shd w:val="clear" w:color="auto" w:fill="FFFFFF"/>
          <w:lang w:val="en-US" w:eastAsia="zh-CN"/>
        </w:rPr>
        <w:t>预算执行和审计等报告。建立预算联网监督系统，首次开展财政资金绩效“四评”，助推财政资金支出更规范高效。听取审议政府债务管理情况报告、经营性国有资产监管情况报告。调研我区基层医养结合服务、社保基金监管、青少年心理健康服务、全区中小学校园安全、农业科技推广应用等专项工作，助推民生福祉持续改善。认真开展民生实事人大代表票决制工作，对8件票决民生实事开展“一对一”督查，对枫溪绿道新建工程票决民生项目进行审议调整，真正让票决民生实事能议能决、能决能办。保证宪法法律全面有效实施。认真落实“法治护航高质量发展三年行动”，开展执法检查，形成审议意见27条，向政府交办函6个，推动法律法规落地落实。对15名员额法官、7名员额检察官开展履职评议并进行满意度测评</w:t>
      </w:r>
      <w:r>
        <w:rPr>
          <w:rFonts w:hint="eastAsia" w:ascii="Times New Roman" w:hAnsi="Times New Roman" w:eastAsia="方正仿宋_GBK" w:cs="Times New Roman"/>
          <w:b w:val="0"/>
          <w:bCs w:val="0"/>
          <w:color w:val="auto"/>
          <w:sz w:val="32"/>
          <w:szCs w:val="32"/>
          <w:u w:val="none"/>
          <w:shd w:val="clear" w:color="auto" w:fill="FFFFFF"/>
          <w:lang w:val="en-US" w:eastAsia="zh-CN"/>
        </w:rPr>
        <w:t>,“</w:t>
      </w:r>
      <w:r>
        <w:rPr>
          <w:rFonts w:hint="default" w:ascii="Times New Roman" w:hAnsi="Times New Roman" w:eastAsia="方正仿宋_GBK" w:cs="Times New Roman"/>
          <w:b w:val="0"/>
          <w:bCs w:val="0"/>
          <w:color w:val="auto"/>
          <w:sz w:val="32"/>
          <w:szCs w:val="32"/>
          <w:u w:val="none"/>
          <w:shd w:val="clear" w:color="auto" w:fill="FFFFFF"/>
          <w:lang w:val="en-US" w:eastAsia="zh-CN"/>
        </w:rPr>
        <w:t>两官</w:t>
      </w:r>
      <w:r>
        <w:rPr>
          <w:rFonts w:hint="eastAsia" w:ascii="Times New Roman" w:hAnsi="Times New Roman" w:eastAsia="方正仿宋_GBK" w:cs="Times New Roman"/>
          <w:b w:val="0"/>
          <w:bCs w:val="0"/>
          <w:color w:val="auto"/>
          <w:sz w:val="32"/>
          <w:szCs w:val="32"/>
          <w:u w:val="none"/>
          <w:shd w:val="clear" w:color="auto" w:fill="FFFFFF"/>
          <w:lang w:val="en-US" w:eastAsia="zh-CN"/>
        </w:rPr>
        <w:t>”</w:t>
      </w:r>
      <w:r>
        <w:rPr>
          <w:rFonts w:hint="default" w:ascii="Times New Roman" w:hAnsi="Times New Roman" w:eastAsia="方正仿宋_GBK" w:cs="Times New Roman"/>
          <w:b w:val="0"/>
          <w:bCs w:val="0"/>
          <w:color w:val="auto"/>
          <w:sz w:val="32"/>
          <w:szCs w:val="32"/>
          <w:u w:val="none"/>
          <w:shd w:val="clear" w:color="auto" w:fill="FFFFFF"/>
          <w:lang w:val="en-US" w:eastAsia="zh-CN"/>
        </w:rPr>
        <w:t>履职评议满意度90.9%。认真开展规范性文件备案审查，坚持有件必备、有备必审、有错必纠，完成备案审查2件。增强人大监督刚性和实效。认真执行《提高人大常委会会议质量增强会议实效的若干意见》《关于推行区人大常委会会议审议意见卡（试行）的工作方案》。对区人民政府科工信、统计、住建、医保、卫健、水利工作开展专项评议，形成问题清单6项48条交被评议单位整改，并听取整改情况汇报。听取审计工作报告，针对查出的8个方面50个问题，推动精准分类落实整改要求，确保审计查出问题整改到位，有效维护财经秩序，</w:t>
      </w:r>
      <w:r>
        <w:rPr>
          <w:rFonts w:hint="eastAsia" w:ascii="Times New Roman" w:hAnsi="Times New Roman" w:eastAsia="方正仿宋_GBK" w:cs="Times New Roman"/>
          <w:b w:val="0"/>
          <w:bCs w:val="0"/>
          <w:color w:val="auto"/>
          <w:sz w:val="32"/>
          <w:szCs w:val="32"/>
          <w:u w:val="none"/>
          <w:shd w:val="clear" w:color="auto" w:fill="FFFFFF"/>
          <w:lang w:val="en-US" w:eastAsia="zh-CN"/>
        </w:rPr>
        <w:t>强化</w:t>
      </w:r>
      <w:r>
        <w:rPr>
          <w:rFonts w:hint="default" w:ascii="Times New Roman" w:hAnsi="Times New Roman" w:eastAsia="方正仿宋_GBK" w:cs="Times New Roman"/>
          <w:b w:val="0"/>
          <w:bCs w:val="0"/>
          <w:color w:val="auto"/>
          <w:sz w:val="32"/>
          <w:szCs w:val="32"/>
          <w:u w:val="none"/>
          <w:shd w:val="clear" w:color="auto" w:fill="FFFFFF"/>
          <w:lang w:val="en-US" w:eastAsia="zh-CN"/>
        </w:rPr>
        <w:t>审计</w:t>
      </w:r>
      <w:r>
        <w:rPr>
          <w:rFonts w:hint="eastAsia" w:ascii="Times New Roman" w:hAnsi="Times New Roman" w:eastAsia="方正仿宋_GBK" w:cs="Times New Roman"/>
          <w:b w:val="0"/>
          <w:bCs w:val="0"/>
          <w:color w:val="auto"/>
          <w:sz w:val="32"/>
          <w:szCs w:val="32"/>
          <w:u w:val="none"/>
          <w:shd w:val="clear" w:color="auto" w:fill="FFFFFF"/>
          <w:lang w:val="en-US" w:eastAsia="zh-CN"/>
        </w:rPr>
        <w:t>质效</w:t>
      </w:r>
      <w:r>
        <w:rPr>
          <w:rFonts w:hint="default" w:ascii="Times New Roman" w:hAnsi="Times New Roman" w:eastAsia="方正仿宋_GBK" w:cs="Times New Roman"/>
          <w:b w:val="0"/>
          <w:bCs w:val="0"/>
          <w:color w:val="auto"/>
          <w:sz w:val="32"/>
          <w:szCs w:val="32"/>
          <w:u w:val="none"/>
          <w:shd w:val="clear" w:color="auto" w:fill="FFFFFF"/>
          <w:lang w:val="en-US" w:eastAsia="zh-CN"/>
        </w:rPr>
        <w:t>。</w:t>
      </w:r>
    </w:p>
    <w:p w14:paraId="4B00877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u w:val="none"/>
          <w:shd w:val="clear" w:color="auto" w:fill="FFFFFF"/>
          <w:lang w:val="en-US" w:eastAsia="zh-CN"/>
        </w:rPr>
      </w:pPr>
      <w:r>
        <w:rPr>
          <w:rFonts w:hint="eastAsia" w:ascii="Times New Roman" w:hAnsi="Times New Roman" w:eastAsia="方正仿宋_GBK" w:cs="Times New Roman"/>
          <w:b w:val="0"/>
          <w:bCs w:val="0"/>
          <w:color w:val="auto"/>
          <w:sz w:val="32"/>
          <w:szCs w:val="32"/>
          <w:u w:val="none"/>
          <w:shd w:val="clear" w:color="auto" w:fill="FFFFFF"/>
          <w:lang w:val="en-US" w:eastAsia="zh-CN"/>
        </w:rPr>
        <w:t xml:space="preserve">3. </w:t>
      </w:r>
      <w:r>
        <w:rPr>
          <w:rFonts w:hint="default" w:ascii="Times New Roman" w:hAnsi="Times New Roman" w:eastAsia="方正仿宋_GBK" w:cs="Times New Roman"/>
          <w:b w:val="0"/>
          <w:bCs w:val="0"/>
          <w:color w:val="auto"/>
          <w:sz w:val="32"/>
          <w:szCs w:val="32"/>
          <w:u w:val="none"/>
          <w:shd w:val="clear" w:color="auto" w:fill="FFFFFF"/>
          <w:lang w:val="en-US" w:eastAsia="zh-CN"/>
        </w:rPr>
        <w:t>履职聚焦“高质效”，代表作用更加凸显</w:t>
      </w:r>
    </w:p>
    <w:p w14:paraId="1C8D68E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u w:val="none"/>
          <w:shd w:val="clear" w:color="auto" w:fill="FFFFFF"/>
          <w:lang w:val="en-US" w:eastAsia="zh-CN"/>
        </w:rPr>
      </w:pPr>
      <w:r>
        <w:rPr>
          <w:rFonts w:hint="default" w:ascii="Times New Roman" w:hAnsi="Times New Roman" w:eastAsia="方正仿宋_GBK" w:cs="Times New Roman"/>
          <w:b w:val="0"/>
          <w:bCs w:val="0"/>
          <w:color w:val="auto"/>
          <w:sz w:val="32"/>
          <w:szCs w:val="32"/>
          <w:u w:val="none"/>
          <w:shd w:val="clear" w:color="auto" w:fill="FFFFFF"/>
          <w:lang w:val="en-US" w:eastAsia="zh-CN"/>
        </w:rPr>
        <w:t>区人大</w:t>
      </w:r>
      <w:r>
        <w:rPr>
          <w:rFonts w:hint="default" w:ascii="Times New Roman" w:hAnsi="Times New Roman" w:eastAsia="方正仿宋_GBK" w:cs="Times New Roman"/>
          <w:b w:val="0"/>
          <w:bCs w:val="0"/>
          <w:color w:val="auto"/>
          <w:sz w:val="32"/>
          <w:szCs w:val="32"/>
          <w:u w:val="none"/>
          <w:shd w:val="clear" w:color="auto" w:fill="FFFFFF"/>
          <w:lang w:val="en-US" w:eastAsia="en-US"/>
        </w:rPr>
        <w:t>常委会坚持尊重代表、依靠代表、服务代表，</w:t>
      </w:r>
      <w:r>
        <w:rPr>
          <w:rFonts w:hint="default" w:ascii="Times New Roman" w:hAnsi="Times New Roman" w:eastAsia="方正仿宋_GBK" w:cs="Times New Roman"/>
          <w:b w:val="0"/>
          <w:bCs w:val="0"/>
          <w:color w:val="auto"/>
          <w:sz w:val="32"/>
          <w:szCs w:val="32"/>
          <w:u w:val="none"/>
          <w:shd w:val="clear" w:color="auto" w:fill="FFFFFF"/>
          <w:lang w:val="en-US" w:eastAsia="zh-CN"/>
        </w:rPr>
        <w:t>充分发挥代表主体作用，推进全过程人民民主芦淞实践走深走实。代表履职服务有力有为。按照机构改革要求，选举任免联络工作委员会更名为代表工作委员会，主责主业更加聚焦、明确。组织代表履职能力提升班2个、培训200余人次，基本实现届内培训全覆盖。完善代表履职“一人一档”，及时掌握代表出缺情况，增补区人大代表16名。及时保障代表履职经费发放到位。积极宣传代表履职事迹，在《人民之友》《株洲日报》和省、市人大公众号等各级媒体平台发布宣传报道60余篇。代表履职担当可圈可点。开展“我为民、我履职、我行动”主题活动，打造“芦淞服饰产业人大代表联络站”示范站，推动全区五级代表全部进站履职，400余人次参与接待，开展视察调研50余次，形成代表建议20余件，为群众解决问题130余</w:t>
      </w:r>
      <w:r>
        <w:rPr>
          <w:rFonts w:hint="eastAsia" w:ascii="Times New Roman" w:hAnsi="Times New Roman" w:eastAsia="方正仿宋_GBK" w:cs="Times New Roman"/>
          <w:b w:val="0"/>
          <w:bCs w:val="0"/>
          <w:color w:val="auto"/>
          <w:sz w:val="32"/>
          <w:szCs w:val="32"/>
          <w:u w:val="none"/>
          <w:shd w:val="clear" w:color="auto" w:fill="FFFFFF"/>
          <w:lang w:val="en-US" w:eastAsia="zh-CN"/>
        </w:rPr>
        <w:t>个</w:t>
      </w:r>
      <w:r>
        <w:rPr>
          <w:rFonts w:hint="default" w:ascii="Times New Roman" w:hAnsi="Times New Roman" w:eastAsia="方正仿宋_GBK" w:cs="Times New Roman"/>
          <w:b w:val="0"/>
          <w:bCs w:val="0"/>
          <w:color w:val="auto"/>
          <w:sz w:val="32"/>
          <w:szCs w:val="32"/>
          <w:u w:val="none"/>
          <w:shd w:val="clear" w:color="auto" w:fill="FFFFFF"/>
          <w:lang w:val="en-US" w:eastAsia="zh-CN"/>
        </w:rPr>
        <w:t>。代表建议办理高质高效。2024年提出的64件建议办理态度满意率和结果满意率均为100%。组织开展代表建议办理“回头看”工作，</w:t>
      </w:r>
      <w:r>
        <w:rPr>
          <w:rFonts w:hint="eastAsia" w:ascii="Times New Roman" w:hAnsi="Times New Roman" w:eastAsia="方正仿宋_GBK" w:cs="Times New Roman"/>
          <w:b w:val="0"/>
          <w:bCs w:val="0"/>
          <w:color w:val="auto"/>
          <w:sz w:val="32"/>
          <w:szCs w:val="32"/>
          <w:u w:val="none"/>
          <w:shd w:val="clear" w:color="auto" w:fill="FFFFFF"/>
          <w:lang w:val="en-US" w:eastAsia="zh-CN"/>
        </w:rPr>
        <w:t>本届以来</w:t>
      </w:r>
      <w:r>
        <w:rPr>
          <w:rFonts w:hint="default" w:ascii="Times New Roman" w:hAnsi="Times New Roman" w:eastAsia="方正仿宋_GBK" w:cs="Times New Roman"/>
          <w:b w:val="0"/>
          <w:bCs w:val="0"/>
          <w:color w:val="auto"/>
          <w:sz w:val="32"/>
          <w:szCs w:val="32"/>
          <w:u w:val="none"/>
          <w:shd w:val="clear" w:color="auto" w:fill="FFFFFF"/>
          <w:lang w:val="en-US" w:eastAsia="zh-CN"/>
        </w:rPr>
        <w:t>83件重新交办的B、C类建议得到有效落实或较大进展，代表建议“两个高质量”不断深化落实。</w:t>
      </w:r>
    </w:p>
    <w:p w14:paraId="03C9BE3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u w:val="none"/>
          <w:shd w:val="clear" w:color="auto" w:fill="FFFFFF"/>
          <w:lang w:val="en-US" w:eastAsia="zh-CN"/>
        </w:rPr>
      </w:pPr>
      <w:r>
        <w:rPr>
          <w:rFonts w:hint="eastAsia" w:ascii="Times New Roman" w:hAnsi="Times New Roman" w:eastAsia="方正仿宋_GBK" w:cs="Times New Roman"/>
          <w:b w:val="0"/>
          <w:bCs w:val="0"/>
          <w:color w:val="auto"/>
          <w:sz w:val="32"/>
          <w:szCs w:val="32"/>
          <w:u w:val="none"/>
          <w:shd w:val="clear" w:color="auto" w:fill="FFFFFF"/>
          <w:lang w:val="en-US" w:eastAsia="zh-CN"/>
        </w:rPr>
        <w:t xml:space="preserve">4. </w:t>
      </w:r>
      <w:r>
        <w:rPr>
          <w:rFonts w:hint="default" w:ascii="Times New Roman" w:hAnsi="Times New Roman" w:eastAsia="方正仿宋_GBK" w:cs="Times New Roman"/>
          <w:b w:val="0"/>
          <w:bCs w:val="0"/>
          <w:color w:val="auto"/>
          <w:sz w:val="32"/>
          <w:szCs w:val="32"/>
          <w:u w:val="none"/>
          <w:shd w:val="clear" w:color="auto" w:fill="FFFFFF"/>
          <w:lang w:val="en-US" w:eastAsia="zh-CN"/>
        </w:rPr>
        <w:t>自身建设聚焦“高水平”，实干姿态更加昂扬</w:t>
      </w:r>
    </w:p>
    <w:p w14:paraId="66B6AF7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u w:val="none"/>
          <w:shd w:val="clear" w:color="auto" w:fill="FFFFFF"/>
          <w:lang w:val="en-US" w:eastAsia="zh-CN"/>
        </w:rPr>
      </w:pPr>
      <w:r>
        <w:rPr>
          <w:rFonts w:hint="default" w:ascii="Times New Roman" w:hAnsi="Times New Roman" w:eastAsia="方正仿宋_GBK" w:cs="Times New Roman"/>
          <w:b w:val="0"/>
          <w:bCs w:val="0"/>
          <w:color w:val="auto"/>
          <w:sz w:val="32"/>
          <w:szCs w:val="32"/>
          <w:u w:val="none"/>
          <w:shd w:val="clear" w:color="auto" w:fill="FFFFFF"/>
          <w:lang w:val="en-US" w:eastAsia="zh-CN"/>
        </w:rPr>
        <w:t>区人大</w:t>
      </w:r>
      <w:r>
        <w:rPr>
          <w:rFonts w:hint="default" w:ascii="Times New Roman" w:hAnsi="Times New Roman" w:eastAsia="方正仿宋_GBK" w:cs="Times New Roman"/>
          <w:b w:val="0"/>
          <w:bCs w:val="0"/>
          <w:color w:val="auto"/>
          <w:sz w:val="32"/>
          <w:szCs w:val="32"/>
          <w:u w:val="none"/>
          <w:shd w:val="clear" w:color="auto" w:fill="FFFFFF"/>
          <w:lang w:val="en-US" w:eastAsia="en-US"/>
        </w:rPr>
        <w:t>常委会着眼新形势新要求，</w:t>
      </w:r>
      <w:r>
        <w:rPr>
          <w:rFonts w:hint="default" w:ascii="Times New Roman" w:hAnsi="Times New Roman" w:eastAsia="方正仿宋_GBK" w:cs="Times New Roman"/>
          <w:b w:val="0"/>
          <w:bCs w:val="0"/>
          <w:color w:val="auto"/>
          <w:sz w:val="32"/>
          <w:szCs w:val="32"/>
          <w:u w:val="none"/>
          <w:shd w:val="clear" w:color="auto" w:fill="FFFFFF"/>
          <w:lang w:val="en-US" w:eastAsia="zh-CN"/>
        </w:rPr>
        <w:t>坚持能力和作风一体提升，工作和制度一体优化，开展高水平机关建设行动，不断提高常委会政治能力和履职水平。把思想政治建设作为第一前提。坚持党建引领，强化机关党支部的战斗堡垒作用，认真落实组织生活会、谈心谈话、“三会一课”、主题党日等政治生活，特别是以党纪学习教育为契机，教育引导党员干部坚定政治立场，严守政治纪律。落实全面从严治党主体责任，从严从实抓好党风廉政建设和意识形态工作，筑牢人大干部思想政治和廉洁自律防线。把规章制度建设作为第一保障。</w:t>
      </w:r>
      <w:r>
        <w:rPr>
          <w:rFonts w:hint="eastAsia" w:ascii="Times New Roman" w:hAnsi="Times New Roman" w:eastAsia="方正仿宋_GBK" w:cs="Times New Roman"/>
          <w:b w:val="0"/>
          <w:bCs w:val="0"/>
          <w:color w:val="auto"/>
          <w:sz w:val="32"/>
          <w:szCs w:val="32"/>
          <w:u w:val="none"/>
          <w:shd w:val="clear" w:color="auto" w:fill="FFFFFF"/>
          <w:lang w:val="en-US" w:eastAsia="zh-CN"/>
        </w:rPr>
        <w:t>着眼新时代人大工作新任务，</w:t>
      </w:r>
      <w:r>
        <w:rPr>
          <w:rFonts w:hint="default" w:ascii="Times New Roman" w:hAnsi="Times New Roman" w:eastAsia="方正仿宋_GBK" w:cs="Times New Roman"/>
          <w:b w:val="0"/>
          <w:bCs w:val="0"/>
          <w:color w:val="auto"/>
          <w:sz w:val="32"/>
          <w:szCs w:val="32"/>
          <w:u w:val="none"/>
          <w:shd w:val="clear" w:color="auto" w:fill="FFFFFF"/>
          <w:lang w:val="en-US" w:eastAsia="zh-CN"/>
        </w:rPr>
        <w:t>依据有关法律法规，修订完善《株洲市芦淞区人民代表大会常务委员会议事规则》《株洲市芦淞区人民代表大会常务委员会关于专项工作评议的办法》，制定出台《株洲市芦淞区人民代表大会常务委员会主任会议议事规则》，进一步提升人大常委会工作制度化、规范化、科学化水平。把能力作风建设作为第一重点。围绕“人大工作高质量发展”主题，落实《芦淞区人大常委会党组关于开展高水平机关建设行动实施方案》，开展“芦淞人大讲堂”3次，邀请省人大法制委主任委员围绕根本政治制度开展专题宣讲。以区委巡察为契机，加强巡察整改，推动常委会机关干部持续解放思想、转变观念，焕发干事创业精气神。</w:t>
      </w:r>
    </w:p>
    <w:p w14:paraId="308477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eastAsia="仿宋_GB2312"/>
          <w:color w:val="auto"/>
          <w:sz w:val="32"/>
          <w:szCs w:val="32"/>
          <w:highlight w:val="none"/>
        </w:rPr>
      </w:pPr>
      <w:r>
        <w:rPr>
          <w:rFonts w:hint="eastAsia" w:ascii="Times New Roman" w:eastAsia="仿宋_GB2312"/>
          <w:color w:val="auto"/>
          <w:sz w:val="32"/>
          <w:szCs w:val="32"/>
          <w:highlight w:val="none"/>
        </w:rPr>
        <w:t>（二）项目支出绩效情况</w:t>
      </w:r>
    </w:p>
    <w:p w14:paraId="7A58D1F6">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本部门2024年年初预算专项资金共7个，具体情况如下：</w:t>
      </w:r>
    </w:p>
    <w:p w14:paraId="348C26BB">
      <w:pPr>
        <w:tabs>
          <w:tab w:val="left" w:pos="7560"/>
        </w:tabs>
        <w:adjustRightInd w:val="0"/>
        <w:snapToGrid w:val="0"/>
        <w:spacing w:line="56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（1）代表履职经费</w:t>
      </w:r>
    </w:p>
    <w:p w14:paraId="2E46B6FB">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年初预算资金55.80万元，实际支出64.51万元（含上年结余资金）。主要用于保障代表在执行职务过程中的交通费、食宿费、公杂费等基本开销；为代表订阅学习资料，提供培训费用；组织代表进行视察、调研等活动，以了解民情、民意；包括代表小组和专业小组活动、社区联络站活动、代表培训等费用。通过培训和调研等活动，提升了代表的履职能力和工作效率，提高了代表工作水平，推动了人大工作的与时俱进，得到了服务对象的广泛认可。</w:t>
      </w:r>
    </w:p>
    <w:p w14:paraId="49E5146D">
      <w:pPr>
        <w:tabs>
          <w:tab w:val="left" w:pos="7560"/>
        </w:tabs>
        <w:adjustRightInd w:val="0"/>
        <w:snapToGrid w:val="0"/>
        <w:spacing w:line="56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（2）全会经费项目</w:t>
      </w:r>
    </w:p>
    <w:p w14:paraId="45F09CDE">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年初预算资金21.60万元，实际支出11.43万元。主要用于会议策划、会场布置等会议组织；代表就餐、医疗、安保等；会议议程、报告、决议等文件的印刷；会议宣传、媒体采访、新闻发布等。会议审议通过了各项决议，圆满完成了各项预期的目标任务，代表对会议服务的表示非常满意。</w:t>
      </w:r>
    </w:p>
    <w:p w14:paraId="35EAA6CF">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eastAsia="仿宋_GB2312" w:cs="Times New Roman"/>
          <w:color w:val="000000"/>
          <w:kern w:val="2"/>
          <w:sz w:val="32"/>
          <w:szCs w:val="32"/>
          <w:highlight w:val="none"/>
          <w:lang w:val="en-US" w:eastAsia="zh-CN" w:bidi="ar-SA"/>
        </w:rPr>
        <w:t>（3）</w:t>
      </w:r>
      <w:r>
        <w:rPr>
          <w:rFonts w:hint="eastAsia" w:ascii="Times New Roman" w:hAnsi="Times New Roman" w:eastAsia="仿宋_GB2312" w:cs="Times New Roman"/>
          <w:color w:val="000000"/>
          <w:kern w:val="2"/>
          <w:sz w:val="32"/>
          <w:szCs w:val="32"/>
          <w:highlight w:val="none"/>
          <w:lang w:val="en-US" w:eastAsia="zh-CN" w:bidi="ar-SA"/>
        </w:rPr>
        <w:t>预算审查经费</w:t>
      </w:r>
    </w:p>
    <w:p w14:paraId="3491B326">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年初预算资金1.00万元，实际支出1.81万元（含上年结余资金）。主要用于兼职财经委员参与预算审查监督调研，业务培训</w:t>
      </w:r>
      <w:r>
        <w:rPr>
          <w:rFonts w:hint="eastAsia" w:eastAsia="仿宋_GB2312" w:cs="Times New Roman"/>
          <w:color w:val="000000"/>
          <w:kern w:val="2"/>
          <w:sz w:val="32"/>
          <w:szCs w:val="32"/>
          <w:highlight w:val="none"/>
          <w:lang w:val="en-US" w:eastAsia="zh-CN" w:bidi="ar-SA"/>
        </w:rPr>
        <w:t>资料印刷费、</w:t>
      </w:r>
      <w:r>
        <w:rPr>
          <w:rFonts w:hint="eastAsia" w:ascii="Times New Roman" w:hAnsi="Times New Roman" w:eastAsia="仿宋_GB2312" w:cs="Times New Roman"/>
          <w:color w:val="000000"/>
          <w:kern w:val="2"/>
          <w:sz w:val="32"/>
          <w:szCs w:val="32"/>
          <w:highlight w:val="none"/>
          <w:lang w:val="en-US" w:eastAsia="zh-CN" w:bidi="ar-SA"/>
        </w:rPr>
        <w:t>餐费</w:t>
      </w:r>
      <w:r>
        <w:rPr>
          <w:rFonts w:hint="eastAsia" w:eastAsia="仿宋_GB2312" w:cs="Times New Roman"/>
          <w:color w:val="000000"/>
          <w:kern w:val="2"/>
          <w:sz w:val="32"/>
          <w:szCs w:val="32"/>
          <w:highlight w:val="none"/>
          <w:lang w:val="en-US" w:eastAsia="zh-CN" w:bidi="ar-SA"/>
        </w:rPr>
        <w:t>，提高年度对预算审查工作的效果。</w:t>
      </w:r>
    </w:p>
    <w:p w14:paraId="522519EB">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eastAsia="仿宋_GB2312" w:cs="Times New Roman"/>
          <w:color w:val="000000"/>
          <w:kern w:val="2"/>
          <w:sz w:val="32"/>
          <w:szCs w:val="32"/>
          <w:highlight w:val="none"/>
          <w:lang w:val="en-US" w:eastAsia="zh-CN" w:bidi="ar-SA"/>
        </w:rPr>
        <w:t>（4）</w:t>
      </w:r>
      <w:r>
        <w:rPr>
          <w:rFonts w:hint="eastAsia" w:ascii="Times New Roman" w:hAnsi="Times New Roman" w:eastAsia="仿宋_GB2312" w:cs="Times New Roman"/>
          <w:color w:val="000000"/>
          <w:kern w:val="2"/>
          <w:sz w:val="32"/>
          <w:szCs w:val="32"/>
          <w:highlight w:val="none"/>
          <w:lang w:val="en-US" w:eastAsia="zh-CN" w:bidi="ar-SA"/>
        </w:rPr>
        <w:t>代表培训</w:t>
      </w:r>
    </w:p>
    <w:p w14:paraId="2F3AD6F2">
      <w:pPr>
        <w:tabs>
          <w:tab w:val="left" w:pos="7560"/>
        </w:tabs>
        <w:adjustRightInd w:val="0"/>
        <w:snapToGrid w:val="0"/>
        <w:spacing w:line="56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年初预算资金1</w:t>
      </w:r>
      <w:r>
        <w:rPr>
          <w:rFonts w:hint="eastAsia" w:ascii="Times New Roman" w:hAnsi="Times New Roman" w:eastAsia="仿宋_GB2312" w:cs="Times New Roman"/>
          <w:color w:val="000000"/>
          <w:kern w:val="2"/>
          <w:sz w:val="32"/>
          <w:szCs w:val="32"/>
          <w:highlight w:val="none"/>
          <w:lang w:val="en-US" w:eastAsia="zh-CN" w:bidi="ar-SA"/>
        </w:rPr>
        <w:t>1</w:t>
      </w:r>
      <w:r>
        <w:rPr>
          <w:rFonts w:hint="default" w:ascii="Times New Roman" w:hAnsi="Times New Roman" w:eastAsia="仿宋_GB2312" w:cs="Times New Roman"/>
          <w:color w:val="000000"/>
          <w:kern w:val="2"/>
          <w:sz w:val="32"/>
          <w:szCs w:val="32"/>
          <w:highlight w:val="none"/>
          <w:lang w:val="en-US" w:eastAsia="zh-CN" w:bidi="ar-SA"/>
        </w:rPr>
        <w:t>.00万元，实际支出</w:t>
      </w:r>
      <w:r>
        <w:rPr>
          <w:rFonts w:hint="eastAsia" w:ascii="Times New Roman" w:hAnsi="Times New Roman" w:eastAsia="仿宋_GB2312" w:cs="Times New Roman"/>
          <w:color w:val="000000"/>
          <w:kern w:val="2"/>
          <w:sz w:val="32"/>
          <w:szCs w:val="32"/>
          <w:highlight w:val="none"/>
          <w:lang w:val="en-US" w:eastAsia="zh-CN" w:bidi="ar-SA"/>
        </w:rPr>
        <w:t>11.00</w:t>
      </w:r>
      <w:r>
        <w:rPr>
          <w:rFonts w:hint="default" w:ascii="Times New Roman" w:hAnsi="Times New Roman" w:eastAsia="仿宋_GB2312" w:cs="Times New Roman"/>
          <w:color w:val="000000"/>
          <w:kern w:val="2"/>
          <w:sz w:val="32"/>
          <w:szCs w:val="32"/>
          <w:highlight w:val="none"/>
          <w:lang w:val="en-US" w:eastAsia="zh-CN" w:bidi="ar-SA"/>
        </w:rPr>
        <w:t>万元。主要用于</w:t>
      </w:r>
      <w:r>
        <w:rPr>
          <w:rFonts w:hint="eastAsia" w:eastAsia="仿宋_GB2312" w:cs="Times New Roman"/>
          <w:color w:val="000000"/>
          <w:kern w:val="2"/>
          <w:sz w:val="32"/>
          <w:szCs w:val="32"/>
          <w:highlight w:val="none"/>
          <w:lang w:val="en-US" w:eastAsia="zh-CN" w:bidi="ar-SA"/>
        </w:rPr>
        <w:t>代表培训产生的培训费、交通费、差旅费等，保证代表履职的知识更新，业务提升能力。</w:t>
      </w:r>
    </w:p>
    <w:p w14:paraId="672B574A">
      <w:pPr>
        <w:tabs>
          <w:tab w:val="left" w:pos="7560"/>
        </w:tabs>
        <w:adjustRightInd w:val="0"/>
        <w:snapToGrid w:val="0"/>
        <w:spacing w:line="56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eastAsia" w:eastAsia="仿宋_GB2312" w:cs="Times New Roman"/>
          <w:color w:val="000000"/>
          <w:kern w:val="2"/>
          <w:sz w:val="32"/>
          <w:szCs w:val="32"/>
          <w:highlight w:val="none"/>
          <w:lang w:val="en-US" w:eastAsia="zh-CN" w:bidi="ar-SA"/>
        </w:rPr>
        <w:t>（5）</w:t>
      </w:r>
      <w:r>
        <w:rPr>
          <w:rFonts w:hint="default" w:ascii="Times New Roman" w:hAnsi="Times New Roman" w:eastAsia="仿宋_GB2312" w:cs="Times New Roman"/>
          <w:color w:val="000000"/>
          <w:kern w:val="2"/>
          <w:sz w:val="32"/>
          <w:szCs w:val="32"/>
          <w:highlight w:val="none"/>
          <w:lang w:val="en-US" w:eastAsia="zh-CN" w:bidi="ar-SA"/>
        </w:rPr>
        <w:t>预算监督联网系统建设经费</w:t>
      </w:r>
    </w:p>
    <w:p w14:paraId="2906951E">
      <w:pPr>
        <w:tabs>
          <w:tab w:val="left" w:pos="7560"/>
        </w:tabs>
        <w:adjustRightInd w:val="0"/>
        <w:snapToGrid w:val="0"/>
        <w:spacing w:line="560" w:lineRule="exact"/>
        <w:ind w:firstLine="640" w:firstLineChars="200"/>
        <w:rPr>
          <w:rFonts w:hint="eastAsia"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年初预算资金</w:t>
      </w:r>
      <w:r>
        <w:rPr>
          <w:rFonts w:hint="eastAsia" w:ascii="Times New Roman" w:hAnsi="Times New Roman" w:eastAsia="仿宋_GB2312" w:cs="Times New Roman"/>
          <w:color w:val="000000"/>
          <w:kern w:val="2"/>
          <w:sz w:val="32"/>
          <w:szCs w:val="32"/>
          <w:highlight w:val="none"/>
          <w:lang w:val="en-US" w:eastAsia="zh-CN" w:bidi="ar-SA"/>
        </w:rPr>
        <w:t>60</w:t>
      </w:r>
      <w:r>
        <w:rPr>
          <w:rFonts w:hint="default" w:ascii="Times New Roman" w:hAnsi="Times New Roman" w:eastAsia="仿宋_GB2312" w:cs="Times New Roman"/>
          <w:color w:val="000000"/>
          <w:kern w:val="2"/>
          <w:sz w:val="32"/>
          <w:szCs w:val="32"/>
          <w:highlight w:val="none"/>
          <w:lang w:val="en-US" w:eastAsia="zh-CN" w:bidi="ar-SA"/>
        </w:rPr>
        <w:t>.00万元，实际支出</w:t>
      </w:r>
      <w:r>
        <w:rPr>
          <w:rFonts w:hint="eastAsia" w:ascii="Times New Roman" w:hAnsi="Times New Roman" w:eastAsia="仿宋_GB2312" w:cs="Times New Roman"/>
          <w:color w:val="000000"/>
          <w:kern w:val="2"/>
          <w:sz w:val="32"/>
          <w:szCs w:val="32"/>
          <w:highlight w:val="none"/>
          <w:lang w:val="en-US" w:eastAsia="zh-CN" w:bidi="ar-SA"/>
        </w:rPr>
        <w:t>29.54</w:t>
      </w:r>
      <w:r>
        <w:rPr>
          <w:rFonts w:hint="default" w:ascii="Times New Roman" w:hAnsi="Times New Roman" w:eastAsia="仿宋_GB2312" w:cs="Times New Roman"/>
          <w:color w:val="000000"/>
          <w:kern w:val="2"/>
          <w:sz w:val="32"/>
          <w:szCs w:val="32"/>
          <w:highlight w:val="none"/>
          <w:lang w:val="en-US" w:eastAsia="zh-CN" w:bidi="ar-SA"/>
        </w:rPr>
        <w:t>万元，结余结转0万元。主要用于深化人大预算审查监督重点向支出预算和政策拓展改革，加强全口径审查和全过程监督</w:t>
      </w:r>
      <w:r>
        <w:rPr>
          <w:rFonts w:hint="eastAsia" w:eastAsia="仿宋_GB2312" w:cs="Times New Roman"/>
          <w:color w:val="000000"/>
          <w:kern w:val="2"/>
          <w:sz w:val="32"/>
          <w:szCs w:val="32"/>
          <w:highlight w:val="none"/>
          <w:lang w:val="en-US" w:eastAsia="zh-CN" w:bidi="ar-SA"/>
        </w:rPr>
        <w:t>。</w:t>
      </w:r>
    </w:p>
    <w:p w14:paraId="5EC56AF5">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eastAsia="仿宋_GB2312" w:cs="Times New Roman"/>
          <w:color w:val="000000"/>
          <w:kern w:val="2"/>
          <w:sz w:val="32"/>
          <w:szCs w:val="32"/>
          <w:highlight w:val="none"/>
          <w:lang w:val="en-US" w:eastAsia="zh-CN" w:bidi="ar-SA"/>
        </w:rPr>
        <w:t>（6）</w:t>
      </w:r>
      <w:r>
        <w:rPr>
          <w:rFonts w:hint="eastAsia" w:ascii="Times New Roman" w:hAnsi="Times New Roman" w:eastAsia="仿宋_GB2312" w:cs="Times New Roman"/>
          <w:color w:val="000000"/>
          <w:kern w:val="2"/>
          <w:sz w:val="32"/>
          <w:szCs w:val="32"/>
          <w:highlight w:val="none"/>
          <w:lang w:val="en-US" w:eastAsia="zh-CN" w:bidi="ar-SA"/>
        </w:rPr>
        <w:t>信访工作人员津贴</w:t>
      </w:r>
    </w:p>
    <w:p w14:paraId="3D830D85">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年初预算资金1.13万元，实际支出0万元。</w:t>
      </w:r>
    </w:p>
    <w:p w14:paraId="5C160C59">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eastAsia="仿宋_GB2312" w:cs="Times New Roman"/>
          <w:color w:val="000000"/>
          <w:kern w:val="2"/>
          <w:sz w:val="32"/>
          <w:szCs w:val="32"/>
          <w:highlight w:val="none"/>
          <w:lang w:val="en-US" w:eastAsia="zh-CN" w:bidi="ar-SA"/>
        </w:rPr>
        <w:t>（7）</w:t>
      </w:r>
      <w:r>
        <w:rPr>
          <w:rFonts w:hint="eastAsia" w:ascii="Times New Roman" w:hAnsi="Times New Roman" w:eastAsia="仿宋_GB2312" w:cs="Times New Roman"/>
          <w:color w:val="000000"/>
          <w:kern w:val="2"/>
          <w:sz w:val="32"/>
          <w:szCs w:val="32"/>
          <w:highlight w:val="none"/>
          <w:lang w:val="en-US" w:eastAsia="zh-CN" w:bidi="ar-SA"/>
        </w:rPr>
        <w:t>代表工作室经费</w:t>
      </w:r>
    </w:p>
    <w:p w14:paraId="6B341085">
      <w:pPr>
        <w:tabs>
          <w:tab w:val="left" w:pos="7560"/>
        </w:tabs>
        <w:adjustRightInd w:val="0"/>
        <w:snapToGrid w:val="0"/>
        <w:spacing w:line="56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年初预算资金5.00万元，实际支出0万元。</w:t>
      </w:r>
    </w:p>
    <w:p w14:paraId="2B97B095">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另外，实际决算项目</w:t>
      </w:r>
      <w:r>
        <w:rPr>
          <w:rFonts w:hint="eastAsia" w:ascii="Times New Roman" w:hAnsi="Times New Roman" w:eastAsia="仿宋_GB2312" w:cs="Times New Roman"/>
          <w:color w:val="000000"/>
          <w:kern w:val="2"/>
          <w:sz w:val="32"/>
          <w:szCs w:val="32"/>
          <w:highlight w:val="none"/>
          <w:lang w:val="en-US" w:eastAsia="zh-CN" w:bidi="ar-SA"/>
        </w:rPr>
        <w:t>7</w:t>
      </w:r>
      <w:r>
        <w:rPr>
          <w:rFonts w:hint="default" w:ascii="Times New Roman" w:hAnsi="Times New Roman" w:eastAsia="仿宋_GB2312" w:cs="Times New Roman"/>
          <w:color w:val="000000"/>
          <w:kern w:val="2"/>
          <w:sz w:val="32"/>
          <w:szCs w:val="32"/>
          <w:highlight w:val="none"/>
          <w:lang w:val="en-US" w:eastAsia="zh-CN" w:bidi="ar-SA"/>
        </w:rPr>
        <w:t>个，有</w:t>
      </w:r>
      <w:r>
        <w:rPr>
          <w:rFonts w:hint="eastAsia" w:ascii="Times New Roman" w:hAnsi="Times New Roman" w:eastAsia="仿宋_GB2312" w:cs="Times New Roman"/>
          <w:color w:val="000000"/>
          <w:kern w:val="2"/>
          <w:sz w:val="32"/>
          <w:szCs w:val="32"/>
          <w:highlight w:val="none"/>
          <w:lang w:val="en-US" w:eastAsia="zh-CN" w:bidi="ar-SA"/>
        </w:rPr>
        <w:t>2</w:t>
      </w:r>
      <w:r>
        <w:rPr>
          <w:rFonts w:hint="default" w:ascii="Times New Roman" w:hAnsi="Times New Roman" w:eastAsia="仿宋_GB2312" w:cs="Times New Roman"/>
          <w:color w:val="000000"/>
          <w:kern w:val="2"/>
          <w:sz w:val="32"/>
          <w:szCs w:val="32"/>
          <w:highlight w:val="none"/>
          <w:lang w:val="en-US" w:eastAsia="zh-CN" w:bidi="ar-SA"/>
        </w:rPr>
        <w:t>个项目未列入年初预算。</w:t>
      </w:r>
    </w:p>
    <w:p w14:paraId="7CA8151B">
      <w:pPr>
        <w:tabs>
          <w:tab w:val="left" w:pos="7560"/>
        </w:tabs>
        <w:adjustRightInd w:val="0"/>
        <w:snapToGrid w:val="0"/>
        <w:spacing w:line="560" w:lineRule="exact"/>
        <w:ind w:firstLine="640" w:firstLineChars="200"/>
        <w:rPr>
          <w:rFonts w:hint="default"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一是</w:t>
      </w:r>
      <w:r>
        <w:rPr>
          <w:rFonts w:hint="default" w:ascii="Times New Roman" w:hAnsi="Times New Roman" w:eastAsia="仿宋_GB2312" w:cs="Times New Roman"/>
          <w:color w:val="000000"/>
          <w:kern w:val="2"/>
          <w:sz w:val="32"/>
          <w:szCs w:val="32"/>
          <w:highlight w:val="none"/>
          <w:lang w:val="en-US" w:eastAsia="zh-CN" w:bidi="ar-SA"/>
        </w:rPr>
        <w:t>省市代表活动经费</w:t>
      </w:r>
      <w:r>
        <w:rPr>
          <w:rFonts w:hint="eastAsia" w:ascii="Times New Roman" w:hAnsi="Times New Roman" w:eastAsia="仿宋_GB2312" w:cs="Times New Roman"/>
          <w:color w:val="000000"/>
          <w:kern w:val="2"/>
          <w:sz w:val="32"/>
          <w:szCs w:val="32"/>
          <w:highlight w:val="none"/>
          <w:lang w:val="en-US" w:eastAsia="zh-CN" w:bidi="ar-SA"/>
        </w:rPr>
        <w:t>实际支出</w:t>
      </w:r>
      <w:r>
        <w:rPr>
          <w:rFonts w:hint="default" w:ascii="Times New Roman" w:hAnsi="Times New Roman" w:eastAsia="仿宋_GB2312" w:cs="Times New Roman"/>
          <w:color w:val="000000"/>
          <w:kern w:val="2"/>
          <w:sz w:val="32"/>
          <w:szCs w:val="32"/>
          <w:highlight w:val="none"/>
          <w:lang w:val="en-US" w:eastAsia="zh-CN" w:bidi="ar-SA"/>
        </w:rPr>
        <w:t>6.46万元；</w:t>
      </w:r>
      <w:r>
        <w:rPr>
          <w:rFonts w:hint="eastAsia" w:ascii="Times New Roman" w:hAnsi="Times New Roman" w:eastAsia="仿宋_GB2312" w:cs="Times New Roman"/>
          <w:color w:val="000000"/>
          <w:kern w:val="2"/>
          <w:sz w:val="32"/>
          <w:szCs w:val="32"/>
          <w:highlight w:val="none"/>
          <w:lang w:val="en-US" w:eastAsia="zh-CN" w:bidi="ar-SA"/>
        </w:rPr>
        <w:t>主要用于保障</w:t>
      </w:r>
      <w:r>
        <w:rPr>
          <w:rFonts w:hint="eastAsia" w:eastAsia="仿宋_GB2312" w:cs="Times New Roman"/>
          <w:color w:val="000000"/>
          <w:kern w:val="2"/>
          <w:sz w:val="32"/>
          <w:szCs w:val="32"/>
          <w:highlight w:val="none"/>
          <w:lang w:val="en-US" w:eastAsia="zh-CN" w:bidi="ar-SA"/>
        </w:rPr>
        <w:t>芦淞团市人大</w:t>
      </w:r>
      <w:r>
        <w:rPr>
          <w:rFonts w:hint="eastAsia" w:ascii="Times New Roman" w:hAnsi="Times New Roman" w:eastAsia="仿宋_GB2312" w:cs="Times New Roman"/>
          <w:color w:val="000000"/>
          <w:kern w:val="2"/>
          <w:sz w:val="32"/>
          <w:szCs w:val="32"/>
          <w:highlight w:val="none"/>
          <w:lang w:val="en-US" w:eastAsia="zh-CN" w:bidi="ar-SA"/>
        </w:rPr>
        <w:t>代表在执行职务过程中的交通费、</w:t>
      </w:r>
      <w:r>
        <w:rPr>
          <w:rFonts w:hint="eastAsia" w:eastAsia="仿宋_GB2312" w:cs="Times New Roman"/>
          <w:color w:val="000000"/>
          <w:kern w:val="2"/>
          <w:sz w:val="32"/>
          <w:szCs w:val="32"/>
          <w:highlight w:val="none"/>
          <w:lang w:val="en-US" w:eastAsia="zh-CN" w:bidi="ar-SA"/>
        </w:rPr>
        <w:t>通讯</w:t>
      </w:r>
      <w:r>
        <w:rPr>
          <w:rFonts w:hint="eastAsia" w:ascii="Times New Roman" w:hAnsi="Times New Roman" w:eastAsia="仿宋_GB2312" w:cs="Times New Roman"/>
          <w:color w:val="000000"/>
          <w:kern w:val="2"/>
          <w:sz w:val="32"/>
          <w:szCs w:val="32"/>
          <w:highlight w:val="none"/>
          <w:lang w:val="en-US" w:eastAsia="zh-CN" w:bidi="ar-SA"/>
        </w:rPr>
        <w:t>费等基本开销</w:t>
      </w:r>
      <w:r>
        <w:rPr>
          <w:rFonts w:hint="eastAsia" w:eastAsia="仿宋_GB2312" w:cs="Times New Roman"/>
          <w:color w:val="000000"/>
          <w:kern w:val="2"/>
          <w:sz w:val="32"/>
          <w:szCs w:val="32"/>
          <w:highlight w:val="none"/>
          <w:lang w:val="en-US" w:eastAsia="zh-CN" w:bidi="ar-SA"/>
        </w:rPr>
        <w:t>。</w:t>
      </w:r>
    </w:p>
    <w:p w14:paraId="2C34DC9E">
      <w:pPr>
        <w:tabs>
          <w:tab w:val="left" w:pos="7560"/>
        </w:tabs>
        <w:adjustRightInd w:val="0"/>
        <w:snapToGrid w:val="0"/>
        <w:spacing w:line="560" w:lineRule="exact"/>
        <w:ind w:firstLine="640" w:firstLineChars="200"/>
        <w:rPr>
          <w:rFonts w:hint="default"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二是</w:t>
      </w:r>
      <w:r>
        <w:rPr>
          <w:rFonts w:hint="default" w:ascii="Times New Roman" w:hAnsi="Times New Roman" w:eastAsia="仿宋_GB2312" w:cs="Times New Roman"/>
          <w:color w:val="000000"/>
          <w:kern w:val="2"/>
          <w:sz w:val="32"/>
          <w:szCs w:val="32"/>
          <w:highlight w:val="none"/>
          <w:lang w:val="en-US" w:eastAsia="zh-CN" w:bidi="ar-SA"/>
        </w:rPr>
        <w:t>上级专款</w:t>
      </w:r>
      <w:r>
        <w:rPr>
          <w:rFonts w:hint="eastAsia" w:ascii="Times New Roman" w:hAnsi="Times New Roman" w:eastAsia="仿宋_GB2312" w:cs="Times New Roman"/>
          <w:color w:val="000000"/>
          <w:kern w:val="2"/>
          <w:sz w:val="32"/>
          <w:szCs w:val="32"/>
          <w:highlight w:val="none"/>
          <w:lang w:val="en-US" w:eastAsia="zh-CN" w:bidi="ar-SA"/>
        </w:rPr>
        <w:t>实际支出</w:t>
      </w:r>
      <w:r>
        <w:rPr>
          <w:rFonts w:hint="default" w:ascii="Times New Roman" w:hAnsi="Times New Roman" w:eastAsia="仿宋_GB2312" w:cs="Times New Roman"/>
          <w:color w:val="000000"/>
          <w:kern w:val="2"/>
          <w:sz w:val="32"/>
          <w:szCs w:val="32"/>
          <w:highlight w:val="none"/>
          <w:lang w:val="en-US" w:eastAsia="zh-CN" w:bidi="ar-SA"/>
        </w:rPr>
        <w:t>20.6万元</w:t>
      </w:r>
      <w:r>
        <w:rPr>
          <w:rFonts w:hint="eastAsia" w:ascii="Times New Roman" w:hAnsi="Times New Roman" w:eastAsia="仿宋_GB2312" w:cs="Times New Roman"/>
          <w:color w:val="000000"/>
          <w:kern w:val="2"/>
          <w:sz w:val="32"/>
          <w:szCs w:val="32"/>
          <w:highlight w:val="none"/>
          <w:lang w:val="en-US" w:eastAsia="zh-CN" w:bidi="ar-SA"/>
        </w:rPr>
        <w:t>;主要用于</w:t>
      </w:r>
      <w:r>
        <w:rPr>
          <w:rFonts w:hint="eastAsia" w:eastAsia="仿宋_GB2312" w:cs="Times New Roman"/>
          <w:color w:val="000000"/>
          <w:kern w:val="2"/>
          <w:sz w:val="32"/>
          <w:szCs w:val="32"/>
          <w:highlight w:val="none"/>
          <w:lang w:val="en-US" w:eastAsia="zh-CN" w:bidi="ar-SA"/>
        </w:rPr>
        <w:t>组织区人大代表补选的会场布置、氛围营造，选票、选民登记表的印刷费用等。</w:t>
      </w:r>
    </w:p>
    <w:p w14:paraId="23F0D822">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七、存在的问题及原因分析</w:t>
      </w:r>
    </w:p>
    <w:p w14:paraId="4CD6BBDC">
      <w:pPr>
        <w:tabs>
          <w:tab w:val="left" w:pos="7560"/>
        </w:tabs>
        <w:adjustRightInd w:val="0"/>
        <w:snapToGrid w:val="0"/>
        <w:spacing w:line="560" w:lineRule="exact"/>
        <w:ind w:firstLine="640" w:firstLineChars="200"/>
        <w:rPr>
          <w:rFonts w:hint="default" w:eastAsia="仿宋_GB2312"/>
          <w:sz w:val="32"/>
          <w:szCs w:val="32"/>
          <w:lang w:val="en-US" w:eastAsia="zh-CN"/>
        </w:rPr>
      </w:pPr>
      <w:r>
        <w:rPr>
          <w:rFonts w:hint="eastAsia" w:eastAsia="仿宋_GB2312"/>
          <w:sz w:val="32"/>
          <w:szCs w:val="32"/>
        </w:rPr>
        <w:t>在</w:t>
      </w:r>
      <w:r>
        <w:rPr>
          <w:rFonts w:hint="eastAsia" w:ascii="Times New Roman" w:hAnsi="Times New Roman" w:eastAsia="仿宋_GB2312" w:cs="Times New Roman"/>
          <w:sz w:val="32"/>
          <w:szCs w:val="32"/>
          <w:lang w:val="en-US" w:eastAsia="zh-CN"/>
        </w:rPr>
        <w:t>财力紧张</w:t>
      </w:r>
      <w:r>
        <w:rPr>
          <w:rFonts w:hint="eastAsia" w:eastAsia="仿宋_GB2312"/>
          <w:sz w:val="32"/>
          <w:szCs w:val="32"/>
        </w:rPr>
        <w:t>的情况下，</w:t>
      </w:r>
      <w:r>
        <w:rPr>
          <w:rFonts w:hint="eastAsia" w:eastAsia="仿宋_GB2312"/>
          <w:sz w:val="32"/>
          <w:szCs w:val="32"/>
          <w:lang w:val="en-US" w:eastAsia="zh-CN"/>
        </w:rPr>
        <w:t>区人大常委会</w:t>
      </w:r>
      <w:r>
        <w:rPr>
          <w:rFonts w:eastAsia="仿宋_GB2312"/>
          <w:sz w:val="32"/>
          <w:szCs w:val="32"/>
        </w:rPr>
        <w:t>20</w:t>
      </w:r>
      <w:r>
        <w:rPr>
          <w:rFonts w:hint="eastAsia" w:eastAsia="仿宋_GB2312"/>
          <w:sz w:val="32"/>
          <w:szCs w:val="32"/>
          <w:lang w:val="en-US" w:eastAsia="zh-CN"/>
        </w:rPr>
        <w:t>24</w:t>
      </w:r>
      <w:r>
        <w:rPr>
          <w:rFonts w:hint="eastAsia" w:eastAsia="仿宋_GB2312"/>
          <w:sz w:val="32"/>
          <w:szCs w:val="32"/>
        </w:rPr>
        <w:t>年度整体支出基本达到预期绩效目标，</w:t>
      </w:r>
      <w:r>
        <w:rPr>
          <w:rFonts w:hint="eastAsia" w:eastAsia="仿宋_GB2312"/>
          <w:sz w:val="32"/>
          <w:szCs w:val="32"/>
          <w:lang w:val="en-US" w:eastAsia="zh-CN"/>
        </w:rPr>
        <w:t>但是各委办预算编制不够细化，计划性和科学性不足。固定资产管理和资产管理制度不完善。</w:t>
      </w:r>
    </w:p>
    <w:p w14:paraId="1DFDB547">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八、下一步改进措施</w:t>
      </w:r>
    </w:p>
    <w:p w14:paraId="479FA940">
      <w:pPr>
        <w:tabs>
          <w:tab w:val="left" w:pos="7560"/>
        </w:tabs>
        <w:adjustRightInd w:val="0"/>
        <w:snapToGrid w:val="0"/>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完善预算编制和执行，确保预算编制的准确性和科学性，确保预算资金按计划、按进度有效使用。建立完善的固定资产管理制度，定期对固定资产进行清查和盘点，确保资产账实相符，定期对各项支出进行绩效评价，根据评价结果及时调整和优化支出结构，提高资金使用效率。</w:t>
      </w:r>
    </w:p>
    <w:p w14:paraId="388921D9">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九、部门整体支出绩效自评结果拟应用和公开情况</w:t>
      </w:r>
    </w:p>
    <w:p w14:paraId="5C804B3E">
      <w:pPr>
        <w:tabs>
          <w:tab w:val="left" w:pos="7560"/>
        </w:tabs>
        <w:adjustRightInd w:val="0"/>
        <w:snapToGrid w:val="0"/>
        <w:spacing w:line="560" w:lineRule="exact"/>
        <w:ind w:firstLine="640" w:firstLineChars="200"/>
        <w:rPr>
          <w:rFonts w:hint="eastAsia" w:eastAsia="仿宋_GB2312"/>
          <w:color w:val="000000"/>
          <w:sz w:val="32"/>
          <w:szCs w:val="32"/>
          <w:lang w:eastAsia="zh-CN"/>
        </w:rPr>
      </w:pPr>
      <w:r>
        <w:rPr>
          <w:rFonts w:hint="eastAsia" w:eastAsia="仿宋_GB2312"/>
          <w:color w:val="000000"/>
          <w:sz w:val="32"/>
          <w:szCs w:val="32"/>
        </w:rPr>
        <w:t>通过绩效自评，进一步掌握了</w:t>
      </w:r>
      <w:r>
        <w:rPr>
          <w:rFonts w:hint="eastAsia" w:eastAsia="仿宋_GB2312"/>
          <w:color w:val="000000"/>
          <w:sz w:val="32"/>
          <w:szCs w:val="32"/>
          <w:lang w:val="en-US" w:eastAsia="zh-CN"/>
        </w:rPr>
        <w:t>区人大常委会</w:t>
      </w:r>
      <w:r>
        <w:rPr>
          <w:rFonts w:hint="eastAsia" w:eastAsia="仿宋_GB2312"/>
          <w:color w:val="000000"/>
          <w:sz w:val="32"/>
          <w:szCs w:val="32"/>
        </w:rPr>
        <w:t>资金使用情况和取得的效果，发现了工作中存在的问题和不足，以期加强资金使用管理、完善资金绩效管理</w:t>
      </w:r>
      <w:r>
        <w:rPr>
          <w:rFonts w:hint="eastAsia" w:eastAsia="仿宋_GB2312"/>
          <w:color w:val="000000"/>
          <w:sz w:val="32"/>
          <w:szCs w:val="32"/>
          <w:lang w:eastAsia="zh-CN"/>
        </w:rPr>
        <w:t>。</w:t>
      </w:r>
    </w:p>
    <w:p w14:paraId="2D7C7F04">
      <w:pPr>
        <w:tabs>
          <w:tab w:val="left" w:pos="7560"/>
        </w:tabs>
        <w:adjustRightInd w:val="0"/>
        <w:snapToGrid w:val="0"/>
        <w:spacing w:line="56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本单位无独立网站，绩效自评报告将在政府门户网站与决算报告一起公开。</w:t>
      </w:r>
    </w:p>
    <w:p w14:paraId="1C98355F"/>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14AE96-D865-4614-B034-FBC6B5BD01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EDBEF9D-C529-4109-97E0-7F7DC2AE9AD6}"/>
  </w:font>
  <w:font w:name="方正小标宋简体">
    <w:panose1 w:val="03000509000000000000"/>
    <w:charset w:val="86"/>
    <w:family w:val="script"/>
    <w:pitch w:val="default"/>
    <w:sig w:usb0="00000001" w:usb1="080E0000" w:usb2="00000000" w:usb3="00000000" w:csb0="00040000" w:csb1="00000000"/>
    <w:embedRegular r:id="rId3" w:fontKey="{1127A4E4-7231-4E2D-BFBE-DD5D6D449D55}"/>
  </w:font>
  <w:font w:name="方正大标宋简体">
    <w:panose1 w:val="02000000000000000000"/>
    <w:charset w:val="86"/>
    <w:family w:val="script"/>
    <w:pitch w:val="default"/>
    <w:sig w:usb0="A00002BF" w:usb1="184F6CFA" w:usb2="00000012" w:usb3="00000000" w:csb0="00040001" w:csb1="00000000"/>
    <w:embedRegular r:id="rId4" w:fontKey="{1AA27B91-1521-4213-AC8C-954571C7F2F4}"/>
  </w:font>
  <w:font w:name="楷体_GB2312">
    <w:panose1 w:val="02010609030101010101"/>
    <w:charset w:val="86"/>
    <w:family w:val="modern"/>
    <w:pitch w:val="default"/>
    <w:sig w:usb0="00000001" w:usb1="080E0000" w:usb2="00000000" w:usb3="00000000" w:csb0="00040000" w:csb1="00000000"/>
    <w:embedRegular r:id="rId5" w:fontKey="{3A3FD637-70E3-4AE8-A754-590F6EE11655}"/>
  </w:font>
  <w:font w:name="方正仿宋_GBK">
    <w:panose1 w:val="03000509000000000000"/>
    <w:charset w:val="86"/>
    <w:family w:val="auto"/>
    <w:pitch w:val="default"/>
    <w:sig w:usb0="00000001" w:usb1="080E0000" w:usb2="00000000" w:usb3="00000000" w:csb0="00040000" w:csb1="00000000"/>
    <w:embedRegular r:id="rId6" w:fontKey="{89979BF7-A010-4573-B70C-445C82A42670}"/>
  </w:font>
  <w:font w:name="WPSEMBED4">
    <w:panose1 w:val="03000509000000000000"/>
    <w:charset w:val="86"/>
    <w:family w:val="auto"/>
    <w:pitch w:val="default"/>
    <w:sig w:usb0="00000001" w:usb1="080E0000" w:usb2="00000000" w:usb3="00000000" w:csb0="00040000" w:csb1="00000000"/>
  </w:font>
  <w:font w:name="WPSEMBED5">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WPSEMBED7">
    <w:panose1 w:val="03000509000000000000"/>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37AAB">
    <w:pPr>
      <w:pStyle w:val="6"/>
      <w:framePr w:wrap="around" w:vAnchor="text" w:hAnchor="margin" w:xAlign="outside" w:y="1"/>
      <w:rPr>
        <w:rStyle w:val="13"/>
        <w:rFonts w:hint="eastAsia" w:ascii="宋体"/>
        <w:sz w:val="28"/>
        <w:szCs w:val="28"/>
      </w:rPr>
    </w:pPr>
    <w:r>
      <w:rPr>
        <w:rStyle w:val="13"/>
        <w:rFonts w:hint="eastAsia" w:ascii="宋体"/>
        <w:color w:val="FFFFFF"/>
        <w:sz w:val="28"/>
        <w:szCs w:val="28"/>
      </w:rPr>
      <w:t>—</w:t>
    </w:r>
    <w:r>
      <w:rPr>
        <w:rStyle w:val="13"/>
        <w:rFonts w:hint="eastAsia" w:ascii="宋体"/>
        <w:sz w:val="28"/>
        <w:szCs w:val="28"/>
      </w:rPr>
      <w:t xml:space="preserve">— </w:t>
    </w:r>
    <w:r>
      <w:rPr>
        <w:rStyle w:val="13"/>
        <w:rFonts w:hint="eastAsia" w:ascii="宋体"/>
        <w:sz w:val="28"/>
        <w:szCs w:val="28"/>
      </w:rPr>
      <w:fldChar w:fldCharType="begin"/>
    </w:r>
    <w:r>
      <w:rPr>
        <w:rStyle w:val="13"/>
        <w:rFonts w:hint="eastAsia" w:ascii="宋体"/>
        <w:sz w:val="28"/>
        <w:szCs w:val="28"/>
      </w:rPr>
      <w:instrText xml:space="preserve">PAGE  </w:instrText>
    </w:r>
    <w:r>
      <w:rPr>
        <w:rStyle w:val="13"/>
        <w:rFonts w:hint="eastAsia" w:ascii="宋体"/>
        <w:sz w:val="28"/>
        <w:szCs w:val="28"/>
      </w:rPr>
      <w:fldChar w:fldCharType="separate"/>
    </w:r>
    <w:r>
      <w:rPr>
        <w:rStyle w:val="13"/>
        <w:rFonts w:ascii="宋体"/>
        <w:sz w:val="28"/>
        <w:szCs w:val="28"/>
      </w:rPr>
      <w:t>9</w:t>
    </w:r>
    <w:r>
      <w:rPr>
        <w:rStyle w:val="13"/>
        <w:rFonts w:hint="eastAsia" w:ascii="宋体"/>
        <w:sz w:val="28"/>
        <w:szCs w:val="28"/>
      </w:rPr>
      <w:fldChar w:fldCharType="end"/>
    </w:r>
    <w:r>
      <w:rPr>
        <w:rStyle w:val="13"/>
        <w:rFonts w:hint="eastAsia" w:ascii="宋体"/>
        <w:sz w:val="28"/>
        <w:szCs w:val="28"/>
      </w:rPr>
      <w:t xml:space="preserve"> —</w:t>
    </w:r>
    <w:r>
      <w:rPr>
        <w:rStyle w:val="13"/>
        <w:rFonts w:hint="eastAsia" w:ascii="宋体"/>
        <w:color w:val="FFFFFF"/>
        <w:sz w:val="28"/>
        <w:szCs w:val="28"/>
      </w:rPr>
      <w:t>—</w:t>
    </w:r>
  </w:p>
  <w:p w14:paraId="3BAA832C">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YmJkZTJhOWZjNjUxYjIzYjc0ZDViODY5ZDc3OTMifQ=="/>
    <w:docVar w:name="KSO_WPS_MARK_KEY" w:val="8d781398-a860-409d-9baf-71e3d4ef4f8d"/>
  </w:docVars>
  <w:rsids>
    <w:rsidRoot w:val="3B7EF2ED"/>
    <w:rsid w:val="04B312E7"/>
    <w:rsid w:val="087500AD"/>
    <w:rsid w:val="14DB0432"/>
    <w:rsid w:val="16AA7CD2"/>
    <w:rsid w:val="176C4251"/>
    <w:rsid w:val="17BD1DC6"/>
    <w:rsid w:val="193B43F3"/>
    <w:rsid w:val="1C1C5A69"/>
    <w:rsid w:val="1DC10C1D"/>
    <w:rsid w:val="22BB0852"/>
    <w:rsid w:val="295C468A"/>
    <w:rsid w:val="29E83175"/>
    <w:rsid w:val="2C161010"/>
    <w:rsid w:val="2E863000"/>
    <w:rsid w:val="2EF9043E"/>
    <w:rsid w:val="30FF3CB4"/>
    <w:rsid w:val="331030C3"/>
    <w:rsid w:val="3B7EF2ED"/>
    <w:rsid w:val="47CD757A"/>
    <w:rsid w:val="4B585252"/>
    <w:rsid w:val="4D021078"/>
    <w:rsid w:val="4D8F0874"/>
    <w:rsid w:val="50A32868"/>
    <w:rsid w:val="56257B34"/>
    <w:rsid w:val="56872C45"/>
    <w:rsid w:val="5C1308BD"/>
    <w:rsid w:val="5C60085E"/>
    <w:rsid w:val="5E50292A"/>
    <w:rsid w:val="6082337A"/>
    <w:rsid w:val="62B045B3"/>
    <w:rsid w:val="67F134E0"/>
    <w:rsid w:val="69C74CBE"/>
    <w:rsid w:val="6A110518"/>
    <w:rsid w:val="6C1239A4"/>
    <w:rsid w:val="6EF90049"/>
    <w:rsid w:val="727315A7"/>
    <w:rsid w:val="776A1067"/>
    <w:rsid w:val="77F722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footer1"/>
    <w:basedOn w:val="1"/>
    <w:qFormat/>
    <w:uiPriority w:val="0"/>
    <w:pPr>
      <w:tabs>
        <w:tab w:val="center" w:pos="4153"/>
        <w:tab w:val="right" w:pos="8306"/>
      </w:tabs>
      <w:snapToGrid w:val="0"/>
      <w:jc w:val="left"/>
    </w:pPr>
    <w:rPr>
      <w:rFonts w:ascii="Calibri" w:hAnsi="Calibri" w:eastAsia="宋体"/>
      <w:sz w:val="18"/>
    </w:r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ind w:firstLine="200" w:firstLineChars="200"/>
    </w:pPr>
    <w:rPr>
      <w:rFonts w:eastAsia="仿宋_GB2312"/>
      <w:sz w:val="30"/>
      <w:szCs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0"/>
    <w:pPr>
      <w:ind w:firstLine="420"/>
    </w:p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正文文字"/>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15">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4644</Words>
  <Characters>4846</Characters>
  <Lines>0</Lines>
  <Paragraphs>0</Paragraphs>
  <TotalTime>19</TotalTime>
  <ScaleCrop>false</ScaleCrop>
  <LinksUpToDate>false</LinksUpToDate>
  <CharactersWithSpaces>4854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宗</cp:lastModifiedBy>
  <dcterms:modified xsi:type="dcterms:W3CDTF">2026-01-26T03:40:29Z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C854265B8FFE459F8E79AC78C9163318_13</vt:lpwstr>
  </property>
  <property fmtid="{D5CDD505-2E9C-101B-9397-08002B2CF9AE}" pid="4" name="KSOTemplateDocerSaveRecord">
    <vt:lpwstr>eyJoZGlkIjoiMTdlNzdmYmU0NmYwZjFkMThjYjNiYzgwYjhkYmE5MTUiLCJ1c2VySWQiOiIxNDI3OTU5OTA3In0=</vt:lpwstr>
  </property>
</Properties>
</file>