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35B3F">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株洲市芦淞区贺家土街道办事处整体</w:t>
      </w:r>
      <w:r>
        <w:rPr>
          <w:rFonts w:eastAsia="方正小标宋_GBK"/>
          <w:sz w:val="48"/>
          <w:szCs w:val="48"/>
        </w:rPr>
        <w:t>支出</w:t>
      </w:r>
    </w:p>
    <w:p w14:paraId="4F96CB0B">
      <w:pPr>
        <w:jc w:val="center"/>
        <w:rPr>
          <w:rFonts w:eastAsia="方正小标宋_GBK"/>
          <w:sz w:val="48"/>
          <w:szCs w:val="48"/>
        </w:rPr>
      </w:pPr>
      <w:r>
        <w:rPr>
          <w:rFonts w:eastAsia="方正小标宋_GBK"/>
          <w:sz w:val="48"/>
          <w:szCs w:val="48"/>
        </w:rPr>
        <w:t>绩效自评报告</w:t>
      </w:r>
    </w:p>
    <w:p w14:paraId="7EAFBD9E">
      <w:pPr>
        <w:jc w:val="center"/>
        <w:rPr>
          <w:rFonts w:eastAsia="黑体"/>
          <w:sz w:val="32"/>
          <w:szCs w:val="32"/>
        </w:rPr>
      </w:pPr>
    </w:p>
    <w:p w14:paraId="42B1223A">
      <w:pPr>
        <w:jc w:val="center"/>
        <w:rPr>
          <w:rFonts w:eastAsia="黑体"/>
          <w:sz w:val="32"/>
          <w:szCs w:val="32"/>
        </w:rPr>
      </w:pPr>
    </w:p>
    <w:p w14:paraId="24807CB0">
      <w:pPr>
        <w:jc w:val="center"/>
        <w:rPr>
          <w:rFonts w:eastAsia="黑体"/>
          <w:sz w:val="32"/>
          <w:szCs w:val="32"/>
        </w:rPr>
      </w:pPr>
    </w:p>
    <w:p w14:paraId="70F04A75">
      <w:pPr>
        <w:jc w:val="center"/>
        <w:rPr>
          <w:rFonts w:eastAsia="黑体"/>
          <w:sz w:val="32"/>
          <w:szCs w:val="32"/>
        </w:rPr>
      </w:pPr>
    </w:p>
    <w:p w14:paraId="1C04FFBB">
      <w:pPr>
        <w:jc w:val="center"/>
        <w:rPr>
          <w:rFonts w:eastAsia="黑体"/>
          <w:sz w:val="32"/>
          <w:szCs w:val="32"/>
        </w:rPr>
      </w:pPr>
    </w:p>
    <w:p w14:paraId="33892E0B">
      <w:pPr>
        <w:jc w:val="center"/>
        <w:rPr>
          <w:rFonts w:eastAsia="黑体"/>
          <w:sz w:val="32"/>
          <w:szCs w:val="32"/>
        </w:rPr>
      </w:pPr>
    </w:p>
    <w:p w14:paraId="18B950DD">
      <w:pPr>
        <w:jc w:val="center"/>
        <w:rPr>
          <w:rFonts w:eastAsia="黑体"/>
          <w:sz w:val="32"/>
          <w:szCs w:val="32"/>
        </w:rPr>
      </w:pPr>
    </w:p>
    <w:p w14:paraId="793EE47A">
      <w:pPr>
        <w:ind w:firstLine="880" w:firstLineChars="200"/>
        <w:jc w:val="center"/>
        <w:rPr>
          <w:rFonts w:eastAsia="黑体"/>
          <w:sz w:val="44"/>
          <w:szCs w:val="44"/>
        </w:rPr>
      </w:pPr>
    </w:p>
    <w:p w14:paraId="7DE5D8EE">
      <w:pPr>
        <w:ind w:firstLine="880" w:firstLineChars="200"/>
        <w:jc w:val="center"/>
        <w:rPr>
          <w:rFonts w:eastAsia="黑体"/>
          <w:sz w:val="44"/>
          <w:szCs w:val="44"/>
        </w:rPr>
      </w:pPr>
    </w:p>
    <w:p w14:paraId="2AD80F70">
      <w:pPr>
        <w:ind w:firstLine="880" w:firstLineChars="200"/>
        <w:jc w:val="center"/>
        <w:rPr>
          <w:rFonts w:eastAsia="黑体"/>
          <w:sz w:val="44"/>
          <w:szCs w:val="44"/>
        </w:rPr>
      </w:pPr>
    </w:p>
    <w:p w14:paraId="601381C0">
      <w:pPr>
        <w:ind w:firstLine="720" w:firstLineChars="200"/>
        <w:jc w:val="center"/>
        <w:rPr>
          <w:rFonts w:eastAsia="黑体"/>
          <w:sz w:val="36"/>
          <w:szCs w:val="36"/>
        </w:rPr>
      </w:pPr>
      <w:r>
        <w:rPr>
          <w:rFonts w:eastAsia="黑体"/>
          <w:sz w:val="36"/>
          <w:szCs w:val="36"/>
        </w:rPr>
        <w:t>单位名称（盖章）：</w:t>
      </w:r>
    </w:p>
    <w:p w14:paraId="07DB85B8">
      <w:pPr>
        <w:jc w:val="center"/>
        <w:rPr>
          <w:rFonts w:eastAsia="黑体"/>
          <w:sz w:val="36"/>
          <w:szCs w:val="36"/>
        </w:rPr>
      </w:pPr>
    </w:p>
    <w:p w14:paraId="4760B055">
      <w:pPr>
        <w:jc w:val="center"/>
        <w:rPr>
          <w:rFonts w:eastAsia="黑体"/>
          <w:sz w:val="32"/>
          <w:szCs w:val="32"/>
        </w:rPr>
      </w:pPr>
    </w:p>
    <w:p w14:paraId="3B1F89D9">
      <w:pPr>
        <w:jc w:val="center"/>
        <w:rPr>
          <w:rFonts w:eastAsia="黑体"/>
          <w:sz w:val="32"/>
          <w:szCs w:val="32"/>
        </w:rPr>
      </w:pPr>
    </w:p>
    <w:p w14:paraId="0192852A">
      <w:pPr>
        <w:jc w:val="center"/>
        <w:rPr>
          <w:rFonts w:eastAsia="黑体"/>
          <w:sz w:val="32"/>
          <w:szCs w:val="32"/>
        </w:rPr>
      </w:pPr>
    </w:p>
    <w:p w14:paraId="1D486970">
      <w:pPr>
        <w:jc w:val="center"/>
        <w:rPr>
          <w:rFonts w:eastAsia="黑体"/>
          <w:sz w:val="32"/>
          <w:szCs w:val="32"/>
        </w:rPr>
      </w:pPr>
    </w:p>
    <w:p w14:paraId="3F1D4A73">
      <w:pPr>
        <w:jc w:val="center"/>
        <w:rPr>
          <w:rFonts w:eastAsia="黑体"/>
          <w:sz w:val="32"/>
          <w:szCs w:val="32"/>
        </w:rPr>
      </w:pPr>
    </w:p>
    <w:p w14:paraId="2C985105">
      <w:pPr>
        <w:jc w:val="center"/>
        <w:rPr>
          <w:rFonts w:eastAsia="黑体"/>
          <w:sz w:val="32"/>
          <w:szCs w:val="32"/>
        </w:rPr>
      </w:pPr>
    </w:p>
    <w:p w14:paraId="1E5DA4E9">
      <w:pPr>
        <w:jc w:val="center"/>
        <w:rPr>
          <w:rFonts w:eastAsia="仿宋_GB2312"/>
          <w:sz w:val="32"/>
          <w:szCs w:val="32"/>
        </w:rPr>
      </w:pPr>
      <w:r>
        <w:rPr>
          <w:rFonts w:eastAsia="仿宋_GB2312"/>
          <w:sz w:val="32"/>
          <w:szCs w:val="32"/>
        </w:rPr>
        <w:t>（此页为封面）</w:t>
      </w:r>
    </w:p>
    <w:p w14:paraId="0E1F32DE">
      <w:pPr>
        <w:jc w:val="center"/>
        <w:rPr>
          <w:rFonts w:eastAsia="仿宋_GB2312"/>
          <w:sz w:val="32"/>
          <w:szCs w:val="32"/>
        </w:rPr>
      </w:pPr>
    </w:p>
    <w:p w14:paraId="03E07B98">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8C84803">
      <w:pPr>
        <w:spacing w:line="600" w:lineRule="exact"/>
        <w:ind w:firstLine="643" w:firstLineChars="200"/>
        <w:rPr>
          <w:rFonts w:eastAsia="楷体_GB2312"/>
          <w:b/>
          <w:sz w:val="32"/>
          <w:szCs w:val="32"/>
        </w:rPr>
      </w:pPr>
      <w:r>
        <w:rPr>
          <w:rFonts w:eastAsia="楷体_GB2312"/>
          <w:b/>
          <w:sz w:val="32"/>
          <w:szCs w:val="32"/>
        </w:rPr>
        <w:t>（一）部门（单位）基本情况</w:t>
      </w:r>
    </w:p>
    <w:p w14:paraId="2EACCC5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部门职能职责</w:t>
      </w:r>
    </w:p>
    <w:p w14:paraId="044227B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加强党的建设。落实基层党建工作责任制，加强基层服务型党组织建设，深入推进“区域化”党建，全面推行街道“大工委”制，增强基层党组织的政治属性和服务功能。</w:t>
      </w:r>
    </w:p>
    <w:p w14:paraId="682569E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29B03C6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组织公共服务。组织实施与居民生活密切相关的公共服务，落实劳动就业、社会保障、法律援助、基本医疗卫生、文化体育、环境保护等公共服务方面的相关政策。</w:t>
      </w:r>
    </w:p>
    <w:p w14:paraId="47B48D6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实施公共管理。科学设置管理网格，对辖区内城市管理、人口管理、社会管理、民生保障等区域性、综合性工作，承担组织领导、综合协调和监督检查职责。</w:t>
      </w:r>
    </w:p>
    <w:p w14:paraId="49B4292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监督行政执法。对辖区内各类行政执法工作进行统筹协调，组织开展群众监督和社会监督。</w:t>
      </w:r>
    </w:p>
    <w:p w14:paraId="7A503FA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动员社会参与。动员和支持各类驻辖区单位、社区居民、社会组织及志愿者等社区力量参与社区治理，引导驻辖区单位履行社会责任，整合区域内各种社会力量为社区发展服务。</w:t>
      </w:r>
    </w:p>
    <w:p w14:paraId="11184E2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指导基层自治。指导居民委员会建设，健全自治功能，组织社区居民和辖区单位参与城乡社区建设和治理。</w:t>
      </w:r>
    </w:p>
    <w:p w14:paraId="6E5B6BB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维护公共安全。承担辖区社会治安综合管理有关工作，处理群众来信来访，反映社情民意，化解矛盾纠纷等。</w:t>
      </w:r>
    </w:p>
    <w:p w14:paraId="56B5FA2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做好国防动员。开展国防教育，抓好征兵工作，组织民兵训练。</w:t>
      </w:r>
    </w:p>
    <w:p w14:paraId="0D2CE90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完成区委、区政府交办的其他工作任务。</w:t>
      </w:r>
    </w:p>
    <w:p w14:paraId="14EFE0E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职能转变。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03A1A68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Cs/>
          <w:color w:val="000000"/>
          <w:sz w:val="32"/>
          <w:szCs w:val="32"/>
          <w:highlight w:val="none"/>
        </w:rPr>
        <w:t>（二）</w:t>
      </w:r>
      <w:r>
        <w:rPr>
          <w:rFonts w:ascii="Times New Roman" w:hAnsi="Times New Roman" w:eastAsia="仿宋_GB2312" w:cs="Times New Roman"/>
          <w:sz w:val="32"/>
          <w:szCs w:val="32"/>
          <w:highlight w:val="none"/>
        </w:rPr>
        <w:t>机构设置</w:t>
      </w:r>
    </w:p>
    <w:p w14:paraId="3ED9AF8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color w:val="000000"/>
          <w:sz w:val="32"/>
          <w:szCs w:val="32"/>
          <w:highlight w:val="none"/>
          <w:lang w:eastAsia="zh-CN"/>
        </w:rPr>
      </w:pPr>
      <w:r>
        <w:rPr>
          <w:rFonts w:hint="eastAsia" w:ascii="Times New Roman" w:hAnsi="Times New Roman" w:eastAsia="仿宋_GB2312" w:cs="Times New Roman"/>
          <w:bCs/>
          <w:color w:val="000000"/>
          <w:sz w:val="32"/>
          <w:szCs w:val="32"/>
          <w:highlight w:val="none"/>
        </w:rPr>
        <w:t>根据编办核定，我单位内设</w:t>
      </w:r>
      <w:r>
        <w:rPr>
          <w:rFonts w:hint="eastAsia" w:eastAsia="仿宋_GB2312" w:cs="Times New Roman"/>
          <w:bCs/>
          <w:color w:val="000000"/>
          <w:sz w:val="32"/>
          <w:szCs w:val="32"/>
          <w:highlight w:val="none"/>
          <w:lang w:eastAsia="zh-CN"/>
        </w:rPr>
        <w:t>机构</w:t>
      </w:r>
      <w:r>
        <w:rPr>
          <w:rFonts w:ascii="Times New Roman" w:hAnsi="Times New Roman" w:eastAsia="仿宋_GB2312" w:cs="Times New Roman"/>
          <w:sz w:val="32"/>
          <w:szCs w:val="32"/>
          <w:highlight w:val="none"/>
        </w:rPr>
        <w:t>分别为：</w:t>
      </w:r>
      <w:r>
        <w:rPr>
          <w:rFonts w:hint="default" w:ascii="Times New Roman" w:hAnsi="Times New Roman" w:eastAsia="仿宋_GB2312" w:cs="Times New Roman"/>
          <w:sz w:val="32"/>
          <w:szCs w:val="32"/>
          <w:highlight w:val="none"/>
        </w:rPr>
        <w:t>党</w:t>
      </w:r>
      <w:r>
        <w:rPr>
          <w:rFonts w:hint="default" w:ascii="Times New Roman" w:hAnsi="Times New Roman" w:eastAsia="仿宋_GB2312" w:cs="Times New Roman"/>
          <w:color w:val="000000"/>
          <w:sz w:val="32"/>
          <w:szCs w:val="32"/>
          <w:highlight w:val="none"/>
        </w:rPr>
        <w:t>政办公室、党建办公室、</w:t>
      </w:r>
      <w:r>
        <w:rPr>
          <w:rFonts w:hint="eastAsia" w:eastAsia="仿宋_GB2312" w:cs="Times New Roman"/>
          <w:color w:val="000000"/>
          <w:sz w:val="32"/>
          <w:szCs w:val="32"/>
          <w:highlight w:val="none"/>
          <w:lang w:eastAsia="zh-CN"/>
        </w:rPr>
        <w:t>经济发展</w:t>
      </w:r>
      <w:r>
        <w:rPr>
          <w:rFonts w:hint="default" w:ascii="Times New Roman" w:hAnsi="Times New Roman" w:eastAsia="仿宋_GB2312" w:cs="Times New Roman"/>
          <w:color w:val="000000"/>
          <w:sz w:val="32"/>
          <w:szCs w:val="32"/>
          <w:highlight w:val="none"/>
        </w:rPr>
        <w:t>办公室、</w:t>
      </w:r>
      <w:r>
        <w:rPr>
          <w:rFonts w:hint="eastAsia" w:eastAsia="仿宋_GB2312" w:cs="Times New Roman"/>
          <w:color w:val="000000"/>
          <w:sz w:val="32"/>
          <w:szCs w:val="32"/>
          <w:highlight w:val="none"/>
          <w:lang w:eastAsia="zh-CN"/>
        </w:rPr>
        <w:t>民生事务</w:t>
      </w:r>
      <w:r>
        <w:rPr>
          <w:rFonts w:hint="default" w:ascii="Times New Roman" w:hAnsi="Times New Roman" w:eastAsia="仿宋_GB2312" w:cs="Times New Roman"/>
          <w:color w:val="000000"/>
          <w:sz w:val="32"/>
          <w:szCs w:val="32"/>
          <w:highlight w:val="none"/>
        </w:rPr>
        <w:t>办公室、</w:t>
      </w:r>
      <w:r>
        <w:rPr>
          <w:rFonts w:hint="eastAsia" w:eastAsia="仿宋_GB2312" w:cs="Times New Roman"/>
          <w:color w:val="000000"/>
          <w:sz w:val="32"/>
          <w:szCs w:val="32"/>
          <w:highlight w:val="none"/>
          <w:lang w:eastAsia="zh-CN"/>
        </w:rPr>
        <w:t>平安法制和应急管理</w:t>
      </w:r>
      <w:r>
        <w:rPr>
          <w:rFonts w:hint="default" w:ascii="Times New Roman" w:hAnsi="Times New Roman" w:eastAsia="仿宋_GB2312" w:cs="Times New Roman"/>
          <w:color w:val="000000"/>
          <w:sz w:val="32"/>
          <w:szCs w:val="32"/>
          <w:highlight w:val="none"/>
        </w:rPr>
        <w:t>办公室、</w:t>
      </w:r>
      <w:r>
        <w:rPr>
          <w:rFonts w:hint="eastAsia" w:eastAsia="仿宋_GB2312" w:cs="Times New Roman"/>
          <w:color w:val="000000"/>
          <w:sz w:val="32"/>
          <w:szCs w:val="32"/>
          <w:highlight w:val="none"/>
          <w:lang w:eastAsia="zh-CN"/>
        </w:rPr>
        <w:t>财政</w:t>
      </w:r>
      <w:r>
        <w:rPr>
          <w:rFonts w:hint="default" w:ascii="Times New Roman" w:hAnsi="Times New Roman" w:eastAsia="仿宋_GB2312" w:cs="Times New Roman"/>
          <w:color w:val="000000"/>
          <w:sz w:val="32"/>
          <w:szCs w:val="32"/>
          <w:highlight w:val="none"/>
        </w:rPr>
        <w:t>办公室</w:t>
      </w:r>
      <w:r>
        <w:rPr>
          <w:rFonts w:hint="eastAsia" w:ascii="Times New Roman" w:hAnsi="Times New Roman" w:eastAsia="仿宋_GB2312" w:cs="Times New Roman"/>
          <w:color w:val="000000"/>
          <w:sz w:val="32"/>
          <w:szCs w:val="32"/>
          <w:highlight w:val="none"/>
          <w:lang w:eastAsia="zh-CN"/>
        </w:rPr>
        <w:t>。此外，街道按有关规定或章程设置人大、纪检监察、人民武装等机构和工会、共青团、妇联等组织，明确由街道党政领导分</w:t>
      </w:r>
      <w:r>
        <w:rPr>
          <w:rFonts w:hint="eastAsia" w:eastAsia="仿宋_GB2312" w:cs="Times New Roman"/>
          <w:color w:val="000000"/>
          <w:sz w:val="32"/>
          <w:szCs w:val="32"/>
          <w:highlight w:val="none"/>
          <w:lang w:eastAsia="zh-CN"/>
        </w:rPr>
        <w:t>管。</w:t>
      </w:r>
    </w:p>
    <w:p w14:paraId="3655CE6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所属事业单位事项：社会事务综合服务中心；生态事务中心；便民服务中心；退役军人服务站；综合行政执法大队</w:t>
      </w:r>
      <w:r>
        <w:rPr>
          <w:rFonts w:hint="eastAsia" w:eastAsia="仿宋_GB2312" w:cs="Times New Roman"/>
          <w:color w:val="000000"/>
          <w:sz w:val="32"/>
          <w:szCs w:val="32"/>
          <w:highlight w:val="none"/>
          <w:lang w:val="en-US" w:eastAsia="zh-CN"/>
        </w:rPr>
        <w:t>。</w:t>
      </w:r>
    </w:p>
    <w:p w14:paraId="64FA99AB">
      <w:pPr>
        <w:numPr>
          <w:ilvl w:val="0"/>
          <w:numId w:val="1"/>
        </w:numPr>
        <w:spacing w:line="600" w:lineRule="exact"/>
        <w:ind w:firstLine="643" w:firstLineChars="200"/>
        <w:rPr>
          <w:rFonts w:hint="eastAsia" w:ascii="Times New Roman" w:hAnsi="Times New Roman" w:eastAsia="仿宋_GB2312" w:cs="Times New Roman"/>
          <w:bCs/>
          <w:kern w:val="0"/>
          <w:sz w:val="32"/>
          <w:szCs w:val="32"/>
          <w:highlight w:val="none"/>
          <w:lang w:val="en-US" w:eastAsia="zh-CN"/>
        </w:rPr>
      </w:pPr>
      <w:r>
        <w:rPr>
          <w:rFonts w:eastAsia="楷体_GB2312"/>
          <w:b/>
          <w:sz w:val="32"/>
          <w:szCs w:val="32"/>
        </w:rPr>
        <w:t>部门（单位）年度整体支出绩效目标</w:t>
      </w:r>
    </w:p>
    <w:p w14:paraId="7B49EF18">
      <w:pPr>
        <w:numPr>
          <w:ilvl w:val="0"/>
          <w:numId w:val="0"/>
        </w:numPr>
        <w:spacing w:line="600" w:lineRule="exact"/>
        <w:ind w:firstLine="640" w:firstLineChars="200"/>
        <w:rPr>
          <w:rFonts w:hint="eastAsia"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Times New Roman"/>
          <w:bCs/>
          <w:kern w:val="0"/>
          <w:sz w:val="32"/>
          <w:szCs w:val="32"/>
          <w:highlight w:val="none"/>
          <w:lang w:val="en-US" w:eastAsia="zh-CN"/>
        </w:rPr>
        <w:t>把稳抓牢队伍建设、保障街道机关整体日常运行。</w:t>
      </w:r>
    </w:p>
    <w:p w14:paraId="5A650EB8">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B60B34">
      <w:pPr>
        <w:pStyle w:val="7"/>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6833ABF4">
      <w:pPr>
        <w:pStyle w:val="7"/>
        <w:spacing w:line="600" w:lineRule="exact"/>
        <w:ind w:firstLine="643"/>
        <w:rPr>
          <w:rFonts w:hint="default" w:eastAsia="仿宋"/>
          <w:color w:val="000000"/>
          <w:sz w:val="32"/>
          <w:szCs w:val="32"/>
          <w:lang w:val="en-US" w:eastAsia="zh-CN"/>
        </w:rPr>
      </w:pPr>
      <w:r>
        <w:rPr>
          <w:rFonts w:hint="eastAsia" w:ascii="Times New Roman" w:hAnsi="Times New Roman" w:eastAsia="楷体_GB2312"/>
          <w:b/>
          <w:sz w:val="32"/>
          <w:szCs w:val="32"/>
          <w:lang w:val="en-US" w:eastAsia="zh-CN"/>
        </w:rPr>
        <w:t>1、</w:t>
      </w:r>
      <w:r>
        <w:rPr>
          <w:rFonts w:eastAsia="仿宋"/>
          <w:color w:val="000000"/>
          <w:sz w:val="32"/>
          <w:szCs w:val="32"/>
        </w:rPr>
        <w:t>202</w:t>
      </w:r>
      <w:r>
        <w:rPr>
          <w:rFonts w:hint="eastAsia" w:eastAsia="仿宋"/>
          <w:color w:val="000000"/>
          <w:sz w:val="32"/>
          <w:szCs w:val="32"/>
          <w:lang w:val="en-US" w:eastAsia="zh-CN"/>
        </w:rPr>
        <w:t>4</w:t>
      </w:r>
      <w:r>
        <w:rPr>
          <w:rFonts w:eastAsia="仿宋"/>
          <w:color w:val="000000"/>
          <w:sz w:val="32"/>
          <w:szCs w:val="32"/>
        </w:rPr>
        <w:t>年预算资金</w:t>
      </w:r>
      <w:r>
        <w:rPr>
          <w:rFonts w:hint="eastAsia" w:eastAsia="仿宋"/>
          <w:color w:val="000000"/>
          <w:sz w:val="32"/>
          <w:szCs w:val="32"/>
          <w:lang w:val="en-US" w:eastAsia="zh-CN"/>
        </w:rPr>
        <w:t>545.96万元。</w:t>
      </w:r>
    </w:p>
    <w:p w14:paraId="43DFB3C7">
      <w:pPr>
        <w:pStyle w:val="7"/>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1428.18万元。</w:t>
      </w:r>
    </w:p>
    <w:p w14:paraId="56D11248">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1428.18</w:t>
      </w:r>
      <w:r>
        <w:rPr>
          <w:rFonts w:eastAsia="仿宋"/>
          <w:color w:val="auto"/>
          <w:sz w:val="32"/>
          <w:szCs w:val="32"/>
        </w:rPr>
        <w:t>其中：项目支出</w:t>
      </w:r>
      <w:r>
        <w:rPr>
          <w:rFonts w:hint="eastAsia" w:eastAsia="仿宋"/>
          <w:color w:val="auto"/>
          <w:sz w:val="32"/>
          <w:szCs w:val="32"/>
          <w:lang w:val="en-US" w:eastAsia="zh-CN"/>
        </w:rPr>
        <w:t>8.65</w:t>
      </w:r>
      <w:r>
        <w:rPr>
          <w:rFonts w:eastAsia="仿宋"/>
          <w:color w:val="auto"/>
          <w:sz w:val="32"/>
          <w:szCs w:val="32"/>
        </w:rPr>
        <w:t>万元，基本支出</w:t>
      </w:r>
      <w:r>
        <w:rPr>
          <w:rFonts w:hint="eastAsia" w:eastAsia="仿宋"/>
          <w:color w:val="auto"/>
          <w:sz w:val="32"/>
          <w:szCs w:val="32"/>
          <w:lang w:val="en-US" w:eastAsia="zh-CN"/>
        </w:rPr>
        <w:t>1419.53</w:t>
      </w:r>
      <w:r>
        <w:rPr>
          <w:rFonts w:eastAsia="仿宋"/>
          <w:color w:val="auto"/>
          <w:sz w:val="32"/>
          <w:szCs w:val="32"/>
        </w:rPr>
        <w:t>万元，其中：人员经费</w:t>
      </w:r>
      <w:r>
        <w:rPr>
          <w:rFonts w:hint="eastAsia" w:eastAsia="仿宋"/>
          <w:color w:val="auto"/>
          <w:sz w:val="32"/>
          <w:szCs w:val="32"/>
          <w:lang w:val="en-US" w:eastAsia="zh-CN"/>
        </w:rPr>
        <w:t>541.47</w:t>
      </w:r>
      <w:r>
        <w:rPr>
          <w:rFonts w:eastAsia="仿宋"/>
          <w:color w:val="auto"/>
          <w:sz w:val="32"/>
          <w:szCs w:val="32"/>
        </w:rPr>
        <w:t>万元，公用经费</w:t>
      </w:r>
      <w:r>
        <w:rPr>
          <w:rFonts w:hint="eastAsia" w:eastAsia="仿宋"/>
          <w:color w:val="auto"/>
          <w:sz w:val="32"/>
          <w:szCs w:val="32"/>
          <w:lang w:val="en-US" w:eastAsia="zh-CN"/>
        </w:rPr>
        <w:t>878.06万</w:t>
      </w:r>
      <w:r>
        <w:rPr>
          <w:rFonts w:eastAsia="仿宋"/>
          <w:color w:val="auto"/>
          <w:sz w:val="32"/>
          <w:szCs w:val="32"/>
        </w:rPr>
        <w:t>元。</w:t>
      </w:r>
    </w:p>
    <w:p w14:paraId="1B84A2EF">
      <w:pPr>
        <w:pStyle w:val="7"/>
        <w:numPr>
          <w:ilvl w:val="0"/>
          <w:numId w:val="2"/>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29CB8D65">
      <w:pPr>
        <w:pStyle w:val="7"/>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1、项目支出8.65万元。</w:t>
      </w:r>
    </w:p>
    <w:p w14:paraId="56FB21B8">
      <w:pPr>
        <w:pStyle w:val="7"/>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14:paraId="118D3C9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_GB2312" w:cs="Times New Roman"/>
          <w:sz w:val="32"/>
          <w:szCs w:val="32"/>
          <w:highlight w:val="none"/>
          <w:lang w:val="en-US" w:eastAsia="zh-CN"/>
        </w:rPr>
        <w:t>2024年贺家土街道办事处政府性基金预算财政支出14.5万元。其中基本支出14.5万元，主要用于商品和服务支出。</w:t>
      </w:r>
    </w:p>
    <w:p w14:paraId="03C65ABD">
      <w:pPr>
        <w:pStyle w:val="7"/>
        <w:numPr>
          <w:ilvl w:val="0"/>
          <w:numId w:val="3"/>
        </w:numPr>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国有资本经营预算支出情况</w:t>
      </w:r>
    </w:p>
    <w:p w14:paraId="3774EE6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_GB2312" w:cs="Times New Roman"/>
          <w:sz w:val="32"/>
          <w:szCs w:val="32"/>
          <w:highlight w:val="none"/>
          <w:lang w:val="en-US" w:eastAsia="zh-CN"/>
        </w:rPr>
        <w:t>2024年贺家土街道办事处国有资本经营预算财政拨款支出4.82万元。其中项目支出4.82万元，主要用于商品和服务支出。</w:t>
      </w:r>
    </w:p>
    <w:p w14:paraId="4B773F7B">
      <w:pPr>
        <w:pStyle w:val="7"/>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4C3008D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仿宋_GB2312" w:cs="Times New Roman"/>
          <w:sz w:val="32"/>
          <w:szCs w:val="32"/>
          <w:highlight w:val="none"/>
          <w:lang w:val="en-US" w:eastAsia="zh-CN"/>
        </w:rPr>
        <w:t>无。</w:t>
      </w:r>
    </w:p>
    <w:p w14:paraId="35567A63">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37DCFB6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13194D8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年，贺家土街道紧扣区委、区政府“</w:t>
      </w:r>
      <w:r>
        <w:rPr>
          <w:rFonts w:hint="default" w:ascii="Times New Roman" w:hAnsi="Times New Roman" w:eastAsia="仿宋_GB2312" w:cs="Times New Roman"/>
          <w:sz w:val="32"/>
          <w:szCs w:val="32"/>
          <w:highlight w:val="none"/>
          <w:lang w:val="en-US" w:eastAsia="zh-CN"/>
        </w:rPr>
        <w:t>128</w:t>
      </w:r>
      <w:r>
        <w:rPr>
          <w:rFonts w:hint="eastAsia" w:ascii="Times New Roman" w:hAnsi="Times New Roman" w:eastAsia="仿宋_GB2312" w:cs="Times New Roman"/>
          <w:sz w:val="32"/>
          <w:szCs w:val="32"/>
          <w:highlight w:val="none"/>
          <w:lang w:val="en-US" w:eastAsia="zh-CN"/>
        </w:rPr>
        <w:t>”发展思路，攻坚克难，担当作为，较好完成各项工作任务，街道经济社会发展呈现稳中向好、稳中提质的良好态势。</w:t>
      </w:r>
    </w:p>
    <w:p w14:paraId="04CFE07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坚定不移强引领、促融合。持续发力抓基层、强基础、固基本，推动基层党建工作全面进步全面过硬。一是政治建设常抓不懈。紧扣学习宣传贯彻党的二十大主线，高质量落实第一议题、中心组学习、主题党日等制度，做到“规定动作”严格执行不走样。组织微党课讲授</w:t>
      </w:r>
      <w:r>
        <w:rPr>
          <w:rFonts w:hint="default" w:ascii="Times New Roman" w:hAnsi="Times New Roman" w:eastAsia="仿宋_GB2312" w:cs="Times New Roman"/>
          <w:sz w:val="32"/>
          <w:szCs w:val="32"/>
          <w:highlight w:val="none"/>
          <w:lang w:val="en-US" w:eastAsia="zh-CN"/>
        </w:rPr>
        <w:t>180</w:t>
      </w:r>
      <w:r>
        <w:rPr>
          <w:rFonts w:hint="eastAsia" w:ascii="Times New Roman" w:hAnsi="Times New Roman" w:eastAsia="仿宋_GB2312" w:cs="Times New Roman"/>
          <w:sz w:val="32"/>
          <w:szCs w:val="32"/>
          <w:highlight w:val="none"/>
          <w:lang w:val="en-US" w:eastAsia="zh-CN"/>
        </w:rPr>
        <w:t>余次、理论宣讲100余次，城市基层党建工作经验多次被省委组织部红星云、株洲党建等媒体宣传推介。二是基层党建卓有成效。首创预安销号制度进小区、进楼栋，抓实洗煤厂小区治理攻坚，举办区“幸福邻里节”主会场活动，街道“大工委”入选全市基层治理创新案例，翡翠园B区、湘园小区获评全市红色物业示范项目。扎实做好基层减负工作，推进破解“小马拉大车”突出问题。</w:t>
      </w:r>
      <w:r>
        <w:rPr>
          <w:rFonts w:hint="default" w:ascii="Times New Roman" w:hAnsi="Times New Roman" w:eastAsia="仿宋_GB2312" w:cs="Times New Roman"/>
          <w:sz w:val="32"/>
          <w:szCs w:val="32"/>
          <w:highlight w:val="none"/>
          <w:lang w:val="en-US" w:eastAsia="zh-CN"/>
        </w:rPr>
        <w:t>深化“三长制”，充分发挥邻长作用，选聘楼栋长358名，激发更多居民参与小区治理。</w:t>
      </w:r>
      <w:r>
        <w:rPr>
          <w:rFonts w:hint="eastAsia" w:ascii="Times New Roman" w:hAnsi="Times New Roman" w:eastAsia="仿宋_GB2312" w:cs="Times New Roman"/>
          <w:sz w:val="32"/>
          <w:szCs w:val="32"/>
          <w:highlight w:val="none"/>
          <w:lang w:val="en-US" w:eastAsia="zh-CN"/>
        </w:rPr>
        <w:t>三是作风建设纵深推进。稳步推进党纪学习教育，开展廉政谈话80余人次，观看警示教育片1800余人次。依托小微权力监督一点通平台，加强居务办理全过程透明化，自觉接受群众监督，办理工单253件。用好主要工作预安销号制度这一抓手，有效提升工作执行力，全年区级预安事项11件，街道级预安事项355件，均已按照时间节点圆满完成。扎实开展群众身边不正之风和腐败问题集中整治工作，加强监督执纪，处置问题线索15件，给予党纪、政务处分共9人，诫勉谈话1人。</w:t>
      </w:r>
    </w:p>
    <w:p w14:paraId="5B743CA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全力以赴拼经济、扩主体。坚持优化营商环境，完善班子成员分片包干联系企业机制，主动送服务上门，真心服务好辖区32家“四上企业”在内的各类市场主体，全力做好减税降费政策宣传、就业创业惠企宣传等工作，着力营造“人人都是营商环境、处处优化营商环境”良好氛围。深入挖掘小巷文化，全面推动麻园巷“蝶变”升级，再添贺家土打卡新地标，麻园巷获评株洲市最美微景观。以“重大项目攻坚年”为抓手，全力服务好“芦淞·</w:t>
      </w:r>
      <w:r>
        <w:rPr>
          <w:rFonts w:hint="default" w:ascii="Times New Roman" w:hAnsi="Times New Roman" w:eastAsia="仿宋_GB2312" w:cs="Times New Roman"/>
          <w:sz w:val="32"/>
          <w:szCs w:val="32"/>
          <w:highlight w:val="none"/>
          <w:lang w:val="en-US" w:eastAsia="zh-CN"/>
        </w:rPr>
        <w:t>1937</w:t>
      </w:r>
      <w:r>
        <w:rPr>
          <w:rFonts w:hint="eastAsia" w:ascii="Times New Roman" w:hAnsi="Times New Roman" w:eastAsia="仿宋_GB2312" w:cs="Times New Roman"/>
          <w:sz w:val="32"/>
          <w:szCs w:val="32"/>
          <w:highlight w:val="none"/>
          <w:lang w:val="en-US" w:eastAsia="zh-CN"/>
        </w:rPr>
        <w:t>”文创园项目，及时跟进项目进展，积极协助项目招商引资、政策争取等工作，推进项目早日落地转化，副省长蒋涤非来株调研时给予肯定评价。高质高效完成五经普工作任务，清查单位788家，个体户4009家，较四经普分别增长28%、62%，非一套表单位增加值总量11.28亿元，占比达101.3%。完成2家“四上”企业培育任务，积极配合完成全省住户样本轮换工作，全面动员各类资源跑项争资，确保争取更多区级财政预算外资金。</w:t>
      </w:r>
    </w:p>
    <w:p w14:paraId="1231B38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（三）一以贯之抓安全、保稳定。充分发挥大塘冲社区“法治社区”示范点的辐射带动作用，培养</w:t>
      </w:r>
      <w:r>
        <w:rPr>
          <w:rFonts w:hint="default"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lang w:val="en-US" w:eastAsia="zh-CN"/>
        </w:rPr>
        <w:t>名社区两委干部“法律明白人”，为居民提供法律咨询服务600余人次，源头化解矛盾纠纷40件，调解率达100%。快速妥善做好9.23重大交通事故善后工作，成功化解刘伏桂长达6年信访积案、省直中医院医疗纠纷案等，办理网信件17件，越级上访且登记数量较去年同比下降95.8%。持续狠抓金融风险工作，通过主动摸排上报，成功捣毁民爽富APP非法集资线下实体点（悠鲜谷公益食堂），全力守护好群众钱袋子。全面开展安全生产隐患排查整治，组织执法检查186次，检查生产经营单位600余家，排查整治安全隐患126处。严格落实汛期24小时领导带班值班制度，聚焦辖区内涝易发区、低洼地带等重点区域，强化巡防排查，打赢防汛排涝“主动仗”。同时积极践行守望相助理念，在今年7月的防汛抗洪工作中，输送17名干部、民兵前往岳阳、湘潭支援，全力保障人民群众生命财产安全。</w:t>
      </w:r>
    </w:p>
    <w:p w14:paraId="449669E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用心用情办实事、增福祉。紧盯群众“急难愁盼”问题，切实为群众办实事解难题，交出为民服务满意答卷。一是社会保障全面夯实。扎实做好特殊困难群体、优抚对象、就业服务对象的帮扶补贴工作，发放低保救助金额23.7万元，发放高龄补贴1992人次。举办就业招聘会8场，“311”就业服务5780次，曹塘坝社区、大园社区分别获评省级、市级充分就业社区，贺家土夜宵一条街获评株洲市城市管理精细化示范街。二是民生实事快速推进。着力打造3所健康小屋，成立贺家土街道综合养老服务中心，首创株洲市“中医早市”，副省长李建中来株调研时给予高度肯定，街道获评“智慧医养康一体化技术应用与研究华中应用示范街道”，漂家井社区获评省级老年认知障碍照护友好社区。紧盯群众反映强烈的问题，检修辖区路灯140余盏，推进洗煤小区改造，完成银环大厦电改、广冶大厦和公园8号消防火灾隐患问题整改。三是志愿服务亮点纷呈。充分调动机关单位、企业商户、党员志愿者等多方力量，凝聚80余个基层“朋友圈”力量，全年组织开展志愿服务活动300余场，惠及群众5000余人次。打造“OK到家”工会驿站，新建6个新就业形态劳动者之家，创新志愿服务形式，以何梦花为代表的志愿服务队，志愿服务事迹获央视新闻报道。</w:t>
      </w:r>
    </w:p>
    <w:p w14:paraId="3AEBDE2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综上所述，202</w:t>
      </w:r>
      <w:r>
        <w:rPr>
          <w:rFonts w:hint="eastAsia"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年度我单位全体干部职工</w:t>
      </w:r>
      <w:r>
        <w:rPr>
          <w:rFonts w:hint="default" w:ascii="Times New Roman" w:hAnsi="Times New Roman" w:eastAsia="仿宋_GB2312" w:cs="Times New Roman"/>
          <w:kern w:val="2"/>
          <w:sz w:val="32"/>
          <w:szCs w:val="32"/>
          <w:highlight w:val="none"/>
          <w:lang w:val="en-US" w:eastAsia="zh-CN" w:bidi="ar-SA"/>
        </w:rPr>
        <w:t>苦干实干</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主动作为，一心一意谋发展，全力以赴抓项目，实现了经济平稳健康发展。坚持</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以人民为中心的发展思想</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，着力解决了一批群众关心的热点难点问题，努力让人民群众享有更高水平的物质生活，更高层次的公共服务，更高质量的</w:t>
      </w:r>
      <w:r>
        <w:rPr>
          <w:rFonts w:hint="eastAsia" w:ascii="Times New Roman" w:hAnsi="Times New Roman" w:eastAsia="仿宋_GB2312" w:cs="Times New Roman"/>
          <w:kern w:val="2"/>
          <w:sz w:val="32"/>
          <w:szCs w:val="32"/>
          <w:highlight w:val="none"/>
          <w:lang w:val="en-US" w:eastAsia="zh-CN" w:bidi="ar-SA"/>
        </w:rPr>
        <w:t>宜居环境</w:t>
      </w:r>
      <w:r>
        <w:rPr>
          <w:rFonts w:hint="default" w:ascii="Times New Roman" w:hAnsi="Times New Roman" w:eastAsia="仿宋_GB2312" w:cs="Times New Roman"/>
          <w:kern w:val="2"/>
          <w:sz w:val="32"/>
          <w:szCs w:val="32"/>
          <w:highlight w:val="none"/>
          <w:lang w:val="en-US" w:eastAsia="zh-CN" w:bidi="ar-SA"/>
        </w:rPr>
        <w:t>。</w:t>
      </w:r>
    </w:p>
    <w:p w14:paraId="327B83EE">
      <w:pPr>
        <w:spacing w:line="600" w:lineRule="exact"/>
        <w:ind w:firstLine="643" w:firstLineChars="200"/>
        <w:rPr>
          <w:rFonts w:hint="eastAsia" w:ascii="Times New Roman" w:hAnsi="Times New Roman" w:eastAsia="楷体_GB2312" w:cs="Times New Roman"/>
          <w:b/>
          <w:kern w:val="2"/>
          <w:sz w:val="32"/>
          <w:szCs w:val="32"/>
          <w:highlight w:val="none"/>
          <w:lang w:val="en-US" w:eastAsia="zh-CN" w:bidi="ar-SA"/>
        </w:rPr>
      </w:pPr>
      <w:r>
        <w:rPr>
          <w:rFonts w:hint="eastAsia" w:eastAsia="楷体_GB2312" w:cs="Times New Roman"/>
          <w:b/>
          <w:kern w:val="2"/>
          <w:sz w:val="32"/>
          <w:szCs w:val="32"/>
          <w:highlight w:val="none"/>
          <w:lang w:val="en-US" w:eastAsia="zh-CN" w:bidi="ar-SA"/>
        </w:rPr>
        <w:t>（二）</w:t>
      </w:r>
      <w:r>
        <w:rPr>
          <w:rFonts w:hint="eastAsia" w:ascii="Times New Roman" w:hAnsi="Times New Roman" w:eastAsia="楷体_GB2312" w:cs="Times New Roman"/>
          <w:b/>
          <w:kern w:val="2"/>
          <w:sz w:val="32"/>
          <w:szCs w:val="32"/>
          <w:highlight w:val="none"/>
          <w:lang w:val="en-US" w:eastAsia="zh-CN" w:bidi="ar-SA"/>
        </w:rPr>
        <w:t>专项资金支出绩效情况</w:t>
      </w:r>
    </w:p>
    <w:p w14:paraId="1BCAE52A">
      <w:pPr>
        <w:pStyle w:val="7"/>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无。</w:t>
      </w:r>
    </w:p>
    <w:p w14:paraId="55C52BBE">
      <w:pPr>
        <w:pStyle w:val="7"/>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3D168041">
      <w:pPr>
        <w:pStyle w:val="2"/>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1.绩效评价工作机制有待进一步完善，由于在平时工作中未加强对绩效监控工作的重视，绩效监控工作容易滞后。</w:t>
      </w:r>
    </w:p>
    <w:p w14:paraId="06620098">
      <w:pPr>
        <w:pStyle w:val="2"/>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2.预算编制工作有待细化。预算编制不够明确和细化，预算编制的合理性需要提高。预算执行力度还要进一步加强。</w:t>
      </w:r>
    </w:p>
    <w:p w14:paraId="14EEDFC0">
      <w:pPr>
        <w:spacing w:line="600" w:lineRule="exact"/>
        <w:ind w:firstLine="640" w:firstLineChars="200"/>
        <w:rPr>
          <w:rFonts w:eastAsia="黑体"/>
          <w:sz w:val="32"/>
          <w:szCs w:val="32"/>
        </w:rPr>
      </w:pPr>
      <w:r>
        <w:rPr>
          <w:rFonts w:eastAsia="黑体"/>
          <w:sz w:val="32"/>
          <w:szCs w:val="32"/>
        </w:rPr>
        <w:t>八、下一步改进措施</w:t>
      </w:r>
    </w:p>
    <w:p w14:paraId="5CBFD1E4">
      <w:pPr>
        <w:pStyle w:val="2"/>
        <w:keepNext w:val="0"/>
        <w:keepLines w:val="0"/>
        <w:pageBreakBefore w:val="0"/>
        <w:kinsoku/>
        <w:wordWrap/>
        <w:overflowPunct/>
        <w:topLinePunct w:val="0"/>
        <w:autoSpaceDE/>
        <w:autoSpaceDN/>
        <w:bidi w:val="0"/>
        <w:spacing w:line="560" w:lineRule="exact"/>
        <w:ind w:firstLine="640"/>
        <w:textAlignment w:val="auto"/>
      </w:pPr>
      <w:r>
        <w:rPr>
          <w:rFonts w:hint="eastAsia" w:ascii="Times New Roman" w:hAnsi="Times New Roman" w:eastAsia="仿宋_GB2312" w:cs="Times New Roman"/>
          <w:sz w:val="32"/>
          <w:szCs w:val="32"/>
          <w:highlight w:val="none"/>
        </w:rPr>
        <w:t>加强</w:t>
      </w:r>
      <w:r>
        <w:rPr>
          <w:rFonts w:hint="eastAsia" w:ascii="Times New Roman" w:hAnsi="Times New Roman" w:eastAsia="仿宋_GB2312" w:cs="Times New Roman"/>
          <w:sz w:val="32"/>
          <w:szCs w:val="32"/>
          <w:highlight w:val="none"/>
          <w:lang w:eastAsia="zh-CN"/>
        </w:rPr>
        <w:t>绩效管理</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提高绩效管理水平。一是</w:t>
      </w:r>
      <w:r>
        <w:rPr>
          <w:rFonts w:hint="eastAsia" w:ascii="Times New Roman" w:hAnsi="Times New Roman" w:eastAsia="仿宋_GB2312" w:cs="Times New Roman"/>
          <w:sz w:val="32"/>
          <w:szCs w:val="32"/>
          <w:highlight w:val="none"/>
        </w:rPr>
        <w:t>提高对预算编制与执行的认识，让各部门了解绩效工作，为绩效评价工作开展创造好的条件</w:t>
      </w:r>
      <w:r>
        <w:rPr>
          <w:rFonts w:hint="eastAsia" w:ascii="Times New Roman" w:hAnsi="Times New Roman" w:eastAsia="仿宋_GB2312" w:cs="Times New Roman"/>
          <w:sz w:val="32"/>
          <w:szCs w:val="32"/>
          <w:highlight w:val="none"/>
          <w:lang w:eastAsia="zh-CN"/>
        </w:rPr>
        <w:t>。二是聘请专业人员组织开展预算绩效管理相关培训提高绩效管理水平。三是</w:t>
      </w:r>
      <w:r>
        <w:rPr>
          <w:rFonts w:hint="eastAsia" w:ascii="Times New Roman" w:hAnsi="Times New Roman" w:eastAsia="仿宋_GB2312" w:cs="Times New Roman"/>
          <w:sz w:val="32"/>
          <w:szCs w:val="32"/>
          <w:highlight w:val="none"/>
          <w:lang w:val="en-US" w:eastAsia="zh-CN"/>
        </w:rPr>
        <w:t>加强预算编制的精细程度，确保预算资金的科学性、细致性、准确性。</w:t>
      </w:r>
    </w:p>
    <w:p w14:paraId="0EDEEA2C">
      <w:pPr>
        <w:numPr>
          <w:ilvl w:val="0"/>
          <w:numId w:val="4"/>
        </w:numPr>
        <w:spacing w:line="600" w:lineRule="exact"/>
        <w:ind w:firstLine="640" w:firstLineChars="200"/>
        <w:rPr>
          <w:rFonts w:eastAsia="黑体"/>
          <w:sz w:val="32"/>
          <w:szCs w:val="32"/>
        </w:rPr>
      </w:pPr>
      <w:r>
        <w:rPr>
          <w:rFonts w:eastAsia="黑体"/>
          <w:sz w:val="32"/>
          <w:szCs w:val="32"/>
        </w:rPr>
        <w:t>绩效自评结果拟应用和公开情况</w:t>
      </w:r>
    </w:p>
    <w:p w14:paraId="13C390E0">
      <w:pPr>
        <w:pStyle w:val="2"/>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我单位</w:t>
      </w:r>
      <w:r>
        <w:rPr>
          <w:rFonts w:hint="eastAsia" w:ascii="Times New Roman" w:hAnsi="Times New Roman" w:eastAsia="仿宋_GB2312" w:cs="Times New Roman"/>
          <w:sz w:val="32"/>
          <w:szCs w:val="32"/>
          <w:highlight w:val="none"/>
        </w:rPr>
        <w:t>以绩效评价结果为导向，并通过资金使用效率的优化，降低服务成本，真正建立起服务型和效能型政府。</w:t>
      </w:r>
    </w:p>
    <w:p w14:paraId="42D37663">
      <w:pPr>
        <w:pStyle w:val="2"/>
        <w:keepNext w:val="0"/>
        <w:keepLines w:val="0"/>
        <w:pageBreakBefore w:val="0"/>
        <w:kinsoku/>
        <w:wordWrap/>
        <w:overflowPunct/>
        <w:topLinePunct w:val="0"/>
        <w:autoSpaceDE/>
        <w:autoSpaceDN/>
        <w:bidi w:val="0"/>
        <w:spacing w:line="560" w:lineRule="exact"/>
        <w:ind w:firstLine="640"/>
        <w:textAlignment w:val="auto"/>
      </w:pPr>
      <w:r>
        <w:rPr>
          <w:rFonts w:hint="eastAsia" w:ascii="Times New Roman" w:hAnsi="Times New Roman" w:eastAsia="仿宋_GB2312" w:cs="Times New Roman"/>
          <w:sz w:val="32"/>
          <w:szCs w:val="32"/>
          <w:highlight w:val="none"/>
          <w:lang w:val="en-US" w:eastAsia="zh-CN"/>
        </w:rPr>
        <w:t>本单位无独立网站，绩效自评报告将在政府门户网站与决算报告一起公开。</w:t>
      </w:r>
    </w:p>
    <w:p w14:paraId="17A7A05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3D871159">
      <w:pPr>
        <w:spacing w:line="600" w:lineRule="exact"/>
        <w:ind w:firstLine="640" w:firstLineChars="200"/>
      </w:pPr>
      <w:r>
        <w:rPr>
          <w:rFonts w:hint="eastAsia" w:eastAsia="仿宋_GB2312"/>
          <w:kern w:val="0"/>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CE5A"/>
    <w:multiLevelType w:val="singleLevel"/>
    <w:tmpl w:val="94C1CE5A"/>
    <w:lvl w:ilvl="0" w:tentative="0">
      <w:start w:val="2"/>
      <w:numFmt w:val="chineseCounting"/>
      <w:suff w:val="nothing"/>
      <w:lvlText w:val="（%1）"/>
      <w:lvlJc w:val="left"/>
      <w:rPr>
        <w:rFonts w:hint="eastAsia"/>
      </w:rPr>
    </w:lvl>
  </w:abstractNum>
  <w:abstractNum w:abstractNumId="1">
    <w:nsid w:val="D1EA74DF"/>
    <w:multiLevelType w:val="singleLevel"/>
    <w:tmpl w:val="D1EA74DF"/>
    <w:lvl w:ilvl="0" w:tentative="0">
      <w:start w:val="9"/>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728C14B2"/>
    <w:multiLevelType w:val="singleLevel"/>
    <w:tmpl w:val="728C14B2"/>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4E46306"/>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435263"/>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D8C530F"/>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6A7E0F"/>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C970D2A"/>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08731D"/>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Calibri" w:hAnsi="Calibri" w:eastAsia="仿宋_GB2312" w:cs="Times New Roman"/>
      <w:sz w:val="36"/>
    </w:rPr>
  </w:style>
  <w:style w:type="paragraph" w:styleId="3">
    <w:name w:val="Body Text Indent"/>
    <w:basedOn w:val="1"/>
    <w:next w:val="1"/>
    <w:qFormat/>
    <w:uiPriority w:val="99"/>
    <w:pPr>
      <w:spacing w:after="120"/>
      <w:ind w:left="420" w:left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3688</Words>
  <Characters>3865</Characters>
  <Lines>0</Lines>
  <Paragraphs>0</Paragraphs>
  <TotalTime>47</TotalTime>
  <ScaleCrop>false</ScaleCrop>
  <LinksUpToDate>false</LinksUpToDate>
  <CharactersWithSpaces>3865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2026-01-26T02:48:48Z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5EF9C77B9D5F40B6ABB195A3307BED75_13</vt:lpwstr>
  </property>
</Properties>
</file>