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E3832">
      <w:pPr>
        <w:pStyle w:val="10"/>
        <w:rPr>
          <w:rFonts w:ascii="Times New Roman" w:hAnsi="Times New Roman" w:cs="Times New Roman"/>
          <w:color w:val="auto"/>
          <w:sz w:val="32"/>
          <w:szCs w:val="32"/>
        </w:rPr>
      </w:pPr>
    </w:p>
    <w:p w14:paraId="55C47C66">
      <w:pPr>
        <w:pStyle w:val="10"/>
        <w:jc w:val="center"/>
        <w:rPr>
          <w:rFonts w:ascii="Times New Roman" w:hAnsi="Times New Roman" w:cs="Times New Roman"/>
          <w:color w:val="auto"/>
          <w:sz w:val="56"/>
          <w:szCs w:val="56"/>
        </w:rPr>
      </w:pPr>
    </w:p>
    <w:p w14:paraId="23ACD487">
      <w:pPr>
        <w:pStyle w:val="10"/>
        <w:jc w:val="center"/>
        <w:rPr>
          <w:rFonts w:ascii="Times New Roman" w:hAnsi="Times New Roman" w:cs="Times New Roman"/>
          <w:color w:val="auto"/>
          <w:sz w:val="84"/>
          <w:szCs w:val="84"/>
        </w:rPr>
      </w:pPr>
    </w:p>
    <w:p w14:paraId="36F3CA34">
      <w:pPr>
        <w:pStyle w:val="10"/>
        <w:jc w:val="center"/>
        <w:rPr>
          <w:rFonts w:ascii="Times New Roman" w:hAnsi="Times New Roman" w:cs="Times New Roman"/>
          <w:color w:val="auto"/>
          <w:sz w:val="84"/>
          <w:szCs w:val="84"/>
        </w:rPr>
      </w:pPr>
    </w:p>
    <w:p w14:paraId="2B1CA7D5">
      <w:pPr>
        <w:pStyle w:val="10"/>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2019年度</w:t>
      </w:r>
    </w:p>
    <w:p w14:paraId="09E778C3">
      <w:pPr>
        <w:pStyle w:val="10"/>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中共醴陵市委组织部</w:t>
      </w:r>
    </w:p>
    <w:p w14:paraId="4A7051F1">
      <w:pPr>
        <w:pStyle w:val="10"/>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部门决算</w:t>
      </w:r>
    </w:p>
    <w:p w14:paraId="05BD3565">
      <w:pPr>
        <w:pStyle w:val="10"/>
        <w:spacing w:before="240"/>
        <w:jc w:val="center"/>
        <w:rPr>
          <w:rFonts w:ascii="Times New Roman" w:hAnsi="Times New Roman" w:cs="Times New Roman"/>
          <w:color w:val="auto"/>
          <w:sz w:val="56"/>
          <w:szCs w:val="56"/>
        </w:rPr>
      </w:pPr>
    </w:p>
    <w:p w14:paraId="7FEFE252">
      <w:pPr>
        <w:pStyle w:val="10"/>
        <w:jc w:val="center"/>
        <w:rPr>
          <w:rFonts w:ascii="Times New Roman" w:hAnsi="Times New Roman" w:cs="Times New Roman"/>
          <w:color w:val="auto"/>
          <w:sz w:val="56"/>
          <w:szCs w:val="56"/>
        </w:rPr>
      </w:pPr>
    </w:p>
    <w:p w14:paraId="184A952E">
      <w:pPr>
        <w:pStyle w:val="10"/>
        <w:jc w:val="center"/>
        <w:rPr>
          <w:rFonts w:ascii="Times New Roman" w:hAnsi="Times New Roman" w:cs="Times New Roman"/>
          <w:color w:val="auto"/>
          <w:sz w:val="56"/>
          <w:szCs w:val="56"/>
        </w:rPr>
      </w:pPr>
    </w:p>
    <w:p w14:paraId="08FDDDB7">
      <w:pPr>
        <w:pStyle w:val="10"/>
        <w:jc w:val="center"/>
        <w:rPr>
          <w:rFonts w:ascii="Times New Roman" w:hAnsi="Times New Roman" w:cs="Times New Roman"/>
          <w:color w:val="auto"/>
          <w:sz w:val="56"/>
          <w:szCs w:val="56"/>
        </w:rPr>
      </w:pPr>
    </w:p>
    <w:p w14:paraId="5AF8CE19">
      <w:pPr>
        <w:pStyle w:val="10"/>
        <w:jc w:val="center"/>
        <w:rPr>
          <w:rFonts w:ascii="Times New Roman" w:hAnsi="Times New Roman" w:cs="Times New Roman"/>
          <w:color w:val="auto"/>
          <w:sz w:val="56"/>
          <w:szCs w:val="56"/>
        </w:rPr>
      </w:pPr>
    </w:p>
    <w:p w14:paraId="4F7BB49E">
      <w:pPr>
        <w:pStyle w:val="10"/>
        <w:jc w:val="center"/>
        <w:rPr>
          <w:rFonts w:ascii="Times New Roman" w:hAnsi="Times New Roman" w:cs="Times New Roman"/>
          <w:color w:val="auto"/>
          <w:sz w:val="56"/>
          <w:szCs w:val="56"/>
        </w:rPr>
      </w:pPr>
    </w:p>
    <w:p w14:paraId="134B9120">
      <w:pPr>
        <w:pStyle w:val="10"/>
        <w:spacing w:line="60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目  录</w:t>
      </w:r>
    </w:p>
    <w:p w14:paraId="58FF7E01">
      <w:pPr>
        <w:pStyle w:val="10"/>
        <w:spacing w:line="500" w:lineRule="exact"/>
        <w:jc w:val="both"/>
        <w:rPr>
          <w:rFonts w:ascii="Times New Roman" w:hAnsi="Times New Roman" w:eastAsia="仿宋_GB2312" w:cs="Times New Roman"/>
          <w:b/>
          <w:color w:val="auto"/>
          <w:sz w:val="28"/>
          <w:szCs w:val="28"/>
        </w:rPr>
      </w:pPr>
    </w:p>
    <w:p w14:paraId="487A28CA">
      <w:pPr>
        <w:pStyle w:val="10"/>
        <w:spacing w:line="500" w:lineRule="exact"/>
        <w:jc w:val="both"/>
        <w:rPr>
          <w:rFonts w:ascii="Times New Roman" w:hAnsi="Times New Roman" w:cs="Times New Roman"/>
          <w:color w:val="auto"/>
          <w:sz w:val="32"/>
          <w:szCs w:val="32"/>
        </w:rPr>
      </w:pPr>
      <w:r>
        <w:rPr>
          <w:rFonts w:ascii="Times New Roman" w:hAnsi="Times New Roman" w:cs="Times New Roman"/>
          <w:color w:val="auto"/>
          <w:sz w:val="32"/>
          <w:szCs w:val="32"/>
        </w:rPr>
        <w:t>第一部分  中共醴陵市委组织部单位概况</w:t>
      </w:r>
    </w:p>
    <w:p w14:paraId="1FB96A93">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一、部门职责</w:t>
      </w:r>
    </w:p>
    <w:p w14:paraId="4ECDDBC7">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二、机构设置</w:t>
      </w:r>
    </w:p>
    <w:p w14:paraId="7F8E37CE">
      <w:pPr>
        <w:pStyle w:val="10"/>
        <w:spacing w:line="500" w:lineRule="exact"/>
        <w:jc w:val="both"/>
        <w:rPr>
          <w:rFonts w:ascii="Times New Roman" w:hAnsi="Times New Roman" w:cs="Times New Roman"/>
          <w:color w:val="auto"/>
          <w:sz w:val="32"/>
          <w:szCs w:val="32"/>
        </w:rPr>
      </w:pPr>
      <w:r>
        <w:rPr>
          <w:rFonts w:ascii="Times New Roman" w:hAnsi="Times New Roman" w:cs="Times New Roman"/>
          <w:color w:val="auto"/>
          <w:sz w:val="32"/>
          <w:szCs w:val="32"/>
        </w:rPr>
        <w:t>第二部分  2019年度部门决算表</w:t>
      </w:r>
    </w:p>
    <w:p w14:paraId="5FA75EB4">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一、收入支出决算总表</w:t>
      </w:r>
    </w:p>
    <w:p w14:paraId="2C34C6F8">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二、收入决算表</w:t>
      </w:r>
    </w:p>
    <w:p w14:paraId="0FC35DB4">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三、支出决算表</w:t>
      </w:r>
    </w:p>
    <w:p w14:paraId="49986C4C">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四、财政拨款收入支出决算总表</w:t>
      </w:r>
    </w:p>
    <w:p w14:paraId="4AE293BB">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五、一般公共预算财政拨款支出决算表</w:t>
      </w:r>
    </w:p>
    <w:p w14:paraId="7A1EAC8F">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六、一般公共预算财政拨款基本支出决算表</w:t>
      </w:r>
    </w:p>
    <w:p w14:paraId="7737E05A">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七、一般公共预算财政拨款“三公”经费支出决算表</w:t>
      </w:r>
    </w:p>
    <w:p w14:paraId="1E89B161">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八、政府性基金预算财政拨款收入支出决算表</w:t>
      </w:r>
    </w:p>
    <w:p w14:paraId="47D585F1">
      <w:pPr>
        <w:pStyle w:val="10"/>
        <w:spacing w:line="500" w:lineRule="exact"/>
        <w:jc w:val="both"/>
        <w:rPr>
          <w:rFonts w:ascii="Times New Roman" w:hAnsi="Times New Roman" w:cs="Times New Roman"/>
          <w:color w:val="auto"/>
          <w:sz w:val="32"/>
          <w:szCs w:val="32"/>
        </w:rPr>
      </w:pPr>
      <w:r>
        <w:rPr>
          <w:rFonts w:ascii="Times New Roman" w:hAnsi="Times New Roman" w:cs="Times New Roman"/>
          <w:color w:val="auto"/>
          <w:sz w:val="32"/>
          <w:szCs w:val="32"/>
        </w:rPr>
        <w:t>第三部分  2019年度部门决算情况说明</w:t>
      </w:r>
    </w:p>
    <w:p w14:paraId="079F7BD9">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一、收入支出决算总体情况说明</w:t>
      </w:r>
    </w:p>
    <w:p w14:paraId="6E35AE4B">
      <w:pPr>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906964C">
      <w:pPr>
        <w:autoSpaceDE w:val="0"/>
        <w:autoSpaceDN w:val="0"/>
        <w:adjustRightInd w:val="0"/>
        <w:spacing w:line="5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三、支出决算情况说明</w:t>
      </w:r>
    </w:p>
    <w:p w14:paraId="69DF6849">
      <w:pPr>
        <w:autoSpaceDE w:val="0"/>
        <w:autoSpaceDN w:val="0"/>
        <w:adjustRightInd w:val="0"/>
        <w:spacing w:line="5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四、财政拨款收入支出决算总体情况说明</w:t>
      </w:r>
    </w:p>
    <w:p w14:paraId="244F1D21">
      <w:pPr>
        <w:autoSpaceDE w:val="0"/>
        <w:autoSpaceDN w:val="0"/>
        <w:adjustRightInd w:val="0"/>
        <w:spacing w:line="5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五、一般公共预算财政拨款支出决算情况说明</w:t>
      </w:r>
    </w:p>
    <w:p w14:paraId="375498FD">
      <w:pPr>
        <w:autoSpaceDE w:val="0"/>
        <w:autoSpaceDN w:val="0"/>
        <w:adjustRightInd w:val="0"/>
        <w:spacing w:line="5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六、一般公共预算财政拨款基本支出决算情况说明</w:t>
      </w:r>
    </w:p>
    <w:p w14:paraId="6DD2D935">
      <w:pPr>
        <w:autoSpaceDE w:val="0"/>
        <w:autoSpaceDN w:val="0"/>
        <w:adjustRightInd w:val="0"/>
        <w:spacing w:line="5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七、一般公共预算财政拨款三公经费支出决算情况说明</w:t>
      </w:r>
    </w:p>
    <w:p w14:paraId="0D3ACEC4">
      <w:pPr>
        <w:autoSpaceDE w:val="0"/>
        <w:autoSpaceDN w:val="0"/>
        <w:adjustRightInd w:val="0"/>
        <w:spacing w:line="5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八、政府性基金预算收入支出决算情况</w:t>
      </w:r>
    </w:p>
    <w:p w14:paraId="5ACCCE25">
      <w:pPr>
        <w:autoSpaceDE w:val="0"/>
        <w:autoSpaceDN w:val="0"/>
        <w:adjustRightInd w:val="0"/>
        <w:spacing w:line="5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九、预算绩效情况说明</w:t>
      </w:r>
    </w:p>
    <w:p w14:paraId="3AC280C0">
      <w:pPr>
        <w:autoSpaceDE w:val="0"/>
        <w:autoSpaceDN w:val="0"/>
        <w:adjustRightInd w:val="0"/>
        <w:spacing w:line="5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十、其他重要事项情况说明</w:t>
      </w:r>
    </w:p>
    <w:p w14:paraId="5275CD98">
      <w:pPr>
        <w:pStyle w:val="10"/>
        <w:spacing w:line="500" w:lineRule="exact"/>
        <w:jc w:val="both"/>
        <w:rPr>
          <w:rFonts w:ascii="Times New Roman" w:hAnsi="Times New Roman" w:cs="Times New Roman"/>
          <w:color w:val="auto"/>
          <w:sz w:val="32"/>
          <w:szCs w:val="32"/>
        </w:rPr>
      </w:pPr>
      <w:r>
        <w:rPr>
          <w:rFonts w:ascii="Times New Roman" w:hAnsi="Times New Roman" w:cs="Times New Roman"/>
          <w:color w:val="auto"/>
          <w:sz w:val="32"/>
          <w:szCs w:val="32"/>
        </w:rPr>
        <w:t>第四部分  名词解释</w:t>
      </w:r>
    </w:p>
    <w:p w14:paraId="067B6265">
      <w:pPr>
        <w:pStyle w:val="10"/>
        <w:spacing w:line="500" w:lineRule="exact"/>
        <w:jc w:val="both"/>
        <w:rPr>
          <w:rFonts w:ascii="Times New Roman" w:hAnsi="Times New Roman" w:cs="Times New Roman"/>
          <w:color w:val="auto"/>
          <w:sz w:val="32"/>
          <w:szCs w:val="32"/>
        </w:rPr>
      </w:pPr>
      <w:r>
        <w:rPr>
          <w:rFonts w:ascii="Times New Roman" w:hAnsi="Times New Roman" w:cs="Times New Roman"/>
          <w:color w:val="auto"/>
          <w:sz w:val="32"/>
          <w:szCs w:val="32"/>
        </w:rPr>
        <w:t>第五部分  其他</w:t>
      </w:r>
    </w:p>
    <w:p w14:paraId="7732B609">
      <w:pPr>
        <w:rPr>
          <w:rFonts w:ascii="Times New Roman" w:hAnsi="Times New Roman" w:cs="Times New Roman"/>
          <w:sz w:val="72"/>
          <w:szCs w:val="72"/>
        </w:rPr>
      </w:pPr>
    </w:p>
    <w:p w14:paraId="66231FC7">
      <w:pPr>
        <w:rPr>
          <w:rFonts w:ascii="Times New Roman" w:hAnsi="Times New Roman" w:cs="Times New Roman"/>
          <w:sz w:val="72"/>
          <w:szCs w:val="72"/>
        </w:rPr>
      </w:pPr>
    </w:p>
    <w:p w14:paraId="3CBD69D3">
      <w:pPr>
        <w:rPr>
          <w:rFonts w:ascii="Times New Roman" w:hAnsi="Times New Roman" w:cs="Times New Roman"/>
          <w:sz w:val="72"/>
          <w:szCs w:val="72"/>
        </w:rPr>
      </w:pPr>
    </w:p>
    <w:p w14:paraId="646C592A">
      <w:pPr>
        <w:rPr>
          <w:rFonts w:ascii="Times New Roman" w:hAnsi="Times New Roman" w:cs="Times New Roman"/>
          <w:sz w:val="72"/>
          <w:szCs w:val="72"/>
        </w:rPr>
      </w:pPr>
    </w:p>
    <w:p w14:paraId="3D599A7A">
      <w:pPr>
        <w:rPr>
          <w:rFonts w:ascii="Times New Roman" w:hAnsi="Times New Roman" w:cs="Times New Roman"/>
          <w:sz w:val="72"/>
          <w:szCs w:val="72"/>
        </w:rPr>
      </w:pPr>
    </w:p>
    <w:p w14:paraId="5B9EF7F9">
      <w:pPr>
        <w:rPr>
          <w:rFonts w:ascii="Times New Roman" w:hAnsi="Times New Roman" w:cs="Times New Roman"/>
          <w:sz w:val="72"/>
          <w:szCs w:val="72"/>
        </w:rPr>
      </w:pPr>
    </w:p>
    <w:p w14:paraId="6E4AC087">
      <w:pPr>
        <w:pStyle w:val="10"/>
        <w:jc w:val="center"/>
        <w:rPr>
          <w:rFonts w:ascii="Times New Roman" w:hAnsi="Times New Roman" w:eastAsia="方正小标宋简体" w:cs="Times New Roman"/>
          <w:color w:val="auto"/>
          <w:sz w:val="52"/>
          <w:szCs w:val="52"/>
        </w:rPr>
      </w:pPr>
      <w:r>
        <w:rPr>
          <w:rFonts w:ascii="Times New Roman" w:hAnsi="Times New Roman" w:eastAsia="方正小标宋简体" w:cs="Times New Roman"/>
          <w:color w:val="auto"/>
          <w:sz w:val="52"/>
          <w:szCs w:val="52"/>
        </w:rPr>
        <w:t>第一部分</w:t>
      </w:r>
    </w:p>
    <w:p w14:paraId="73CFF646">
      <w:pPr>
        <w:pStyle w:val="10"/>
        <w:jc w:val="center"/>
        <w:rPr>
          <w:rFonts w:ascii="Times New Roman" w:hAnsi="Times New Roman" w:cs="Times New Roman"/>
          <w:color w:val="auto"/>
          <w:sz w:val="52"/>
          <w:szCs w:val="52"/>
        </w:rPr>
      </w:pPr>
    </w:p>
    <w:p w14:paraId="787BAC7E">
      <w:pPr>
        <w:pStyle w:val="10"/>
        <w:jc w:val="center"/>
        <w:rPr>
          <w:rFonts w:ascii="Times New Roman" w:hAnsi="Times New Roman" w:eastAsia="方正小标宋简体" w:cs="Times New Roman"/>
          <w:color w:val="auto"/>
          <w:sz w:val="52"/>
          <w:szCs w:val="52"/>
        </w:rPr>
      </w:pPr>
      <w:r>
        <w:rPr>
          <w:rFonts w:ascii="Times New Roman" w:hAnsi="Times New Roman" w:eastAsia="方正小标宋简体" w:cs="Times New Roman"/>
          <w:color w:val="auto"/>
          <w:sz w:val="52"/>
          <w:szCs w:val="52"/>
        </w:rPr>
        <w:t>中共醴陵市委组织部概况</w:t>
      </w:r>
    </w:p>
    <w:p w14:paraId="4F54AC42">
      <w:pPr>
        <w:jc w:val="center"/>
        <w:rPr>
          <w:rFonts w:ascii="Times New Roman" w:hAnsi="Times New Roman" w:cs="Times New Roman"/>
          <w:sz w:val="72"/>
          <w:szCs w:val="72"/>
        </w:rPr>
      </w:pPr>
    </w:p>
    <w:p w14:paraId="226ED860">
      <w:pPr>
        <w:jc w:val="center"/>
        <w:rPr>
          <w:rFonts w:ascii="Times New Roman" w:hAnsi="Times New Roman" w:cs="Times New Roman"/>
          <w:sz w:val="72"/>
          <w:szCs w:val="72"/>
        </w:rPr>
      </w:pPr>
    </w:p>
    <w:p w14:paraId="372849FF">
      <w:pPr>
        <w:jc w:val="center"/>
        <w:rPr>
          <w:rFonts w:ascii="Times New Roman" w:hAnsi="Times New Roman" w:cs="Times New Roman"/>
          <w:sz w:val="72"/>
          <w:szCs w:val="72"/>
        </w:rPr>
      </w:pPr>
    </w:p>
    <w:p w14:paraId="3E3E419B">
      <w:pPr>
        <w:jc w:val="center"/>
        <w:rPr>
          <w:rFonts w:ascii="Times New Roman" w:hAnsi="Times New Roman" w:cs="Times New Roman"/>
          <w:sz w:val="72"/>
          <w:szCs w:val="72"/>
        </w:rPr>
      </w:pPr>
    </w:p>
    <w:p w14:paraId="5F7CA2CF">
      <w:pPr>
        <w:jc w:val="center"/>
        <w:rPr>
          <w:rFonts w:ascii="Times New Roman" w:hAnsi="Times New Roman" w:cs="Times New Roman"/>
          <w:sz w:val="72"/>
          <w:szCs w:val="72"/>
        </w:rPr>
      </w:pPr>
    </w:p>
    <w:p w14:paraId="733C378A">
      <w:pPr>
        <w:jc w:val="center"/>
        <w:rPr>
          <w:rFonts w:ascii="Times New Roman" w:hAnsi="Times New Roman" w:cs="Times New Roman"/>
          <w:sz w:val="72"/>
          <w:szCs w:val="72"/>
        </w:rPr>
      </w:pPr>
    </w:p>
    <w:p w14:paraId="2FD0E3DB">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一、部门职责</w:t>
      </w:r>
    </w:p>
    <w:p w14:paraId="6FDE798C">
      <w:pPr>
        <w:spacing w:line="600" w:lineRule="exact"/>
        <w:ind w:firstLine="640"/>
        <w:rPr>
          <w:rFonts w:ascii="Times New Roman" w:hAnsi="Times New Roman" w:eastAsia="仿宋_GB2312" w:cs="Times New Roman"/>
          <w:b/>
          <w:kern w:val="0"/>
          <w:sz w:val="32"/>
          <w:szCs w:val="32"/>
        </w:rPr>
      </w:pPr>
      <w:r>
        <w:rPr>
          <w:rFonts w:ascii="Times New Roman" w:hAnsi="Times New Roman" w:eastAsia="仿宋_GB2312" w:cs="Times New Roman"/>
          <w:kern w:val="0"/>
          <w:sz w:val="32"/>
          <w:szCs w:val="32"/>
        </w:rPr>
        <w:t>中共醴陵市委组织部为全额拨款党群单位，主管组织、干部和人才工作。本部门主要职责是：</w:t>
      </w:r>
    </w:p>
    <w:p w14:paraId="06248E38">
      <w:pPr>
        <w:spacing w:line="60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w:t>
      </w:r>
      <w:r>
        <w:rPr>
          <w:rFonts w:ascii="Times New Roman" w:hAnsi="Times New Roman" w:eastAsia="仿宋_GB2312" w:cs="Times New Roman"/>
          <w:sz w:val="32"/>
          <w:szCs w:val="32"/>
        </w:rPr>
        <w:t>负责研究和指导全市党组织建设，探索党组织的设置形式和工作方式等有关问题；研究新时期党建工作；组织开展党的建设理论研究；负责党代表的联络，服务，指导工作。组织党代表开展培训，调研，视察等工作；负责党员管理和发展工作，做好党员培训工作规划落实、远教站点学用管理、农民大学生培养计划实施等工作；负责全市村级活动场所和社区建设，做好村级干部教育培训工作，负责离任村干部生活补贴的审批工作.</w:t>
      </w:r>
    </w:p>
    <w:p w14:paraId="1F019B23">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w:t>
      </w:r>
      <w:r>
        <w:rPr>
          <w:rFonts w:ascii="Times New Roman" w:hAnsi="Times New Roman" w:eastAsia="仿宋_GB2312" w:cs="Times New Roman"/>
          <w:sz w:val="32"/>
          <w:szCs w:val="32"/>
        </w:rPr>
        <w:t>负责全市干部队伍建设的宏观管理，制订全市干部、人事工作的重要政策和制度；负责市委管理的干部的考察、任免、出国（境）、离（退）休审批手续的办理；承办市委管理干部的调配、交流及转业军官安置工作；承办株洲市管干部的工资、待遇、离（退）休呈报手续；负责全市干部公开选拔工作宏观指导，承办副科级以上干部公开选拔的具体工作；负责全市党委、人大、政协、群众团体和民主党派等机关参照国家公务员制度管理的组织实施和宏观指导。组织落实培养选拔中青年干部、妇女干部、少数民</w:t>
      </w:r>
      <w:bookmarkStart w:id="0" w:name="_GoBack"/>
      <w:bookmarkEnd w:id="0"/>
      <w:r>
        <w:rPr>
          <w:rFonts w:ascii="Times New Roman" w:hAnsi="Times New Roman" w:eastAsia="仿宋_GB2312" w:cs="Times New Roman"/>
          <w:sz w:val="32"/>
          <w:szCs w:val="32"/>
        </w:rPr>
        <w:t>族干部、党外干部的有关工作。</w:t>
      </w:r>
    </w:p>
    <w:p w14:paraId="7749FB0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（三）</w:t>
      </w:r>
      <w:r>
        <w:rPr>
          <w:rFonts w:ascii="Times New Roman" w:hAnsi="Times New Roman" w:eastAsia="仿宋_GB2312" w:cs="Times New Roman"/>
          <w:sz w:val="32"/>
          <w:szCs w:val="32"/>
        </w:rPr>
        <w:t>研究全市组织系统信息网络建设；负责党内统计和干部统计的工作；负责市管干部人事档案管理工作，指导全市档案管理工作。</w:t>
      </w:r>
    </w:p>
    <w:p w14:paraId="4EFF8F25">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四）负责干部监督工作的指导和实施，负责全市组织工作和干部工作的督促检查，及时向省委组织部、株洲市委组织部和醴陵市委反映重要情况，对反映领导班子和领导干部的重要问题进行调查了解和督办；负责有关干部监督制度落实情况的督查和历史遗留问题的审查。</w:t>
      </w:r>
    </w:p>
    <w:p w14:paraId="5BE6B0C3">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（五）负责制订全市干部教育培训计划。指导、协调、检查全市干部教育工作；组织市委管理的干部和中青年干部以及组织（政工、人事）部门负责人等各级培训工作；负责上级调训干部的组织和协调。</w:t>
      </w:r>
    </w:p>
    <w:p w14:paraId="4F2D12DD">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（六）调查了解全市人才工作情况，制订或参与制订有关专业人才工作的政策；指导、协调、检查人才工作；负责市级有突出贡献专家的上报和评选工作，组织指导开展有关人才引进活动。</w:t>
      </w:r>
    </w:p>
    <w:p w14:paraId="11166E55">
      <w:pPr>
        <w:spacing w:line="600" w:lineRule="exact"/>
        <w:ind w:firstLine="64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（七）</w:t>
      </w:r>
      <w:r>
        <w:rPr>
          <w:rFonts w:ascii="Times New Roman" w:hAnsi="Times New Roman" w:eastAsia="仿宋_GB2312" w:cs="Times New Roman"/>
          <w:sz w:val="32"/>
          <w:szCs w:val="32"/>
        </w:rPr>
        <w:t>领导和管理市委老干部局，指导、管理和协调党校。</w:t>
      </w:r>
    </w:p>
    <w:p w14:paraId="18F65F14">
      <w:pPr>
        <w:spacing w:line="600" w:lineRule="exact"/>
        <w:ind w:firstLine="640"/>
        <w:rPr>
          <w:rFonts w:ascii="Times New Roman" w:hAnsi="Times New Roman" w:eastAsia="仿宋_GB2312" w:cs="Times New Roman"/>
          <w:bCs/>
          <w:kern w:val="0"/>
          <w:sz w:val="32"/>
          <w:szCs w:val="32"/>
        </w:rPr>
      </w:pPr>
      <w:r>
        <w:rPr>
          <w:rFonts w:ascii="Times New Roman" w:hAnsi="Times New Roman" w:eastAsia="黑体" w:cs="Times New Roman"/>
          <w:bCs/>
          <w:kern w:val="0"/>
          <w:sz w:val="32"/>
          <w:szCs w:val="32"/>
        </w:rPr>
        <w:t>二、机构设置及决算单位构成</w:t>
      </w:r>
    </w:p>
    <w:p w14:paraId="4B5C9DA7">
      <w:pPr>
        <w:spacing w:line="600" w:lineRule="exact"/>
        <w:ind w:firstLine="64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（一）内设机构设置。中共醴陵市委组织部内设机构包括：办公室、干部综合科、干部信息科、干部监督科、干部教育科、公务员管理办、组织科、人才科、党员教育中心、老干部管理科。</w:t>
      </w:r>
    </w:p>
    <w:p w14:paraId="37B84A13">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纳入财政部 2019年度部门决算编制范围的二级预算单位包括：无</w:t>
      </w:r>
    </w:p>
    <w:p w14:paraId="7E931436">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（二）决算单位构成。中共醴陵市委组织部2019年部门决算汇总公开单位构成包括</w:t>
      </w:r>
      <w:r>
        <w:rPr>
          <w:rFonts w:ascii="Times New Roman" w:hAnsi="Times New Roman" w:eastAsia="仿宋_GB2312" w:cs="Times New Roman"/>
          <w:b/>
          <w:bCs/>
          <w:kern w:val="0"/>
          <w:sz w:val="32"/>
          <w:szCs w:val="32"/>
        </w:rPr>
        <w:t>：</w:t>
      </w:r>
      <w:r>
        <w:rPr>
          <w:rFonts w:ascii="Times New Roman" w:hAnsi="Times New Roman" w:eastAsia="仿宋_GB2312" w:cs="Times New Roman"/>
          <w:kern w:val="0"/>
          <w:sz w:val="32"/>
          <w:szCs w:val="32"/>
        </w:rPr>
        <w:t>中共</w:t>
      </w:r>
      <w:r>
        <w:rPr>
          <w:rFonts w:ascii="Times New Roman" w:hAnsi="Times New Roman" w:eastAsia="仿宋_GB2312" w:cs="Times New Roman"/>
          <w:bCs/>
          <w:kern w:val="0"/>
          <w:sz w:val="32"/>
          <w:szCs w:val="32"/>
        </w:rPr>
        <w:t>醴陵市委组织部本级。</w:t>
      </w:r>
    </w:p>
    <w:p w14:paraId="36E356FE">
      <w:pPr>
        <w:jc w:val="center"/>
        <w:rPr>
          <w:rFonts w:ascii="Times New Roman" w:hAnsi="Times New Roman" w:eastAsia="仿宋_GB2312" w:cs="Times New Roman"/>
          <w:sz w:val="28"/>
          <w:szCs w:val="28"/>
        </w:rPr>
      </w:pPr>
    </w:p>
    <w:p w14:paraId="0B23A28D">
      <w:pPr>
        <w:jc w:val="center"/>
        <w:rPr>
          <w:rFonts w:ascii="Times New Roman" w:hAnsi="Times New Roman" w:eastAsia="黑体" w:cs="Times New Roman"/>
          <w:sz w:val="28"/>
          <w:szCs w:val="28"/>
        </w:rPr>
      </w:pPr>
    </w:p>
    <w:p w14:paraId="1014AC33">
      <w:pPr>
        <w:jc w:val="center"/>
        <w:rPr>
          <w:rFonts w:ascii="Times New Roman" w:hAnsi="Times New Roman" w:eastAsia="黑体" w:cs="Times New Roman"/>
          <w:sz w:val="28"/>
          <w:szCs w:val="28"/>
        </w:rPr>
      </w:pPr>
    </w:p>
    <w:p w14:paraId="2F4AB0AC">
      <w:pPr>
        <w:jc w:val="center"/>
        <w:rPr>
          <w:rFonts w:ascii="Times New Roman" w:hAnsi="Times New Roman" w:eastAsia="黑体" w:cs="Times New Roman"/>
          <w:sz w:val="28"/>
          <w:szCs w:val="28"/>
        </w:rPr>
      </w:pPr>
    </w:p>
    <w:p w14:paraId="51FE3630">
      <w:pPr>
        <w:widowControl/>
        <w:spacing w:line="600" w:lineRule="exact"/>
        <w:rPr>
          <w:rFonts w:ascii="Times New Roman" w:hAnsi="Times New Roman" w:eastAsia="仿宋_GB2312" w:cs="Times New Roman"/>
          <w:kern w:val="0"/>
          <w:sz w:val="32"/>
          <w:szCs w:val="32"/>
        </w:rPr>
      </w:pPr>
    </w:p>
    <w:p w14:paraId="5CF990EF">
      <w:pPr>
        <w:jc w:val="center"/>
        <w:rPr>
          <w:rFonts w:ascii="Times New Roman" w:hAnsi="Times New Roman" w:eastAsia="仿宋_GB2312" w:cs="Times New Roman"/>
          <w:sz w:val="28"/>
          <w:szCs w:val="28"/>
        </w:rPr>
      </w:pPr>
    </w:p>
    <w:p w14:paraId="7C2B0901">
      <w:pPr>
        <w:pStyle w:val="10"/>
        <w:jc w:val="center"/>
        <w:rPr>
          <w:rFonts w:ascii="Times New Roman" w:hAnsi="Times New Roman" w:cs="Times New Roman"/>
          <w:color w:val="auto"/>
          <w:sz w:val="84"/>
          <w:szCs w:val="84"/>
        </w:rPr>
      </w:pPr>
    </w:p>
    <w:p w14:paraId="1C78EDAA">
      <w:pPr>
        <w:pStyle w:val="10"/>
        <w:jc w:val="center"/>
        <w:rPr>
          <w:rFonts w:ascii="Times New Roman" w:hAnsi="Times New Roman" w:cs="Times New Roman"/>
          <w:color w:val="auto"/>
          <w:sz w:val="84"/>
          <w:szCs w:val="84"/>
        </w:rPr>
      </w:pPr>
    </w:p>
    <w:p w14:paraId="13139BAE">
      <w:pPr>
        <w:pStyle w:val="10"/>
        <w:jc w:val="center"/>
        <w:rPr>
          <w:rFonts w:ascii="Times New Roman" w:hAnsi="Times New Roman" w:eastAsia="方正小标宋简体" w:cs="Times New Roman"/>
          <w:color w:val="auto"/>
          <w:sz w:val="52"/>
          <w:szCs w:val="52"/>
        </w:rPr>
      </w:pPr>
      <w:r>
        <w:rPr>
          <w:rFonts w:ascii="Times New Roman" w:hAnsi="Times New Roman" w:eastAsia="方正小标宋简体" w:cs="Times New Roman"/>
          <w:color w:val="auto"/>
          <w:sz w:val="52"/>
          <w:szCs w:val="52"/>
        </w:rPr>
        <w:t>第二部分</w:t>
      </w:r>
    </w:p>
    <w:p w14:paraId="0B44E469">
      <w:pPr>
        <w:pStyle w:val="10"/>
        <w:jc w:val="center"/>
        <w:rPr>
          <w:rFonts w:ascii="Times New Roman" w:hAnsi="Times New Roman" w:eastAsia="方正小标宋简体" w:cs="Times New Roman"/>
          <w:color w:val="auto"/>
          <w:sz w:val="52"/>
          <w:szCs w:val="52"/>
        </w:rPr>
      </w:pPr>
    </w:p>
    <w:p w14:paraId="1598DE44">
      <w:pPr>
        <w:pStyle w:val="10"/>
        <w:jc w:val="center"/>
        <w:rPr>
          <w:rFonts w:ascii="Times New Roman" w:hAnsi="Times New Roman" w:eastAsia="方正小标宋简体" w:cs="Times New Roman"/>
          <w:color w:val="auto"/>
          <w:sz w:val="52"/>
          <w:szCs w:val="52"/>
        </w:rPr>
      </w:pPr>
      <w:r>
        <w:rPr>
          <w:rFonts w:ascii="Times New Roman" w:hAnsi="Times New Roman" w:eastAsia="方正小标宋简体" w:cs="Times New Roman"/>
          <w:color w:val="auto"/>
          <w:sz w:val="52"/>
          <w:szCs w:val="52"/>
        </w:rPr>
        <w:t>部门决算表</w:t>
      </w:r>
    </w:p>
    <w:p w14:paraId="6424AB37">
      <w:pPr>
        <w:jc w:val="center"/>
        <w:rPr>
          <w:rFonts w:ascii="Times New Roman" w:hAnsi="Times New Roman" w:cs="Times New Roman"/>
          <w:sz w:val="72"/>
          <w:szCs w:val="72"/>
        </w:rPr>
      </w:pPr>
    </w:p>
    <w:p w14:paraId="53EF0B71">
      <w:pPr>
        <w:jc w:val="center"/>
        <w:rPr>
          <w:rFonts w:ascii="Times New Roman" w:hAnsi="Times New Roman" w:cs="Times New Roman"/>
          <w:sz w:val="72"/>
          <w:szCs w:val="72"/>
        </w:rPr>
      </w:pPr>
    </w:p>
    <w:p w14:paraId="396DC044">
      <w:pPr>
        <w:jc w:val="center"/>
        <w:rPr>
          <w:rFonts w:ascii="Times New Roman" w:hAnsi="Times New Roman" w:cs="Times New Roman"/>
          <w:sz w:val="72"/>
          <w:szCs w:val="72"/>
        </w:rPr>
      </w:pPr>
    </w:p>
    <w:p w14:paraId="74084222">
      <w:pPr>
        <w:jc w:val="center"/>
        <w:rPr>
          <w:rFonts w:ascii="Times New Roman" w:hAnsi="Times New Roman" w:cs="Times New Roman"/>
          <w:sz w:val="72"/>
          <w:szCs w:val="72"/>
        </w:rPr>
      </w:pPr>
    </w:p>
    <w:p w14:paraId="1CA4808E">
      <w:pPr>
        <w:jc w:val="center"/>
        <w:rPr>
          <w:rFonts w:ascii="Times New Roman" w:hAnsi="Times New Roman" w:cs="Times New Roman"/>
          <w:sz w:val="72"/>
          <w:szCs w:val="72"/>
        </w:rPr>
      </w:pPr>
    </w:p>
    <w:p w14:paraId="33FFE8A2">
      <w:pPr>
        <w:jc w:val="center"/>
        <w:rPr>
          <w:rFonts w:ascii="Times New Roman" w:hAnsi="Times New Roman" w:cs="Times New Roman"/>
          <w:sz w:val="72"/>
          <w:szCs w:val="72"/>
        </w:rPr>
      </w:pPr>
    </w:p>
    <w:p w14:paraId="1A270E42">
      <w:pPr>
        <w:widowControl/>
        <w:spacing w:line="600" w:lineRule="exact"/>
        <w:rPr>
          <w:rFonts w:ascii="Times New Roman" w:hAnsi="Times New Roman" w:eastAsia="仿宋_GB2312" w:cs="Times New Roman"/>
          <w:b/>
          <w:kern w:val="0"/>
          <w:sz w:val="32"/>
          <w:szCs w:val="32"/>
        </w:rPr>
      </w:pPr>
    </w:p>
    <w:p w14:paraId="4F7C8528">
      <w:pPr>
        <w:spacing w:line="6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一、收入支出决算总表</w:t>
      </w:r>
    </w:p>
    <w:p w14:paraId="18FD9582">
      <w:pPr>
        <w:spacing w:line="6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二、收入决算表</w:t>
      </w:r>
    </w:p>
    <w:p w14:paraId="1CA4A1B2">
      <w:pPr>
        <w:spacing w:line="6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三、支出决算表</w:t>
      </w:r>
    </w:p>
    <w:p w14:paraId="3B069E17">
      <w:pPr>
        <w:spacing w:line="6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四、财政拨款收入支出决算总表</w:t>
      </w:r>
    </w:p>
    <w:p w14:paraId="5AAA4886">
      <w:pPr>
        <w:spacing w:line="6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五、一般公共预算财政拨款支出决算表</w:t>
      </w:r>
    </w:p>
    <w:p w14:paraId="03C93278">
      <w:pPr>
        <w:spacing w:line="6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六、一般公共预算财政拨款基本支出决算表</w:t>
      </w:r>
    </w:p>
    <w:p w14:paraId="218B5EAE">
      <w:pPr>
        <w:spacing w:line="6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七、一般公共预算财政拨款“三公”经费支出决算表</w:t>
      </w:r>
    </w:p>
    <w:p w14:paraId="19572B67">
      <w:pPr>
        <w:spacing w:line="600" w:lineRule="exact"/>
        <w:rPr>
          <w:rFonts w:ascii="Times New Roman" w:hAnsi="Times New Roman" w:eastAsia="仿宋_GB2312" w:cs="Times New Roman"/>
          <w:kern w:val="0"/>
          <w:sz w:val="32"/>
          <w:szCs w:val="32"/>
        </w:rPr>
        <w:sectPr>
          <w:footerReference r:id="rId3" w:type="default"/>
          <w:pgSz w:w="11906" w:h="16838"/>
          <w:pgMar w:top="1701" w:right="1418" w:bottom="1418" w:left="1418" w:header="851" w:footer="992" w:gutter="0"/>
          <w:cols w:space="425" w:num="1"/>
          <w:docGrid w:type="lines" w:linePitch="312" w:charSpace="0"/>
        </w:sectPr>
      </w:pPr>
      <w:r>
        <w:rPr>
          <w:rFonts w:ascii="Times New Roman" w:hAnsi="Times New Roman" w:eastAsia="仿宋_GB2312" w:cs="Times New Roman"/>
          <w:kern w:val="0"/>
          <w:sz w:val="32"/>
          <w:szCs w:val="32"/>
        </w:rPr>
        <w:t>八、政府性基金预算财政拨款收入支出决算表</w:t>
      </w:r>
    </w:p>
    <w:p w14:paraId="0C0B9979">
      <w:pPr>
        <w:widowControl/>
        <w:tabs>
          <w:tab w:val="left" w:pos="3572"/>
          <w:tab w:val="left" w:pos="4164"/>
          <w:tab w:val="left" w:pos="6424"/>
          <w:tab w:val="left" w:pos="10364"/>
          <w:tab w:val="left" w:pos="10956"/>
        </w:tabs>
        <w:spacing w:line="500" w:lineRule="exact"/>
        <w:ind w:left="34"/>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收入支出决算总表</w:t>
      </w:r>
    </w:p>
    <w:p w14:paraId="4F9883A0">
      <w:pPr>
        <w:widowControl/>
        <w:tabs>
          <w:tab w:val="left" w:pos="3572"/>
          <w:tab w:val="left" w:pos="4164"/>
          <w:tab w:val="left" w:pos="6424"/>
          <w:tab w:val="left" w:pos="10364"/>
          <w:tab w:val="left" w:pos="10956"/>
        </w:tabs>
        <w:spacing w:line="240" w:lineRule="exact"/>
        <w:ind w:left="34"/>
        <w:jc w:val="left"/>
        <w:rPr>
          <w:rFonts w:ascii="Times New Roman" w:hAnsi="Times New Roman" w:eastAsia="宋体" w:cs="Times New Roman"/>
          <w:kern w:val="0"/>
          <w:sz w:val="20"/>
          <w:szCs w:val="20"/>
        </w:rPr>
      </w:pPr>
      <w:r>
        <w:rPr>
          <w:rFonts w:ascii="Times New Roman" w:hAnsi="Times New Roman" w:cs="Times New Roman"/>
          <w:bCs/>
          <w:kern w:val="0"/>
          <w:szCs w:val="21"/>
        </w:rPr>
        <w:t>部门：中共醴陵市委组织部                                                                                        金额单位：万元</w:t>
      </w:r>
    </w:p>
    <w:tbl>
      <w:tblPr>
        <w:tblStyle w:val="6"/>
        <w:tblW w:w="14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90"/>
        <w:gridCol w:w="720"/>
        <w:gridCol w:w="1225"/>
        <w:gridCol w:w="5090"/>
        <w:gridCol w:w="720"/>
        <w:gridCol w:w="1225"/>
      </w:tblGrid>
      <w:tr w14:paraId="7364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gridSpan w:val="3"/>
            <w:shd w:val="clear" w:color="FFFFFF" w:fill="FFFFFF"/>
            <w:noWrap/>
            <w:tcMar>
              <w:top w:w="15" w:type="dxa"/>
              <w:left w:w="15" w:type="dxa"/>
              <w:right w:w="15" w:type="dxa"/>
            </w:tcMar>
            <w:vAlign w:val="center"/>
          </w:tcPr>
          <w:p w14:paraId="1F69845B">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收入</w:t>
            </w:r>
          </w:p>
        </w:tc>
        <w:tc>
          <w:tcPr>
            <w:tcW w:w="0" w:type="auto"/>
            <w:gridSpan w:val="3"/>
            <w:shd w:val="clear" w:color="FFFFFF" w:fill="FFFFFF"/>
            <w:noWrap/>
            <w:tcMar>
              <w:top w:w="15" w:type="dxa"/>
              <w:left w:w="15" w:type="dxa"/>
              <w:right w:w="15" w:type="dxa"/>
            </w:tcMar>
            <w:vAlign w:val="center"/>
          </w:tcPr>
          <w:p w14:paraId="50FDFAA5">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支出</w:t>
            </w:r>
          </w:p>
        </w:tc>
      </w:tr>
      <w:tr w14:paraId="2033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0B4C206B">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项目</w:t>
            </w:r>
          </w:p>
        </w:tc>
        <w:tc>
          <w:tcPr>
            <w:tcW w:w="0" w:type="auto"/>
            <w:shd w:val="clear" w:color="FFFFFF" w:fill="FFFFFF"/>
            <w:noWrap/>
            <w:tcMar>
              <w:top w:w="15" w:type="dxa"/>
              <w:left w:w="15" w:type="dxa"/>
              <w:right w:w="15" w:type="dxa"/>
            </w:tcMar>
            <w:vAlign w:val="center"/>
          </w:tcPr>
          <w:p w14:paraId="3E1E8899">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行次</w:t>
            </w:r>
          </w:p>
        </w:tc>
        <w:tc>
          <w:tcPr>
            <w:tcW w:w="0" w:type="auto"/>
            <w:shd w:val="clear" w:color="FFFFFF" w:fill="FFFFFF"/>
            <w:noWrap/>
            <w:tcMar>
              <w:top w:w="15" w:type="dxa"/>
              <w:left w:w="15" w:type="dxa"/>
              <w:right w:w="15" w:type="dxa"/>
            </w:tcMar>
            <w:vAlign w:val="center"/>
          </w:tcPr>
          <w:p w14:paraId="187D5456">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金额</w:t>
            </w:r>
          </w:p>
        </w:tc>
        <w:tc>
          <w:tcPr>
            <w:tcW w:w="0" w:type="auto"/>
            <w:shd w:val="clear" w:color="FFFFFF" w:fill="FFFFFF"/>
            <w:noWrap/>
            <w:tcMar>
              <w:top w:w="15" w:type="dxa"/>
              <w:left w:w="15" w:type="dxa"/>
              <w:right w:w="15" w:type="dxa"/>
            </w:tcMar>
            <w:vAlign w:val="center"/>
          </w:tcPr>
          <w:p w14:paraId="35EED6E7">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项目</w:t>
            </w:r>
          </w:p>
        </w:tc>
        <w:tc>
          <w:tcPr>
            <w:tcW w:w="0" w:type="auto"/>
            <w:shd w:val="clear" w:color="FFFFFF" w:fill="FFFFFF"/>
            <w:noWrap/>
            <w:tcMar>
              <w:top w:w="15" w:type="dxa"/>
              <w:left w:w="15" w:type="dxa"/>
              <w:right w:w="15" w:type="dxa"/>
            </w:tcMar>
            <w:vAlign w:val="center"/>
          </w:tcPr>
          <w:p w14:paraId="7BF78CBC">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行次</w:t>
            </w:r>
          </w:p>
        </w:tc>
        <w:tc>
          <w:tcPr>
            <w:tcW w:w="0" w:type="auto"/>
            <w:shd w:val="clear" w:color="FFFFFF" w:fill="FFFFFF"/>
            <w:noWrap/>
            <w:tcMar>
              <w:top w:w="15" w:type="dxa"/>
              <w:left w:w="15" w:type="dxa"/>
              <w:right w:w="15" w:type="dxa"/>
            </w:tcMar>
            <w:vAlign w:val="center"/>
          </w:tcPr>
          <w:p w14:paraId="76993BBC">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金额</w:t>
            </w:r>
          </w:p>
        </w:tc>
      </w:tr>
      <w:tr w14:paraId="53EC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07E45BBF">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栏次</w:t>
            </w:r>
          </w:p>
        </w:tc>
        <w:tc>
          <w:tcPr>
            <w:tcW w:w="0" w:type="auto"/>
            <w:shd w:val="clear" w:color="FFFFFF" w:fill="FFFFFF"/>
            <w:noWrap/>
            <w:tcMar>
              <w:top w:w="15" w:type="dxa"/>
              <w:left w:w="15" w:type="dxa"/>
              <w:right w:w="15" w:type="dxa"/>
            </w:tcMar>
            <w:vAlign w:val="center"/>
          </w:tcPr>
          <w:p w14:paraId="409406C2">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47B73387">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w:t>
            </w:r>
          </w:p>
        </w:tc>
        <w:tc>
          <w:tcPr>
            <w:tcW w:w="0" w:type="auto"/>
            <w:shd w:val="clear" w:color="FFFFFF" w:fill="FFFFFF"/>
            <w:noWrap/>
            <w:tcMar>
              <w:top w:w="15" w:type="dxa"/>
              <w:left w:w="15" w:type="dxa"/>
              <w:right w:w="15" w:type="dxa"/>
            </w:tcMar>
            <w:vAlign w:val="center"/>
          </w:tcPr>
          <w:p w14:paraId="39CFE2BC">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栏次</w:t>
            </w:r>
          </w:p>
        </w:tc>
        <w:tc>
          <w:tcPr>
            <w:tcW w:w="0" w:type="auto"/>
            <w:shd w:val="clear" w:color="FFFFFF" w:fill="FFFFFF"/>
            <w:noWrap/>
            <w:tcMar>
              <w:top w:w="15" w:type="dxa"/>
              <w:left w:w="15" w:type="dxa"/>
              <w:right w:w="15" w:type="dxa"/>
            </w:tcMar>
            <w:vAlign w:val="center"/>
          </w:tcPr>
          <w:p w14:paraId="7FD48DE4">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3F5FECFE">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w:t>
            </w:r>
          </w:p>
        </w:tc>
      </w:tr>
      <w:tr w14:paraId="1AD6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48A9EA32">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一、一般公共预算财政拨款收入</w:t>
            </w:r>
          </w:p>
        </w:tc>
        <w:tc>
          <w:tcPr>
            <w:tcW w:w="0" w:type="auto"/>
            <w:shd w:val="clear" w:color="FFFFFF" w:fill="FFFFFF"/>
            <w:noWrap/>
            <w:tcMar>
              <w:top w:w="15" w:type="dxa"/>
              <w:left w:w="15" w:type="dxa"/>
              <w:right w:w="15" w:type="dxa"/>
            </w:tcMar>
            <w:vAlign w:val="center"/>
          </w:tcPr>
          <w:p w14:paraId="382ADFAB">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w:t>
            </w:r>
          </w:p>
        </w:tc>
        <w:tc>
          <w:tcPr>
            <w:tcW w:w="0" w:type="auto"/>
            <w:shd w:val="clear" w:color="auto" w:fill="FFFFFF"/>
            <w:noWrap/>
            <w:tcMar>
              <w:top w:w="15" w:type="dxa"/>
              <w:left w:w="15" w:type="dxa"/>
              <w:right w:w="15" w:type="dxa"/>
            </w:tcMar>
            <w:vAlign w:val="center"/>
          </w:tcPr>
          <w:p w14:paraId="11FC0BA9">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1,159.90</w:t>
            </w:r>
          </w:p>
        </w:tc>
        <w:tc>
          <w:tcPr>
            <w:tcW w:w="0" w:type="auto"/>
            <w:shd w:val="clear" w:color="FFFFFF" w:fill="FFFFFF"/>
            <w:noWrap/>
            <w:tcMar>
              <w:top w:w="15" w:type="dxa"/>
              <w:left w:w="15" w:type="dxa"/>
              <w:right w:w="15" w:type="dxa"/>
            </w:tcMar>
            <w:vAlign w:val="center"/>
          </w:tcPr>
          <w:p w14:paraId="429FED21">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一、一般公共服务支出</w:t>
            </w:r>
          </w:p>
        </w:tc>
        <w:tc>
          <w:tcPr>
            <w:tcW w:w="0" w:type="auto"/>
            <w:shd w:val="clear" w:color="FFFFFF" w:fill="FFFFFF"/>
            <w:noWrap/>
            <w:tcMar>
              <w:top w:w="15" w:type="dxa"/>
              <w:left w:w="15" w:type="dxa"/>
              <w:right w:w="15" w:type="dxa"/>
            </w:tcMar>
            <w:vAlign w:val="center"/>
          </w:tcPr>
          <w:p w14:paraId="0704CF25">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29</w:t>
            </w:r>
          </w:p>
        </w:tc>
        <w:tc>
          <w:tcPr>
            <w:tcW w:w="0" w:type="auto"/>
            <w:shd w:val="clear" w:color="auto" w:fill="FFFFFF"/>
            <w:noWrap/>
            <w:tcMar>
              <w:top w:w="15" w:type="dxa"/>
              <w:left w:w="15" w:type="dxa"/>
              <w:right w:w="15" w:type="dxa"/>
            </w:tcMar>
            <w:vAlign w:val="center"/>
          </w:tcPr>
          <w:p w14:paraId="6B92CCD3">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1,233.58</w:t>
            </w:r>
          </w:p>
        </w:tc>
      </w:tr>
      <w:tr w14:paraId="5E7B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4BB3ADF9">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二、政府性基金预算财政拨款收入</w:t>
            </w:r>
          </w:p>
        </w:tc>
        <w:tc>
          <w:tcPr>
            <w:tcW w:w="0" w:type="auto"/>
            <w:shd w:val="clear" w:color="FFFFFF" w:fill="FFFFFF"/>
            <w:noWrap/>
            <w:tcMar>
              <w:top w:w="15" w:type="dxa"/>
              <w:left w:w="15" w:type="dxa"/>
              <w:right w:w="15" w:type="dxa"/>
            </w:tcMar>
            <w:vAlign w:val="center"/>
          </w:tcPr>
          <w:p w14:paraId="2A00C1FC">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w:t>
            </w:r>
          </w:p>
        </w:tc>
        <w:tc>
          <w:tcPr>
            <w:tcW w:w="0" w:type="auto"/>
            <w:shd w:val="clear" w:color="auto" w:fill="FFFFFF"/>
            <w:noWrap/>
            <w:tcMar>
              <w:top w:w="15" w:type="dxa"/>
              <w:left w:w="15" w:type="dxa"/>
              <w:right w:w="15" w:type="dxa"/>
            </w:tcMar>
            <w:vAlign w:val="center"/>
          </w:tcPr>
          <w:p w14:paraId="7927E1C5">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0" w:type="auto"/>
            <w:shd w:val="clear" w:color="FFFFFF" w:fill="FFFFFF"/>
            <w:noWrap/>
            <w:tcMar>
              <w:top w:w="15" w:type="dxa"/>
              <w:left w:w="15" w:type="dxa"/>
              <w:right w:w="15" w:type="dxa"/>
            </w:tcMar>
            <w:vAlign w:val="center"/>
          </w:tcPr>
          <w:p w14:paraId="70AF24BF">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二、外交支出</w:t>
            </w:r>
          </w:p>
        </w:tc>
        <w:tc>
          <w:tcPr>
            <w:tcW w:w="0" w:type="auto"/>
            <w:shd w:val="clear" w:color="FFFFFF" w:fill="FFFFFF"/>
            <w:noWrap/>
            <w:tcMar>
              <w:top w:w="15" w:type="dxa"/>
              <w:left w:w="15" w:type="dxa"/>
              <w:right w:w="15" w:type="dxa"/>
            </w:tcMar>
            <w:vAlign w:val="center"/>
          </w:tcPr>
          <w:p w14:paraId="376E8C2B">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30</w:t>
            </w:r>
          </w:p>
        </w:tc>
        <w:tc>
          <w:tcPr>
            <w:tcW w:w="0" w:type="auto"/>
            <w:shd w:val="clear" w:color="auto" w:fill="FFFFFF"/>
            <w:noWrap/>
            <w:tcMar>
              <w:top w:w="15" w:type="dxa"/>
              <w:left w:w="15" w:type="dxa"/>
              <w:right w:w="15" w:type="dxa"/>
            </w:tcMar>
            <w:vAlign w:val="center"/>
          </w:tcPr>
          <w:p w14:paraId="5025C620">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765D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6BAE683A">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三、上级补助收入</w:t>
            </w:r>
          </w:p>
        </w:tc>
        <w:tc>
          <w:tcPr>
            <w:tcW w:w="0" w:type="auto"/>
            <w:shd w:val="clear" w:color="FFFFFF" w:fill="FFFFFF"/>
            <w:noWrap/>
            <w:tcMar>
              <w:top w:w="15" w:type="dxa"/>
              <w:left w:w="15" w:type="dxa"/>
              <w:right w:w="15" w:type="dxa"/>
            </w:tcMar>
            <w:vAlign w:val="center"/>
          </w:tcPr>
          <w:p w14:paraId="42635CEE">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w:t>
            </w:r>
          </w:p>
        </w:tc>
        <w:tc>
          <w:tcPr>
            <w:tcW w:w="0" w:type="auto"/>
            <w:shd w:val="clear" w:color="auto" w:fill="FFFFFF"/>
            <w:noWrap/>
            <w:tcMar>
              <w:top w:w="15" w:type="dxa"/>
              <w:left w:w="15" w:type="dxa"/>
              <w:right w:w="15" w:type="dxa"/>
            </w:tcMar>
            <w:vAlign w:val="center"/>
          </w:tcPr>
          <w:p w14:paraId="11D16F4E">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0" w:type="auto"/>
            <w:shd w:val="clear" w:color="FFFFFF" w:fill="FFFFFF"/>
            <w:noWrap/>
            <w:tcMar>
              <w:top w:w="15" w:type="dxa"/>
              <w:left w:w="15" w:type="dxa"/>
              <w:right w:w="15" w:type="dxa"/>
            </w:tcMar>
            <w:vAlign w:val="center"/>
          </w:tcPr>
          <w:p w14:paraId="0C32D7E7">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三、国防支出</w:t>
            </w:r>
          </w:p>
        </w:tc>
        <w:tc>
          <w:tcPr>
            <w:tcW w:w="0" w:type="auto"/>
            <w:shd w:val="clear" w:color="FFFFFF" w:fill="FFFFFF"/>
            <w:noWrap/>
            <w:tcMar>
              <w:top w:w="15" w:type="dxa"/>
              <w:left w:w="15" w:type="dxa"/>
              <w:right w:w="15" w:type="dxa"/>
            </w:tcMar>
            <w:vAlign w:val="center"/>
          </w:tcPr>
          <w:p w14:paraId="4B1A0AAC">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31</w:t>
            </w:r>
          </w:p>
        </w:tc>
        <w:tc>
          <w:tcPr>
            <w:tcW w:w="0" w:type="auto"/>
            <w:shd w:val="clear" w:color="auto" w:fill="FFFFFF"/>
            <w:noWrap/>
            <w:tcMar>
              <w:top w:w="15" w:type="dxa"/>
              <w:left w:w="15" w:type="dxa"/>
              <w:right w:w="15" w:type="dxa"/>
            </w:tcMar>
            <w:vAlign w:val="center"/>
          </w:tcPr>
          <w:p w14:paraId="68F531BA">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6B23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252C49F3">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四、事业收入</w:t>
            </w:r>
          </w:p>
        </w:tc>
        <w:tc>
          <w:tcPr>
            <w:tcW w:w="0" w:type="auto"/>
            <w:shd w:val="clear" w:color="FFFFFF" w:fill="FFFFFF"/>
            <w:noWrap/>
            <w:tcMar>
              <w:top w:w="15" w:type="dxa"/>
              <w:left w:w="15" w:type="dxa"/>
              <w:right w:w="15" w:type="dxa"/>
            </w:tcMar>
            <w:vAlign w:val="center"/>
          </w:tcPr>
          <w:p w14:paraId="5448158F">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w:t>
            </w:r>
          </w:p>
        </w:tc>
        <w:tc>
          <w:tcPr>
            <w:tcW w:w="0" w:type="auto"/>
            <w:shd w:val="clear" w:color="auto" w:fill="FFFFFF"/>
            <w:noWrap/>
            <w:tcMar>
              <w:top w:w="15" w:type="dxa"/>
              <w:left w:w="15" w:type="dxa"/>
              <w:right w:w="15" w:type="dxa"/>
            </w:tcMar>
            <w:vAlign w:val="center"/>
          </w:tcPr>
          <w:p w14:paraId="30051C97">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0" w:type="auto"/>
            <w:shd w:val="clear" w:color="FFFFFF" w:fill="FFFFFF"/>
            <w:noWrap/>
            <w:tcMar>
              <w:top w:w="15" w:type="dxa"/>
              <w:left w:w="15" w:type="dxa"/>
              <w:right w:w="15" w:type="dxa"/>
            </w:tcMar>
            <w:vAlign w:val="center"/>
          </w:tcPr>
          <w:p w14:paraId="5953684D">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四、公共安全支出</w:t>
            </w:r>
          </w:p>
        </w:tc>
        <w:tc>
          <w:tcPr>
            <w:tcW w:w="0" w:type="auto"/>
            <w:shd w:val="clear" w:color="FFFFFF" w:fill="FFFFFF"/>
            <w:noWrap/>
            <w:tcMar>
              <w:top w:w="15" w:type="dxa"/>
              <w:left w:w="15" w:type="dxa"/>
              <w:right w:w="15" w:type="dxa"/>
            </w:tcMar>
            <w:vAlign w:val="center"/>
          </w:tcPr>
          <w:p w14:paraId="1166F5C3">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32</w:t>
            </w:r>
          </w:p>
        </w:tc>
        <w:tc>
          <w:tcPr>
            <w:tcW w:w="0" w:type="auto"/>
            <w:shd w:val="clear" w:color="auto" w:fill="FFFFFF"/>
            <w:noWrap/>
            <w:tcMar>
              <w:top w:w="15" w:type="dxa"/>
              <w:left w:w="15" w:type="dxa"/>
              <w:right w:w="15" w:type="dxa"/>
            </w:tcMar>
            <w:vAlign w:val="center"/>
          </w:tcPr>
          <w:p w14:paraId="565C90B6">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346B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2D199765">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五、经营收入</w:t>
            </w:r>
          </w:p>
        </w:tc>
        <w:tc>
          <w:tcPr>
            <w:tcW w:w="0" w:type="auto"/>
            <w:shd w:val="clear" w:color="FFFFFF" w:fill="FFFFFF"/>
            <w:noWrap/>
            <w:tcMar>
              <w:top w:w="15" w:type="dxa"/>
              <w:left w:w="15" w:type="dxa"/>
              <w:right w:w="15" w:type="dxa"/>
            </w:tcMar>
            <w:vAlign w:val="center"/>
          </w:tcPr>
          <w:p w14:paraId="26645968">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5</w:t>
            </w:r>
          </w:p>
        </w:tc>
        <w:tc>
          <w:tcPr>
            <w:tcW w:w="0" w:type="auto"/>
            <w:shd w:val="clear" w:color="auto" w:fill="FFFFFF"/>
            <w:noWrap/>
            <w:tcMar>
              <w:top w:w="15" w:type="dxa"/>
              <w:left w:w="15" w:type="dxa"/>
              <w:right w:w="15" w:type="dxa"/>
            </w:tcMar>
            <w:vAlign w:val="center"/>
          </w:tcPr>
          <w:p w14:paraId="14864F6A">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0" w:type="auto"/>
            <w:shd w:val="clear" w:color="FFFFFF" w:fill="FFFFFF"/>
            <w:noWrap/>
            <w:tcMar>
              <w:top w:w="15" w:type="dxa"/>
              <w:left w:w="15" w:type="dxa"/>
              <w:right w:w="15" w:type="dxa"/>
            </w:tcMar>
            <w:vAlign w:val="center"/>
          </w:tcPr>
          <w:p w14:paraId="5B95BA4B">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五、教育支出</w:t>
            </w:r>
          </w:p>
        </w:tc>
        <w:tc>
          <w:tcPr>
            <w:tcW w:w="0" w:type="auto"/>
            <w:shd w:val="clear" w:color="FFFFFF" w:fill="FFFFFF"/>
            <w:noWrap/>
            <w:tcMar>
              <w:top w:w="15" w:type="dxa"/>
              <w:left w:w="15" w:type="dxa"/>
              <w:right w:w="15" w:type="dxa"/>
            </w:tcMar>
            <w:vAlign w:val="center"/>
          </w:tcPr>
          <w:p w14:paraId="4749B48E">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33</w:t>
            </w:r>
          </w:p>
        </w:tc>
        <w:tc>
          <w:tcPr>
            <w:tcW w:w="0" w:type="auto"/>
            <w:shd w:val="clear" w:color="auto" w:fill="FFFFFF"/>
            <w:noWrap/>
            <w:tcMar>
              <w:top w:w="15" w:type="dxa"/>
              <w:left w:w="15" w:type="dxa"/>
              <w:right w:w="15" w:type="dxa"/>
            </w:tcMar>
            <w:vAlign w:val="center"/>
          </w:tcPr>
          <w:p w14:paraId="67878601">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19.39</w:t>
            </w:r>
          </w:p>
        </w:tc>
      </w:tr>
      <w:tr w14:paraId="3167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33CD1E32">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六、附属单位上缴收入</w:t>
            </w:r>
          </w:p>
        </w:tc>
        <w:tc>
          <w:tcPr>
            <w:tcW w:w="0" w:type="auto"/>
            <w:shd w:val="clear" w:color="FFFFFF" w:fill="FFFFFF"/>
            <w:noWrap/>
            <w:tcMar>
              <w:top w:w="15" w:type="dxa"/>
              <w:left w:w="15" w:type="dxa"/>
              <w:right w:w="15" w:type="dxa"/>
            </w:tcMar>
            <w:vAlign w:val="center"/>
          </w:tcPr>
          <w:p w14:paraId="144E68A5">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6</w:t>
            </w:r>
          </w:p>
        </w:tc>
        <w:tc>
          <w:tcPr>
            <w:tcW w:w="0" w:type="auto"/>
            <w:shd w:val="clear" w:color="auto" w:fill="FFFFFF"/>
            <w:noWrap/>
            <w:tcMar>
              <w:top w:w="15" w:type="dxa"/>
              <w:left w:w="15" w:type="dxa"/>
              <w:right w:w="15" w:type="dxa"/>
            </w:tcMar>
            <w:vAlign w:val="center"/>
          </w:tcPr>
          <w:p w14:paraId="77C7A956">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0" w:type="auto"/>
            <w:shd w:val="clear" w:color="FFFFFF" w:fill="FFFFFF"/>
            <w:noWrap/>
            <w:tcMar>
              <w:top w:w="15" w:type="dxa"/>
              <w:left w:w="15" w:type="dxa"/>
              <w:right w:w="15" w:type="dxa"/>
            </w:tcMar>
            <w:vAlign w:val="center"/>
          </w:tcPr>
          <w:p w14:paraId="3674DB55">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六、科学技术支出</w:t>
            </w:r>
          </w:p>
        </w:tc>
        <w:tc>
          <w:tcPr>
            <w:tcW w:w="0" w:type="auto"/>
            <w:shd w:val="clear" w:color="FFFFFF" w:fill="FFFFFF"/>
            <w:noWrap/>
            <w:tcMar>
              <w:top w:w="15" w:type="dxa"/>
              <w:left w:w="15" w:type="dxa"/>
              <w:right w:w="15" w:type="dxa"/>
            </w:tcMar>
            <w:vAlign w:val="center"/>
          </w:tcPr>
          <w:p w14:paraId="3B55FBD0">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34</w:t>
            </w:r>
          </w:p>
        </w:tc>
        <w:tc>
          <w:tcPr>
            <w:tcW w:w="0" w:type="auto"/>
            <w:shd w:val="clear" w:color="auto" w:fill="FFFFFF"/>
            <w:noWrap/>
            <w:tcMar>
              <w:top w:w="15" w:type="dxa"/>
              <w:left w:w="15" w:type="dxa"/>
              <w:right w:w="15" w:type="dxa"/>
            </w:tcMar>
            <w:vAlign w:val="center"/>
          </w:tcPr>
          <w:p w14:paraId="71F9FD56">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6AF9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6A3DC22F">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七、其他收入</w:t>
            </w:r>
          </w:p>
        </w:tc>
        <w:tc>
          <w:tcPr>
            <w:tcW w:w="0" w:type="auto"/>
            <w:shd w:val="clear" w:color="FFFFFF" w:fill="FFFFFF"/>
            <w:noWrap/>
            <w:tcMar>
              <w:top w:w="15" w:type="dxa"/>
              <w:left w:w="15" w:type="dxa"/>
              <w:right w:w="15" w:type="dxa"/>
            </w:tcMar>
            <w:vAlign w:val="center"/>
          </w:tcPr>
          <w:p w14:paraId="4E499A8C">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7</w:t>
            </w:r>
          </w:p>
        </w:tc>
        <w:tc>
          <w:tcPr>
            <w:tcW w:w="0" w:type="auto"/>
            <w:shd w:val="clear" w:color="auto" w:fill="FFFFFF"/>
            <w:noWrap/>
            <w:tcMar>
              <w:top w:w="15" w:type="dxa"/>
              <w:left w:w="15" w:type="dxa"/>
              <w:right w:w="15" w:type="dxa"/>
            </w:tcMar>
            <w:vAlign w:val="center"/>
          </w:tcPr>
          <w:p w14:paraId="6103CC1B">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21.95</w:t>
            </w:r>
          </w:p>
        </w:tc>
        <w:tc>
          <w:tcPr>
            <w:tcW w:w="0" w:type="auto"/>
            <w:shd w:val="clear" w:color="FFFFFF" w:fill="FFFFFF"/>
            <w:noWrap/>
            <w:tcMar>
              <w:top w:w="15" w:type="dxa"/>
              <w:left w:w="15" w:type="dxa"/>
              <w:right w:w="15" w:type="dxa"/>
            </w:tcMar>
            <w:vAlign w:val="center"/>
          </w:tcPr>
          <w:p w14:paraId="23A40A9A">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七、文化旅游体育与传媒支出</w:t>
            </w:r>
          </w:p>
        </w:tc>
        <w:tc>
          <w:tcPr>
            <w:tcW w:w="0" w:type="auto"/>
            <w:shd w:val="clear" w:color="FFFFFF" w:fill="FFFFFF"/>
            <w:noWrap/>
            <w:tcMar>
              <w:top w:w="15" w:type="dxa"/>
              <w:left w:w="15" w:type="dxa"/>
              <w:right w:w="15" w:type="dxa"/>
            </w:tcMar>
            <w:vAlign w:val="center"/>
          </w:tcPr>
          <w:p w14:paraId="52CA6797">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35</w:t>
            </w:r>
          </w:p>
        </w:tc>
        <w:tc>
          <w:tcPr>
            <w:tcW w:w="0" w:type="auto"/>
            <w:shd w:val="clear" w:color="auto" w:fill="FFFFFF"/>
            <w:noWrap/>
            <w:tcMar>
              <w:top w:w="15" w:type="dxa"/>
              <w:left w:w="15" w:type="dxa"/>
              <w:right w:w="15" w:type="dxa"/>
            </w:tcMar>
            <w:vAlign w:val="center"/>
          </w:tcPr>
          <w:p w14:paraId="10367CB2">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1FFD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631BAF2D">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2099396C">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8</w:t>
            </w:r>
          </w:p>
        </w:tc>
        <w:tc>
          <w:tcPr>
            <w:tcW w:w="0" w:type="auto"/>
            <w:shd w:val="clear" w:color="auto" w:fill="FFFFFF"/>
            <w:noWrap/>
            <w:tcMar>
              <w:top w:w="15" w:type="dxa"/>
              <w:left w:w="15" w:type="dxa"/>
              <w:right w:w="15" w:type="dxa"/>
            </w:tcMar>
            <w:vAlign w:val="center"/>
          </w:tcPr>
          <w:p w14:paraId="5DB539E5">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32063568">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八、社会保障和就业支出</w:t>
            </w:r>
          </w:p>
        </w:tc>
        <w:tc>
          <w:tcPr>
            <w:tcW w:w="0" w:type="auto"/>
            <w:shd w:val="clear" w:color="FFFFFF" w:fill="FFFFFF"/>
            <w:noWrap/>
            <w:tcMar>
              <w:top w:w="15" w:type="dxa"/>
              <w:left w:w="15" w:type="dxa"/>
              <w:right w:w="15" w:type="dxa"/>
            </w:tcMar>
            <w:vAlign w:val="center"/>
          </w:tcPr>
          <w:p w14:paraId="0E22E5AE">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36</w:t>
            </w:r>
          </w:p>
        </w:tc>
        <w:tc>
          <w:tcPr>
            <w:tcW w:w="0" w:type="auto"/>
            <w:shd w:val="clear" w:color="auto" w:fill="FFFFFF"/>
            <w:noWrap/>
            <w:tcMar>
              <w:top w:w="15" w:type="dxa"/>
              <w:left w:w="15" w:type="dxa"/>
              <w:right w:w="15" w:type="dxa"/>
            </w:tcMar>
            <w:vAlign w:val="center"/>
          </w:tcPr>
          <w:p w14:paraId="79AFB770">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5A7E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4A2BC813">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68B9B24A">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9</w:t>
            </w:r>
          </w:p>
        </w:tc>
        <w:tc>
          <w:tcPr>
            <w:tcW w:w="0" w:type="auto"/>
            <w:shd w:val="clear" w:color="auto" w:fill="FFFFFF"/>
            <w:noWrap/>
            <w:tcMar>
              <w:top w:w="15" w:type="dxa"/>
              <w:left w:w="15" w:type="dxa"/>
              <w:right w:w="15" w:type="dxa"/>
            </w:tcMar>
            <w:vAlign w:val="center"/>
          </w:tcPr>
          <w:p w14:paraId="64E828B5">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187BF615">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九、卫生健康支出</w:t>
            </w:r>
          </w:p>
        </w:tc>
        <w:tc>
          <w:tcPr>
            <w:tcW w:w="0" w:type="auto"/>
            <w:shd w:val="clear" w:color="FFFFFF" w:fill="FFFFFF"/>
            <w:noWrap/>
            <w:tcMar>
              <w:top w:w="15" w:type="dxa"/>
              <w:left w:w="15" w:type="dxa"/>
              <w:right w:w="15" w:type="dxa"/>
            </w:tcMar>
            <w:vAlign w:val="center"/>
          </w:tcPr>
          <w:p w14:paraId="4D834F46">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37</w:t>
            </w:r>
          </w:p>
        </w:tc>
        <w:tc>
          <w:tcPr>
            <w:tcW w:w="0" w:type="auto"/>
            <w:shd w:val="clear" w:color="auto" w:fill="FFFFFF"/>
            <w:noWrap/>
            <w:tcMar>
              <w:top w:w="15" w:type="dxa"/>
              <w:left w:w="15" w:type="dxa"/>
              <w:right w:w="15" w:type="dxa"/>
            </w:tcMar>
            <w:vAlign w:val="center"/>
          </w:tcPr>
          <w:p w14:paraId="7BCE4BA0">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9.50</w:t>
            </w:r>
          </w:p>
        </w:tc>
      </w:tr>
      <w:tr w14:paraId="0577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3F51E0F5">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39FD274B">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10</w:t>
            </w:r>
          </w:p>
        </w:tc>
        <w:tc>
          <w:tcPr>
            <w:tcW w:w="0" w:type="auto"/>
            <w:shd w:val="clear" w:color="auto" w:fill="FFFFFF"/>
            <w:noWrap/>
            <w:tcMar>
              <w:top w:w="15" w:type="dxa"/>
              <w:left w:w="15" w:type="dxa"/>
              <w:right w:w="15" w:type="dxa"/>
            </w:tcMar>
            <w:vAlign w:val="center"/>
          </w:tcPr>
          <w:p w14:paraId="6AAADF41">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41367978">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十、节能环保支出</w:t>
            </w:r>
          </w:p>
        </w:tc>
        <w:tc>
          <w:tcPr>
            <w:tcW w:w="0" w:type="auto"/>
            <w:shd w:val="clear" w:color="FFFFFF" w:fill="FFFFFF"/>
            <w:noWrap/>
            <w:tcMar>
              <w:top w:w="15" w:type="dxa"/>
              <w:left w:w="15" w:type="dxa"/>
              <w:right w:w="15" w:type="dxa"/>
            </w:tcMar>
            <w:vAlign w:val="center"/>
          </w:tcPr>
          <w:p w14:paraId="54413718">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38</w:t>
            </w:r>
          </w:p>
        </w:tc>
        <w:tc>
          <w:tcPr>
            <w:tcW w:w="0" w:type="auto"/>
            <w:shd w:val="clear" w:color="auto" w:fill="FFFFFF"/>
            <w:noWrap/>
            <w:tcMar>
              <w:top w:w="15" w:type="dxa"/>
              <w:left w:w="15" w:type="dxa"/>
              <w:right w:w="15" w:type="dxa"/>
            </w:tcMar>
            <w:vAlign w:val="center"/>
          </w:tcPr>
          <w:p w14:paraId="66F133A8">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56D8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0642D897">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5ED8F0C3">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11</w:t>
            </w:r>
          </w:p>
        </w:tc>
        <w:tc>
          <w:tcPr>
            <w:tcW w:w="0" w:type="auto"/>
            <w:shd w:val="clear" w:color="auto" w:fill="FFFFFF"/>
            <w:noWrap/>
            <w:tcMar>
              <w:top w:w="15" w:type="dxa"/>
              <w:left w:w="15" w:type="dxa"/>
              <w:right w:w="15" w:type="dxa"/>
            </w:tcMar>
            <w:vAlign w:val="center"/>
          </w:tcPr>
          <w:p w14:paraId="46B29776">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49F1E72C">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十一、城乡社区支出</w:t>
            </w:r>
          </w:p>
        </w:tc>
        <w:tc>
          <w:tcPr>
            <w:tcW w:w="0" w:type="auto"/>
            <w:shd w:val="clear" w:color="FFFFFF" w:fill="FFFFFF"/>
            <w:noWrap/>
            <w:tcMar>
              <w:top w:w="15" w:type="dxa"/>
              <w:left w:w="15" w:type="dxa"/>
              <w:right w:w="15" w:type="dxa"/>
            </w:tcMar>
            <w:vAlign w:val="center"/>
          </w:tcPr>
          <w:p w14:paraId="30C399BD">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39</w:t>
            </w:r>
          </w:p>
        </w:tc>
        <w:tc>
          <w:tcPr>
            <w:tcW w:w="0" w:type="auto"/>
            <w:shd w:val="clear" w:color="auto" w:fill="FFFFFF"/>
            <w:noWrap/>
            <w:tcMar>
              <w:top w:w="15" w:type="dxa"/>
              <w:left w:w="15" w:type="dxa"/>
              <w:right w:w="15" w:type="dxa"/>
            </w:tcMar>
            <w:vAlign w:val="center"/>
          </w:tcPr>
          <w:p w14:paraId="0C77369C">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6C31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746EC5F7">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56BB9130">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12</w:t>
            </w:r>
          </w:p>
        </w:tc>
        <w:tc>
          <w:tcPr>
            <w:tcW w:w="0" w:type="auto"/>
            <w:shd w:val="clear" w:color="auto" w:fill="FFFFFF"/>
            <w:noWrap/>
            <w:tcMar>
              <w:top w:w="15" w:type="dxa"/>
              <w:left w:w="15" w:type="dxa"/>
              <w:right w:w="15" w:type="dxa"/>
            </w:tcMar>
            <w:vAlign w:val="center"/>
          </w:tcPr>
          <w:p w14:paraId="3521D27E">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619AB84D">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十二、农林水支出</w:t>
            </w:r>
          </w:p>
        </w:tc>
        <w:tc>
          <w:tcPr>
            <w:tcW w:w="0" w:type="auto"/>
            <w:shd w:val="clear" w:color="FFFFFF" w:fill="FFFFFF"/>
            <w:noWrap/>
            <w:tcMar>
              <w:top w:w="15" w:type="dxa"/>
              <w:left w:w="15" w:type="dxa"/>
              <w:right w:w="15" w:type="dxa"/>
            </w:tcMar>
            <w:vAlign w:val="center"/>
          </w:tcPr>
          <w:p w14:paraId="608C73B8">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40</w:t>
            </w:r>
          </w:p>
        </w:tc>
        <w:tc>
          <w:tcPr>
            <w:tcW w:w="0" w:type="auto"/>
            <w:shd w:val="clear" w:color="auto" w:fill="FFFFFF"/>
            <w:noWrap/>
            <w:tcMar>
              <w:top w:w="15" w:type="dxa"/>
              <w:left w:w="15" w:type="dxa"/>
              <w:right w:w="15" w:type="dxa"/>
            </w:tcMar>
            <w:vAlign w:val="center"/>
          </w:tcPr>
          <w:p w14:paraId="7C12A390">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13.64</w:t>
            </w:r>
          </w:p>
        </w:tc>
      </w:tr>
      <w:tr w14:paraId="0C87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2A6ECAD3">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233EDE84">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13</w:t>
            </w:r>
          </w:p>
        </w:tc>
        <w:tc>
          <w:tcPr>
            <w:tcW w:w="0" w:type="auto"/>
            <w:shd w:val="clear" w:color="auto" w:fill="FFFFFF"/>
            <w:noWrap/>
            <w:tcMar>
              <w:top w:w="15" w:type="dxa"/>
              <w:left w:w="15" w:type="dxa"/>
              <w:right w:w="15" w:type="dxa"/>
            </w:tcMar>
            <w:vAlign w:val="center"/>
          </w:tcPr>
          <w:p w14:paraId="3C5DBAB0">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648ADF02">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十三、交通运输支出</w:t>
            </w:r>
          </w:p>
        </w:tc>
        <w:tc>
          <w:tcPr>
            <w:tcW w:w="0" w:type="auto"/>
            <w:shd w:val="clear" w:color="FFFFFF" w:fill="FFFFFF"/>
            <w:noWrap/>
            <w:tcMar>
              <w:top w:w="15" w:type="dxa"/>
              <w:left w:w="15" w:type="dxa"/>
              <w:right w:w="15" w:type="dxa"/>
            </w:tcMar>
            <w:vAlign w:val="center"/>
          </w:tcPr>
          <w:p w14:paraId="2951C41E">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41</w:t>
            </w:r>
          </w:p>
        </w:tc>
        <w:tc>
          <w:tcPr>
            <w:tcW w:w="0" w:type="auto"/>
            <w:shd w:val="clear" w:color="auto" w:fill="FFFFFF"/>
            <w:noWrap/>
            <w:tcMar>
              <w:top w:w="15" w:type="dxa"/>
              <w:left w:w="15" w:type="dxa"/>
              <w:right w:w="15" w:type="dxa"/>
            </w:tcMar>
            <w:vAlign w:val="center"/>
          </w:tcPr>
          <w:p w14:paraId="5CCB7F59">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1E29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246DF762">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00DF1FB2">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14</w:t>
            </w:r>
          </w:p>
        </w:tc>
        <w:tc>
          <w:tcPr>
            <w:tcW w:w="0" w:type="auto"/>
            <w:shd w:val="clear" w:color="auto" w:fill="FFFFFF"/>
            <w:noWrap/>
            <w:tcMar>
              <w:top w:w="15" w:type="dxa"/>
              <w:left w:w="15" w:type="dxa"/>
              <w:right w:w="15" w:type="dxa"/>
            </w:tcMar>
            <w:vAlign w:val="center"/>
          </w:tcPr>
          <w:p w14:paraId="0DE6C57E">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3B87348D">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十四、资源勘探信息等支出</w:t>
            </w:r>
          </w:p>
        </w:tc>
        <w:tc>
          <w:tcPr>
            <w:tcW w:w="0" w:type="auto"/>
            <w:shd w:val="clear" w:color="FFFFFF" w:fill="FFFFFF"/>
            <w:noWrap/>
            <w:tcMar>
              <w:top w:w="15" w:type="dxa"/>
              <w:left w:w="15" w:type="dxa"/>
              <w:right w:w="15" w:type="dxa"/>
            </w:tcMar>
            <w:vAlign w:val="center"/>
          </w:tcPr>
          <w:p w14:paraId="6FB14A8C">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42</w:t>
            </w:r>
          </w:p>
        </w:tc>
        <w:tc>
          <w:tcPr>
            <w:tcW w:w="0" w:type="auto"/>
            <w:shd w:val="clear" w:color="auto" w:fill="FFFFFF"/>
            <w:noWrap/>
            <w:tcMar>
              <w:top w:w="15" w:type="dxa"/>
              <w:left w:w="15" w:type="dxa"/>
              <w:right w:w="15" w:type="dxa"/>
            </w:tcMar>
            <w:vAlign w:val="center"/>
          </w:tcPr>
          <w:p w14:paraId="295C3202">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7E48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2710B26E">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18967ECD">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15</w:t>
            </w:r>
          </w:p>
        </w:tc>
        <w:tc>
          <w:tcPr>
            <w:tcW w:w="0" w:type="auto"/>
            <w:shd w:val="clear" w:color="auto" w:fill="FFFFFF"/>
            <w:noWrap/>
            <w:tcMar>
              <w:top w:w="15" w:type="dxa"/>
              <w:left w:w="15" w:type="dxa"/>
              <w:right w:w="15" w:type="dxa"/>
            </w:tcMar>
            <w:vAlign w:val="center"/>
          </w:tcPr>
          <w:p w14:paraId="15F88854">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6B35446C">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十五、商业服务业等支出</w:t>
            </w:r>
          </w:p>
        </w:tc>
        <w:tc>
          <w:tcPr>
            <w:tcW w:w="0" w:type="auto"/>
            <w:shd w:val="clear" w:color="FFFFFF" w:fill="FFFFFF"/>
            <w:noWrap/>
            <w:tcMar>
              <w:top w:w="15" w:type="dxa"/>
              <w:left w:w="15" w:type="dxa"/>
              <w:right w:w="15" w:type="dxa"/>
            </w:tcMar>
            <w:vAlign w:val="center"/>
          </w:tcPr>
          <w:p w14:paraId="2A9EACE0">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43</w:t>
            </w:r>
          </w:p>
        </w:tc>
        <w:tc>
          <w:tcPr>
            <w:tcW w:w="0" w:type="auto"/>
            <w:shd w:val="clear" w:color="auto" w:fill="FFFFFF"/>
            <w:noWrap/>
            <w:tcMar>
              <w:top w:w="15" w:type="dxa"/>
              <w:left w:w="15" w:type="dxa"/>
              <w:right w:w="15" w:type="dxa"/>
            </w:tcMar>
            <w:vAlign w:val="center"/>
          </w:tcPr>
          <w:p w14:paraId="6E5C9D08">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6D3B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3E27DFCF">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2387B734">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16</w:t>
            </w:r>
          </w:p>
        </w:tc>
        <w:tc>
          <w:tcPr>
            <w:tcW w:w="0" w:type="auto"/>
            <w:shd w:val="clear" w:color="auto" w:fill="FFFFFF"/>
            <w:noWrap/>
            <w:tcMar>
              <w:top w:w="15" w:type="dxa"/>
              <w:left w:w="15" w:type="dxa"/>
              <w:right w:w="15" w:type="dxa"/>
            </w:tcMar>
            <w:vAlign w:val="center"/>
          </w:tcPr>
          <w:p w14:paraId="06496E9D">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76327204">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十六、金融支出</w:t>
            </w:r>
          </w:p>
        </w:tc>
        <w:tc>
          <w:tcPr>
            <w:tcW w:w="0" w:type="auto"/>
            <w:shd w:val="clear" w:color="FFFFFF" w:fill="FFFFFF"/>
            <w:noWrap/>
            <w:tcMar>
              <w:top w:w="15" w:type="dxa"/>
              <w:left w:w="15" w:type="dxa"/>
              <w:right w:w="15" w:type="dxa"/>
            </w:tcMar>
            <w:vAlign w:val="center"/>
          </w:tcPr>
          <w:p w14:paraId="3208A026">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44</w:t>
            </w:r>
          </w:p>
        </w:tc>
        <w:tc>
          <w:tcPr>
            <w:tcW w:w="0" w:type="auto"/>
            <w:shd w:val="clear" w:color="auto" w:fill="FFFFFF"/>
            <w:noWrap/>
            <w:tcMar>
              <w:top w:w="15" w:type="dxa"/>
              <w:left w:w="15" w:type="dxa"/>
              <w:right w:w="15" w:type="dxa"/>
            </w:tcMar>
            <w:vAlign w:val="center"/>
          </w:tcPr>
          <w:p w14:paraId="57D8FBA5">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2C14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3B993855">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42A3B73D">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17</w:t>
            </w:r>
          </w:p>
        </w:tc>
        <w:tc>
          <w:tcPr>
            <w:tcW w:w="0" w:type="auto"/>
            <w:shd w:val="clear" w:color="auto" w:fill="FFFFFF"/>
            <w:noWrap/>
            <w:tcMar>
              <w:top w:w="15" w:type="dxa"/>
              <w:left w:w="15" w:type="dxa"/>
              <w:right w:w="15" w:type="dxa"/>
            </w:tcMar>
            <w:vAlign w:val="center"/>
          </w:tcPr>
          <w:p w14:paraId="100381D4">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0B50C3CF">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十七、援助其他地区支出</w:t>
            </w:r>
          </w:p>
        </w:tc>
        <w:tc>
          <w:tcPr>
            <w:tcW w:w="0" w:type="auto"/>
            <w:shd w:val="clear" w:color="FFFFFF" w:fill="FFFFFF"/>
            <w:noWrap/>
            <w:tcMar>
              <w:top w:w="15" w:type="dxa"/>
              <w:left w:w="15" w:type="dxa"/>
              <w:right w:w="15" w:type="dxa"/>
            </w:tcMar>
            <w:vAlign w:val="center"/>
          </w:tcPr>
          <w:p w14:paraId="33444D21">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45</w:t>
            </w:r>
          </w:p>
        </w:tc>
        <w:tc>
          <w:tcPr>
            <w:tcW w:w="0" w:type="auto"/>
            <w:shd w:val="clear" w:color="auto" w:fill="FFFFFF"/>
            <w:noWrap/>
            <w:tcMar>
              <w:top w:w="15" w:type="dxa"/>
              <w:left w:w="15" w:type="dxa"/>
              <w:right w:w="15" w:type="dxa"/>
            </w:tcMar>
            <w:vAlign w:val="center"/>
          </w:tcPr>
          <w:p w14:paraId="714F97B8">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2C1F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29245CE8">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37B539D1">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18</w:t>
            </w:r>
          </w:p>
        </w:tc>
        <w:tc>
          <w:tcPr>
            <w:tcW w:w="0" w:type="auto"/>
            <w:shd w:val="clear" w:color="auto" w:fill="FFFFFF"/>
            <w:noWrap/>
            <w:tcMar>
              <w:top w:w="15" w:type="dxa"/>
              <w:left w:w="15" w:type="dxa"/>
              <w:right w:w="15" w:type="dxa"/>
            </w:tcMar>
            <w:vAlign w:val="center"/>
          </w:tcPr>
          <w:p w14:paraId="1A222010">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763B7E90">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十八、自然资源海洋气象等支出</w:t>
            </w:r>
          </w:p>
        </w:tc>
        <w:tc>
          <w:tcPr>
            <w:tcW w:w="0" w:type="auto"/>
            <w:shd w:val="clear" w:color="FFFFFF" w:fill="FFFFFF"/>
            <w:noWrap/>
            <w:tcMar>
              <w:top w:w="15" w:type="dxa"/>
              <w:left w:w="15" w:type="dxa"/>
              <w:right w:w="15" w:type="dxa"/>
            </w:tcMar>
            <w:vAlign w:val="center"/>
          </w:tcPr>
          <w:p w14:paraId="2D726B7C">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46</w:t>
            </w:r>
          </w:p>
        </w:tc>
        <w:tc>
          <w:tcPr>
            <w:tcW w:w="0" w:type="auto"/>
            <w:shd w:val="clear" w:color="auto" w:fill="FFFFFF"/>
            <w:noWrap/>
            <w:tcMar>
              <w:top w:w="15" w:type="dxa"/>
              <w:left w:w="15" w:type="dxa"/>
              <w:right w:w="15" w:type="dxa"/>
            </w:tcMar>
            <w:vAlign w:val="center"/>
          </w:tcPr>
          <w:p w14:paraId="0B5E36DD">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46A7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2E4493A3">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71621CAF">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19</w:t>
            </w:r>
          </w:p>
        </w:tc>
        <w:tc>
          <w:tcPr>
            <w:tcW w:w="0" w:type="auto"/>
            <w:shd w:val="clear" w:color="auto" w:fill="FFFFFF"/>
            <w:noWrap/>
            <w:tcMar>
              <w:top w:w="15" w:type="dxa"/>
              <w:left w:w="15" w:type="dxa"/>
              <w:right w:w="15" w:type="dxa"/>
            </w:tcMar>
            <w:vAlign w:val="center"/>
          </w:tcPr>
          <w:p w14:paraId="45A92E1B">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0C2BCC96">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十九、住房保障支出</w:t>
            </w:r>
          </w:p>
        </w:tc>
        <w:tc>
          <w:tcPr>
            <w:tcW w:w="0" w:type="auto"/>
            <w:shd w:val="clear" w:color="FFFFFF" w:fill="FFFFFF"/>
            <w:noWrap/>
            <w:tcMar>
              <w:top w:w="15" w:type="dxa"/>
              <w:left w:w="15" w:type="dxa"/>
              <w:right w:w="15" w:type="dxa"/>
            </w:tcMar>
            <w:vAlign w:val="center"/>
          </w:tcPr>
          <w:p w14:paraId="4222ED09">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47</w:t>
            </w:r>
          </w:p>
        </w:tc>
        <w:tc>
          <w:tcPr>
            <w:tcW w:w="0" w:type="auto"/>
            <w:shd w:val="clear" w:color="auto" w:fill="FFFFFF"/>
            <w:noWrap/>
            <w:tcMar>
              <w:top w:w="15" w:type="dxa"/>
              <w:left w:w="15" w:type="dxa"/>
              <w:right w:w="15" w:type="dxa"/>
            </w:tcMar>
            <w:vAlign w:val="center"/>
          </w:tcPr>
          <w:p w14:paraId="3560F046">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5417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701B449E">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62674E1F">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20</w:t>
            </w:r>
          </w:p>
        </w:tc>
        <w:tc>
          <w:tcPr>
            <w:tcW w:w="0" w:type="auto"/>
            <w:shd w:val="clear" w:color="auto" w:fill="FFFFFF"/>
            <w:noWrap/>
            <w:tcMar>
              <w:top w:w="15" w:type="dxa"/>
              <w:left w:w="15" w:type="dxa"/>
              <w:right w:w="15" w:type="dxa"/>
            </w:tcMar>
            <w:vAlign w:val="center"/>
          </w:tcPr>
          <w:p w14:paraId="6CB5A571">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60FDADEC">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二十、粮油物资储备支出</w:t>
            </w:r>
          </w:p>
        </w:tc>
        <w:tc>
          <w:tcPr>
            <w:tcW w:w="0" w:type="auto"/>
            <w:shd w:val="clear" w:color="FFFFFF" w:fill="FFFFFF"/>
            <w:noWrap/>
            <w:tcMar>
              <w:top w:w="15" w:type="dxa"/>
              <w:left w:w="15" w:type="dxa"/>
              <w:right w:w="15" w:type="dxa"/>
            </w:tcMar>
            <w:vAlign w:val="center"/>
          </w:tcPr>
          <w:p w14:paraId="0D3C013B">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48</w:t>
            </w:r>
          </w:p>
        </w:tc>
        <w:tc>
          <w:tcPr>
            <w:tcW w:w="0" w:type="auto"/>
            <w:shd w:val="clear" w:color="auto" w:fill="FFFFFF"/>
            <w:noWrap/>
            <w:tcMar>
              <w:top w:w="15" w:type="dxa"/>
              <w:left w:w="15" w:type="dxa"/>
              <w:right w:w="15" w:type="dxa"/>
            </w:tcMar>
            <w:vAlign w:val="center"/>
          </w:tcPr>
          <w:p w14:paraId="4D07105A">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0DE2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0FBE04B2">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51E77F17">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21</w:t>
            </w:r>
          </w:p>
        </w:tc>
        <w:tc>
          <w:tcPr>
            <w:tcW w:w="0" w:type="auto"/>
            <w:shd w:val="clear" w:color="auto" w:fill="FFFFFF"/>
            <w:noWrap/>
            <w:tcMar>
              <w:top w:w="15" w:type="dxa"/>
              <w:left w:w="15" w:type="dxa"/>
              <w:right w:w="15" w:type="dxa"/>
            </w:tcMar>
            <w:vAlign w:val="center"/>
          </w:tcPr>
          <w:p w14:paraId="2BA47566">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1809C6F2">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二十一、灾害防治及应急管理支出</w:t>
            </w:r>
          </w:p>
        </w:tc>
        <w:tc>
          <w:tcPr>
            <w:tcW w:w="0" w:type="auto"/>
            <w:shd w:val="clear" w:color="FFFFFF" w:fill="FFFFFF"/>
            <w:noWrap/>
            <w:tcMar>
              <w:top w:w="15" w:type="dxa"/>
              <w:left w:w="15" w:type="dxa"/>
              <w:right w:w="15" w:type="dxa"/>
            </w:tcMar>
            <w:vAlign w:val="center"/>
          </w:tcPr>
          <w:p w14:paraId="38FFF144">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49</w:t>
            </w:r>
          </w:p>
        </w:tc>
        <w:tc>
          <w:tcPr>
            <w:tcW w:w="0" w:type="auto"/>
            <w:shd w:val="clear" w:color="auto" w:fill="FFFFFF"/>
            <w:noWrap/>
            <w:tcMar>
              <w:top w:w="15" w:type="dxa"/>
              <w:left w:w="15" w:type="dxa"/>
              <w:right w:w="15" w:type="dxa"/>
            </w:tcMar>
            <w:vAlign w:val="center"/>
          </w:tcPr>
          <w:p w14:paraId="0107CDD0">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2197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226764D9">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192370A7">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22</w:t>
            </w:r>
          </w:p>
        </w:tc>
        <w:tc>
          <w:tcPr>
            <w:tcW w:w="0" w:type="auto"/>
            <w:shd w:val="clear" w:color="auto" w:fill="FFFFFF"/>
            <w:noWrap/>
            <w:tcMar>
              <w:top w:w="15" w:type="dxa"/>
              <w:left w:w="15" w:type="dxa"/>
              <w:right w:w="15" w:type="dxa"/>
            </w:tcMar>
            <w:vAlign w:val="center"/>
          </w:tcPr>
          <w:p w14:paraId="541C7040">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297E9C33">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二十二、其他支出</w:t>
            </w:r>
          </w:p>
        </w:tc>
        <w:tc>
          <w:tcPr>
            <w:tcW w:w="0" w:type="auto"/>
            <w:shd w:val="clear" w:color="FFFFFF" w:fill="FFFFFF"/>
            <w:noWrap/>
            <w:tcMar>
              <w:top w:w="15" w:type="dxa"/>
              <w:left w:w="15" w:type="dxa"/>
              <w:right w:w="15" w:type="dxa"/>
            </w:tcMar>
            <w:vAlign w:val="center"/>
          </w:tcPr>
          <w:p w14:paraId="1E65B261">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50</w:t>
            </w:r>
          </w:p>
        </w:tc>
        <w:tc>
          <w:tcPr>
            <w:tcW w:w="0" w:type="auto"/>
            <w:shd w:val="clear" w:color="auto" w:fill="FFFFFF"/>
            <w:noWrap/>
            <w:tcMar>
              <w:top w:w="15" w:type="dxa"/>
              <w:left w:w="15" w:type="dxa"/>
              <w:right w:w="15" w:type="dxa"/>
            </w:tcMar>
            <w:vAlign w:val="center"/>
          </w:tcPr>
          <w:p w14:paraId="7F194D6F">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2B8C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7038AE05">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4E16C51F">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23</w:t>
            </w:r>
          </w:p>
        </w:tc>
        <w:tc>
          <w:tcPr>
            <w:tcW w:w="0" w:type="auto"/>
            <w:shd w:val="clear" w:color="auto" w:fill="FFFFFF"/>
            <w:noWrap/>
            <w:tcMar>
              <w:top w:w="15" w:type="dxa"/>
              <w:left w:w="15" w:type="dxa"/>
              <w:right w:w="15" w:type="dxa"/>
            </w:tcMar>
            <w:vAlign w:val="center"/>
          </w:tcPr>
          <w:p w14:paraId="55B6BBF4">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28315496">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3CBD6E61">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51</w:t>
            </w:r>
          </w:p>
        </w:tc>
        <w:tc>
          <w:tcPr>
            <w:tcW w:w="0" w:type="auto"/>
            <w:shd w:val="clear" w:color="auto" w:fill="FFFFFF"/>
            <w:noWrap/>
            <w:tcMar>
              <w:top w:w="15" w:type="dxa"/>
              <w:left w:w="15" w:type="dxa"/>
              <w:right w:w="15" w:type="dxa"/>
            </w:tcMar>
            <w:vAlign w:val="center"/>
          </w:tcPr>
          <w:p w14:paraId="3D294124">
            <w:pPr>
              <w:widowControl/>
              <w:spacing w:line="240" w:lineRule="exact"/>
              <w:jc w:val="center"/>
              <w:rPr>
                <w:rFonts w:ascii="Times New Roman" w:hAnsi="Times New Roman" w:cs="Times New Roman"/>
                <w:bCs/>
                <w:kern w:val="0"/>
                <w:szCs w:val="21"/>
              </w:rPr>
            </w:pPr>
          </w:p>
        </w:tc>
      </w:tr>
      <w:tr w14:paraId="07ED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4AEFE60B">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本年收入合计</w:t>
            </w:r>
          </w:p>
        </w:tc>
        <w:tc>
          <w:tcPr>
            <w:tcW w:w="0" w:type="auto"/>
            <w:shd w:val="clear" w:color="FFFFFF" w:fill="FFFFFF"/>
            <w:noWrap/>
            <w:tcMar>
              <w:top w:w="15" w:type="dxa"/>
              <w:left w:w="15" w:type="dxa"/>
              <w:right w:w="15" w:type="dxa"/>
            </w:tcMar>
            <w:vAlign w:val="center"/>
          </w:tcPr>
          <w:p w14:paraId="033E6FE2">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24</w:t>
            </w:r>
          </w:p>
        </w:tc>
        <w:tc>
          <w:tcPr>
            <w:tcW w:w="0" w:type="auto"/>
            <w:shd w:val="clear" w:color="auto" w:fill="FFFFFF"/>
            <w:noWrap/>
            <w:tcMar>
              <w:top w:w="15" w:type="dxa"/>
              <w:left w:w="15" w:type="dxa"/>
              <w:right w:w="15" w:type="dxa"/>
            </w:tcMar>
            <w:vAlign w:val="center"/>
          </w:tcPr>
          <w:p w14:paraId="7C2E3468">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1,181.85</w:t>
            </w:r>
          </w:p>
        </w:tc>
        <w:tc>
          <w:tcPr>
            <w:tcW w:w="0" w:type="auto"/>
            <w:shd w:val="clear" w:color="FFFFFF" w:fill="FFFFFF"/>
            <w:noWrap/>
            <w:tcMar>
              <w:top w:w="15" w:type="dxa"/>
              <w:left w:w="15" w:type="dxa"/>
              <w:right w:w="15" w:type="dxa"/>
            </w:tcMar>
            <w:vAlign w:val="center"/>
          </w:tcPr>
          <w:p w14:paraId="21AC85D4">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本年支出合计</w:t>
            </w:r>
          </w:p>
        </w:tc>
        <w:tc>
          <w:tcPr>
            <w:tcW w:w="0" w:type="auto"/>
            <w:shd w:val="clear" w:color="FFFFFF" w:fill="FFFFFF"/>
            <w:noWrap/>
            <w:tcMar>
              <w:top w:w="15" w:type="dxa"/>
              <w:left w:w="15" w:type="dxa"/>
              <w:right w:w="15" w:type="dxa"/>
            </w:tcMar>
            <w:vAlign w:val="center"/>
          </w:tcPr>
          <w:p w14:paraId="39F1BC72">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52</w:t>
            </w:r>
          </w:p>
        </w:tc>
        <w:tc>
          <w:tcPr>
            <w:tcW w:w="0" w:type="auto"/>
            <w:shd w:val="clear" w:color="auto" w:fill="FFFFFF"/>
            <w:noWrap/>
            <w:tcMar>
              <w:top w:w="15" w:type="dxa"/>
              <w:left w:w="15" w:type="dxa"/>
              <w:right w:w="15" w:type="dxa"/>
            </w:tcMar>
            <w:vAlign w:val="center"/>
          </w:tcPr>
          <w:p w14:paraId="2911BC4A">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1,276.11</w:t>
            </w:r>
          </w:p>
        </w:tc>
      </w:tr>
      <w:tr w14:paraId="76FB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67DE4DA4">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用事业基金弥补收支差额</w:t>
            </w:r>
          </w:p>
        </w:tc>
        <w:tc>
          <w:tcPr>
            <w:tcW w:w="0" w:type="auto"/>
            <w:shd w:val="clear" w:color="FFFFFF" w:fill="FFFFFF"/>
            <w:noWrap/>
            <w:tcMar>
              <w:top w:w="15" w:type="dxa"/>
              <w:left w:w="15" w:type="dxa"/>
              <w:right w:w="15" w:type="dxa"/>
            </w:tcMar>
            <w:vAlign w:val="center"/>
          </w:tcPr>
          <w:p w14:paraId="1044FE6E">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25</w:t>
            </w:r>
          </w:p>
        </w:tc>
        <w:tc>
          <w:tcPr>
            <w:tcW w:w="0" w:type="auto"/>
            <w:shd w:val="clear" w:color="auto" w:fill="FFFFFF"/>
            <w:noWrap/>
            <w:tcMar>
              <w:top w:w="15" w:type="dxa"/>
              <w:left w:w="15" w:type="dxa"/>
              <w:right w:w="15" w:type="dxa"/>
            </w:tcMar>
            <w:vAlign w:val="center"/>
          </w:tcPr>
          <w:p w14:paraId="20D7C591">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0" w:type="auto"/>
            <w:shd w:val="clear" w:color="FFFFFF" w:fill="FFFFFF"/>
            <w:noWrap/>
            <w:tcMar>
              <w:top w:w="15" w:type="dxa"/>
              <w:left w:w="15" w:type="dxa"/>
              <w:right w:w="15" w:type="dxa"/>
            </w:tcMar>
            <w:vAlign w:val="center"/>
          </w:tcPr>
          <w:p w14:paraId="049703E2">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结余分配</w:t>
            </w:r>
          </w:p>
        </w:tc>
        <w:tc>
          <w:tcPr>
            <w:tcW w:w="0" w:type="auto"/>
            <w:shd w:val="clear" w:color="FFFFFF" w:fill="FFFFFF"/>
            <w:noWrap/>
            <w:tcMar>
              <w:top w:w="15" w:type="dxa"/>
              <w:left w:w="15" w:type="dxa"/>
              <w:right w:w="15" w:type="dxa"/>
            </w:tcMar>
            <w:vAlign w:val="center"/>
          </w:tcPr>
          <w:p w14:paraId="75A2FBA5">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53</w:t>
            </w:r>
          </w:p>
        </w:tc>
        <w:tc>
          <w:tcPr>
            <w:tcW w:w="0" w:type="auto"/>
            <w:shd w:val="clear" w:color="auto" w:fill="FFFFFF"/>
            <w:noWrap/>
            <w:tcMar>
              <w:top w:w="15" w:type="dxa"/>
              <w:left w:w="15" w:type="dxa"/>
              <w:right w:w="15" w:type="dxa"/>
            </w:tcMar>
            <w:vAlign w:val="center"/>
          </w:tcPr>
          <w:p w14:paraId="4F4B2C77">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17DA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23140ACF">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年初结转和结余</w:t>
            </w:r>
          </w:p>
        </w:tc>
        <w:tc>
          <w:tcPr>
            <w:tcW w:w="0" w:type="auto"/>
            <w:shd w:val="clear" w:color="FFFFFF" w:fill="FFFFFF"/>
            <w:noWrap/>
            <w:tcMar>
              <w:top w:w="15" w:type="dxa"/>
              <w:left w:w="15" w:type="dxa"/>
              <w:right w:w="15" w:type="dxa"/>
            </w:tcMar>
            <w:vAlign w:val="center"/>
          </w:tcPr>
          <w:p w14:paraId="50196E23">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26</w:t>
            </w:r>
          </w:p>
        </w:tc>
        <w:tc>
          <w:tcPr>
            <w:tcW w:w="0" w:type="auto"/>
            <w:shd w:val="clear" w:color="auto" w:fill="FFFFFF"/>
            <w:noWrap/>
            <w:tcMar>
              <w:top w:w="15" w:type="dxa"/>
              <w:left w:w="15" w:type="dxa"/>
              <w:right w:w="15" w:type="dxa"/>
            </w:tcMar>
            <w:vAlign w:val="center"/>
          </w:tcPr>
          <w:p w14:paraId="1DFD7BB2">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315.88</w:t>
            </w:r>
          </w:p>
        </w:tc>
        <w:tc>
          <w:tcPr>
            <w:tcW w:w="0" w:type="auto"/>
            <w:shd w:val="clear" w:color="FFFFFF" w:fill="FFFFFF"/>
            <w:noWrap/>
            <w:tcMar>
              <w:top w:w="15" w:type="dxa"/>
              <w:left w:w="15" w:type="dxa"/>
              <w:right w:w="15" w:type="dxa"/>
            </w:tcMar>
            <w:vAlign w:val="center"/>
          </w:tcPr>
          <w:p w14:paraId="77F77262">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年末结转和结余</w:t>
            </w:r>
          </w:p>
        </w:tc>
        <w:tc>
          <w:tcPr>
            <w:tcW w:w="0" w:type="auto"/>
            <w:shd w:val="clear" w:color="FFFFFF" w:fill="FFFFFF"/>
            <w:noWrap/>
            <w:tcMar>
              <w:top w:w="15" w:type="dxa"/>
              <w:left w:w="15" w:type="dxa"/>
              <w:right w:w="15" w:type="dxa"/>
            </w:tcMar>
            <w:vAlign w:val="center"/>
          </w:tcPr>
          <w:p w14:paraId="4ACCAEED">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54</w:t>
            </w:r>
          </w:p>
        </w:tc>
        <w:tc>
          <w:tcPr>
            <w:tcW w:w="0" w:type="auto"/>
            <w:shd w:val="clear" w:color="auto" w:fill="FFFFFF"/>
            <w:noWrap/>
            <w:tcMar>
              <w:top w:w="15" w:type="dxa"/>
              <w:left w:w="15" w:type="dxa"/>
              <w:right w:w="15" w:type="dxa"/>
            </w:tcMar>
            <w:vAlign w:val="center"/>
          </w:tcPr>
          <w:p w14:paraId="19A412A7">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221.62</w:t>
            </w:r>
          </w:p>
        </w:tc>
      </w:tr>
      <w:tr w14:paraId="6B1F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40E2F8DA">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54B72F34">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27</w:t>
            </w:r>
          </w:p>
        </w:tc>
        <w:tc>
          <w:tcPr>
            <w:tcW w:w="0" w:type="auto"/>
            <w:shd w:val="clear" w:color="auto" w:fill="FFFFFF"/>
            <w:noWrap/>
            <w:tcMar>
              <w:top w:w="15" w:type="dxa"/>
              <w:left w:w="15" w:type="dxa"/>
              <w:right w:w="15" w:type="dxa"/>
            </w:tcMar>
            <w:vAlign w:val="center"/>
          </w:tcPr>
          <w:p w14:paraId="7FBF0F54">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773E339F">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14:paraId="0F5EAE12">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55</w:t>
            </w:r>
          </w:p>
        </w:tc>
        <w:tc>
          <w:tcPr>
            <w:tcW w:w="0" w:type="auto"/>
            <w:shd w:val="clear" w:color="auto" w:fill="FFFFFF"/>
            <w:noWrap/>
            <w:tcMar>
              <w:top w:w="15" w:type="dxa"/>
              <w:left w:w="15" w:type="dxa"/>
              <w:right w:w="15" w:type="dxa"/>
            </w:tcMar>
            <w:vAlign w:val="center"/>
          </w:tcPr>
          <w:p w14:paraId="5FD7EE8E">
            <w:pPr>
              <w:widowControl/>
              <w:spacing w:line="240" w:lineRule="exact"/>
              <w:jc w:val="center"/>
              <w:rPr>
                <w:rFonts w:ascii="Times New Roman" w:hAnsi="Times New Roman" w:cs="Times New Roman"/>
                <w:bCs/>
                <w:kern w:val="0"/>
                <w:szCs w:val="21"/>
              </w:rPr>
            </w:pPr>
          </w:p>
        </w:tc>
      </w:tr>
      <w:tr w14:paraId="25AA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14:paraId="6F487918">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总计</w:t>
            </w:r>
          </w:p>
        </w:tc>
        <w:tc>
          <w:tcPr>
            <w:tcW w:w="0" w:type="auto"/>
            <w:shd w:val="clear" w:color="FFFFFF" w:fill="FFFFFF"/>
            <w:noWrap/>
            <w:tcMar>
              <w:top w:w="15" w:type="dxa"/>
              <w:left w:w="15" w:type="dxa"/>
              <w:right w:w="15" w:type="dxa"/>
            </w:tcMar>
            <w:vAlign w:val="center"/>
          </w:tcPr>
          <w:p w14:paraId="01DC34CB">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28</w:t>
            </w:r>
          </w:p>
        </w:tc>
        <w:tc>
          <w:tcPr>
            <w:tcW w:w="0" w:type="auto"/>
            <w:shd w:val="clear" w:color="auto" w:fill="FFFFFF"/>
            <w:noWrap/>
            <w:tcMar>
              <w:top w:w="15" w:type="dxa"/>
              <w:left w:w="15" w:type="dxa"/>
              <w:right w:w="15" w:type="dxa"/>
            </w:tcMar>
            <w:vAlign w:val="center"/>
          </w:tcPr>
          <w:p w14:paraId="40429E47">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1,497.73</w:t>
            </w:r>
          </w:p>
        </w:tc>
        <w:tc>
          <w:tcPr>
            <w:tcW w:w="0" w:type="auto"/>
            <w:shd w:val="clear" w:color="FFFFFF" w:fill="FFFFFF"/>
            <w:noWrap/>
            <w:tcMar>
              <w:top w:w="15" w:type="dxa"/>
              <w:left w:w="15" w:type="dxa"/>
              <w:right w:w="15" w:type="dxa"/>
            </w:tcMar>
            <w:vAlign w:val="center"/>
          </w:tcPr>
          <w:p w14:paraId="701BF902">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总计</w:t>
            </w:r>
          </w:p>
        </w:tc>
        <w:tc>
          <w:tcPr>
            <w:tcW w:w="0" w:type="auto"/>
            <w:shd w:val="clear" w:color="FFFFFF" w:fill="FFFFFF"/>
            <w:noWrap/>
            <w:tcMar>
              <w:top w:w="15" w:type="dxa"/>
              <w:left w:w="15" w:type="dxa"/>
              <w:right w:w="15" w:type="dxa"/>
            </w:tcMar>
            <w:vAlign w:val="center"/>
          </w:tcPr>
          <w:p w14:paraId="62415D9E">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56</w:t>
            </w:r>
          </w:p>
        </w:tc>
        <w:tc>
          <w:tcPr>
            <w:tcW w:w="0" w:type="auto"/>
            <w:shd w:val="clear" w:color="auto" w:fill="FFFFFF"/>
            <w:noWrap/>
            <w:tcMar>
              <w:top w:w="15" w:type="dxa"/>
              <w:left w:w="15" w:type="dxa"/>
              <w:right w:w="15" w:type="dxa"/>
            </w:tcMar>
            <w:vAlign w:val="center"/>
          </w:tcPr>
          <w:p w14:paraId="7BDDF3E5">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1,497.73</w:t>
            </w:r>
          </w:p>
        </w:tc>
      </w:tr>
      <w:tr w14:paraId="1DA7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gridSpan w:val="6"/>
            <w:shd w:val="clear" w:color="auto" w:fill="FFFFFF"/>
            <w:noWrap/>
            <w:tcMar>
              <w:top w:w="15" w:type="dxa"/>
              <w:left w:w="15" w:type="dxa"/>
              <w:right w:w="15" w:type="dxa"/>
            </w:tcMar>
            <w:vAlign w:val="center"/>
          </w:tcPr>
          <w:p w14:paraId="12B20729">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注：本表反映部门本年度的总收支和年末结转结余情况。</w:t>
            </w:r>
          </w:p>
        </w:tc>
      </w:tr>
    </w:tbl>
    <w:p w14:paraId="04953880">
      <w:pPr>
        <w:widowControl/>
        <w:tabs>
          <w:tab w:val="left" w:pos="372"/>
          <w:tab w:val="left" w:pos="712"/>
          <w:tab w:val="left" w:pos="1052"/>
          <w:tab w:val="left" w:pos="5604"/>
          <w:tab w:val="left" w:pos="6884"/>
          <w:tab w:val="left" w:pos="8124"/>
          <w:tab w:val="left" w:pos="9344"/>
          <w:tab w:val="left" w:pos="10584"/>
          <w:tab w:val="left" w:pos="11744"/>
          <w:tab w:val="left" w:pos="13044"/>
        </w:tabs>
        <w:spacing w:line="500" w:lineRule="exact"/>
        <w:ind w:left="34"/>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收入决算表</w:t>
      </w:r>
    </w:p>
    <w:p w14:paraId="341604A4">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center"/>
        <w:rPr>
          <w:rFonts w:ascii="Times New Roman" w:hAnsi="Times New Roman" w:cs="Times New Roman"/>
          <w:bCs/>
          <w:kern w:val="0"/>
          <w:szCs w:val="21"/>
        </w:rPr>
      </w:pPr>
      <w:r>
        <w:rPr>
          <w:rFonts w:ascii="Times New Roman" w:hAnsi="Times New Roman" w:cs="Times New Roman"/>
          <w:bCs/>
          <w:kern w:val="0"/>
          <w:szCs w:val="21"/>
        </w:rPr>
        <w:t xml:space="preserve">                                                                                                                          公开02表</w:t>
      </w:r>
    </w:p>
    <w:p w14:paraId="3B206A17">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left"/>
        <w:rPr>
          <w:rFonts w:ascii="Times New Roman" w:hAnsi="Times New Roman" w:eastAsia="宋体" w:cs="Times New Roman"/>
          <w:kern w:val="0"/>
          <w:sz w:val="20"/>
          <w:szCs w:val="20"/>
        </w:rPr>
      </w:pPr>
      <w:r>
        <w:rPr>
          <w:rFonts w:ascii="Times New Roman" w:hAnsi="Times New Roman" w:cs="Times New Roman"/>
          <w:bCs/>
          <w:kern w:val="0"/>
          <w:szCs w:val="21"/>
        </w:rPr>
        <w:t>部门：中共醴陵市委组织部                                                                                                金额单位：万元</w:t>
      </w:r>
    </w:p>
    <w:tbl>
      <w:tblPr>
        <w:tblStyle w:val="6"/>
        <w:tblW w:w="13863" w:type="dxa"/>
        <w:jc w:val="center"/>
        <w:tblLayout w:type="fixed"/>
        <w:tblCellMar>
          <w:top w:w="0" w:type="dxa"/>
          <w:left w:w="0" w:type="dxa"/>
          <w:bottom w:w="0" w:type="dxa"/>
          <w:right w:w="0" w:type="dxa"/>
        </w:tblCellMar>
      </w:tblPr>
      <w:tblGrid>
        <w:gridCol w:w="3210"/>
        <w:gridCol w:w="3153"/>
        <w:gridCol w:w="840"/>
        <w:gridCol w:w="840"/>
        <w:gridCol w:w="840"/>
        <w:gridCol w:w="840"/>
        <w:gridCol w:w="840"/>
        <w:gridCol w:w="840"/>
        <w:gridCol w:w="1430"/>
        <w:gridCol w:w="1030"/>
      </w:tblGrid>
      <w:tr w14:paraId="7EAC1316">
        <w:tblPrEx>
          <w:tblCellMar>
            <w:top w:w="0" w:type="dxa"/>
            <w:left w:w="0" w:type="dxa"/>
            <w:bottom w:w="0" w:type="dxa"/>
            <w:right w:w="0" w:type="dxa"/>
          </w:tblCellMar>
        </w:tblPrEx>
        <w:trPr>
          <w:cantSplit/>
          <w:trHeight w:val="308" w:hRule="atLeast"/>
          <w:jc w:val="center"/>
        </w:trPr>
        <w:tc>
          <w:tcPr>
            <w:tcW w:w="6363"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14:paraId="59A433AB">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项目</w:t>
            </w:r>
          </w:p>
        </w:tc>
        <w:tc>
          <w:tcPr>
            <w:tcW w:w="840"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33852E52">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本年收入合计</w:t>
            </w:r>
          </w:p>
        </w:tc>
        <w:tc>
          <w:tcPr>
            <w:tcW w:w="840"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05A50182">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财政拨款收入</w:t>
            </w:r>
          </w:p>
        </w:tc>
        <w:tc>
          <w:tcPr>
            <w:tcW w:w="840"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53D5DCAC">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上级补助收入</w:t>
            </w:r>
          </w:p>
        </w:tc>
        <w:tc>
          <w:tcPr>
            <w:tcW w:w="840"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30CA4E50">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事业收入</w:t>
            </w:r>
          </w:p>
        </w:tc>
        <w:tc>
          <w:tcPr>
            <w:tcW w:w="840"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293E61A0">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经营收入</w:t>
            </w:r>
          </w:p>
        </w:tc>
        <w:tc>
          <w:tcPr>
            <w:tcW w:w="840"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2272FA50">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附属单位上缴收入</w:t>
            </w:r>
          </w:p>
        </w:tc>
        <w:tc>
          <w:tcPr>
            <w:tcW w:w="2460" w:type="dxa"/>
            <w:gridSpan w:val="2"/>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2890E841">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其他收入</w:t>
            </w:r>
          </w:p>
        </w:tc>
      </w:tr>
      <w:tr w14:paraId="7F29E313">
        <w:tblPrEx>
          <w:tblCellMar>
            <w:top w:w="0" w:type="dxa"/>
            <w:left w:w="0" w:type="dxa"/>
            <w:bottom w:w="0" w:type="dxa"/>
            <w:right w:w="0" w:type="dxa"/>
          </w:tblCellMar>
        </w:tblPrEx>
        <w:trPr>
          <w:cantSplit/>
          <w:trHeight w:val="308" w:hRule="atLeast"/>
          <w:jc w:val="center"/>
        </w:trPr>
        <w:tc>
          <w:tcPr>
            <w:tcW w:w="3210" w:type="dxa"/>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5642188">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功能分类科目编码</w:t>
            </w:r>
          </w:p>
        </w:tc>
        <w:tc>
          <w:tcPr>
            <w:tcW w:w="3153" w:type="dxa"/>
            <w:vMerge w:val="restart"/>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14:paraId="164EF1BD">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科目名称</w:t>
            </w: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56EF4B51">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406E7766">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289B982A">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7B17241D">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407F9BD6">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6DAD4B14">
            <w:pPr>
              <w:widowControl/>
              <w:spacing w:line="300" w:lineRule="exact"/>
              <w:jc w:val="center"/>
              <w:rPr>
                <w:rFonts w:ascii="Times New Roman" w:hAnsi="Times New Roman" w:cs="Times New Roman"/>
                <w:bCs/>
                <w:kern w:val="0"/>
                <w:szCs w:val="21"/>
              </w:rPr>
            </w:pPr>
          </w:p>
        </w:tc>
        <w:tc>
          <w:tcPr>
            <w:tcW w:w="2460" w:type="dxa"/>
            <w:gridSpan w:val="2"/>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282F0CBF">
            <w:pPr>
              <w:widowControl/>
              <w:spacing w:line="300" w:lineRule="exact"/>
              <w:jc w:val="center"/>
              <w:rPr>
                <w:rFonts w:ascii="Times New Roman" w:hAnsi="Times New Roman" w:cs="Times New Roman"/>
                <w:bCs/>
                <w:kern w:val="0"/>
                <w:szCs w:val="21"/>
              </w:rPr>
            </w:pPr>
          </w:p>
        </w:tc>
      </w:tr>
      <w:tr w14:paraId="37408B20">
        <w:tblPrEx>
          <w:tblCellMar>
            <w:top w:w="0" w:type="dxa"/>
            <w:left w:w="0" w:type="dxa"/>
            <w:bottom w:w="0" w:type="dxa"/>
            <w:right w:w="0" w:type="dxa"/>
          </w:tblCellMar>
        </w:tblPrEx>
        <w:trPr>
          <w:cantSplit/>
          <w:trHeight w:val="308" w:hRule="atLeast"/>
          <w:jc w:val="center"/>
        </w:trPr>
        <w:tc>
          <w:tcPr>
            <w:tcW w:w="3210" w:type="dxa"/>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6DDD2B5">
            <w:pPr>
              <w:widowControl/>
              <w:spacing w:line="300" w:lineRule="exact"/>
              <w:jc w:val="center"/>
              <w:rPr>
                <w:rFonts w:ascii="Times New Roman" w:hAnsi="Times New Roman" w:cs="Times New Roman"/>
                <w:bCs/>
                <w:kern w:val="0"/>
                <w:szCs w:val="21"/>
              </w:rPr>
            </w:pPr>
          </w:p>
        </w:tc>
        <w:tc>
          <w:tcPr>
            <w:tcW w:w="3153" w:type="dxa"/>
            <w:vMerge w:val="continue"/>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14:paraId="32F7706F">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016020A9">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309EFD84">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7E3204EE">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40F7033F">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11980A8F">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33BAD7FE">
            <w:pPr>
              <w:widowControl/>
              <w:spacing w:line="300" w:lineRule="exact"/>
              <w:jc w:val="center"/>
              <w:rPr>
                <w:rFonts w:ascii="Times New Roman" w:hAnsi="Times New Roman" w:cs="Times New Roman"/>
                <w:bCs/>
                <w:kern w:val="0"/>
                <w:szCs w:val="21"/>
              </w:rPr>
            </w:pPr>
          </w:p>
        </w:tc>
        <w:tc>
          <w:tcPr>
            <w:tcW w:w="2460" w:type="dxa"/>
            <w:gridSpan w:val="2"/>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70A40DEB">
            <w:pPr>
              <w:widowControl/>
              <w:spacing w:line="300" w:lineRule="exact"/>
              <w:jc w:val="center"/>
              <w:rPr>
                <w:rFonts w:ascii="Times New Roman" w:hAnsi="Times New Roman" w:cs="Times New Roman"/>
                <w:bCs/>
                <w:kern w:val="0"/>
                <w:szCs w:val="21"/>
              </w:rPr>
            </w:pPr>
          </w:p>
        </w:tc>
      </w:tr>
      <w:tr w14:paraId="632ACF00">
        <w:tblPrEx>
          <w:tblCellMar>
            <w:top w:w="0" w:type="dxa"/>
            <w:left w:w="0" w:type="dxa"/>
            <w:bottom w:w="0" w:type="dxa"/>
            <w:right w:w="0" w:type="dxa"/>
          </w:tblCellMar>
        </w:tblPrEx>
        <w:trPr>
          <w:cantSplit/>
          <w:trHeight w:val="308" w:hRule="atLeast"/>
          <w:jc w:val="center"/>
        </w:trPr>
        <w:tc>
          <w:tcPr>
            <w:tcW w:w="3210" w:type="dxa"/>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64AA3E0">
            <w:pPr>
              <w:widowControl/>
              <w:spacing w:line="300" w:lineRule="exact"/>
              <w:jc w:val="center"/>
              <w:rPr>
                <w:rFonts w:ascii="Times New Roman" w:hAnsi="Times New Roman" w:cs="Times New Roman"/>
                <w:bCs/>
                <w:kern w:val="0"/>
                <w:szCs w:val="21"/>
              </w:rPr>
            </w:pPr>
          </w:p>
        </w:tc>
        <w:tc>
          <w:tcPr>
            <w:tcW w:w="3153" w:type="dxa"/>
            <w:vMerge w:val="continue"/>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14:paraId="5445461E">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3CCE9AEE">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1062B017">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68ED534A">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54F9C8B4">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2414FB4F">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34E721A2">
            <w:pPr>
              <w:widowControl/>
              <w:spacing w:line="300" w:lineRule="exact"/>
              <w:jc w:val="center"/>
              <w:rPr>
                <w:rFonts w:ascii="Times New Roman" w:hAnsi="Times New Roman" w:cs="Times New Roman"/>
                <w:bCs/>
                <w:kern w:val="0"/>
                <w:szCs w:val="21"/>
              </w:rPr>
            </w:pPr>
          </w:p>
        </w:tc>
        <w:tc>
          <w:tcPr>
            <w:tcW w:w="2460" w:type="dxa"/>
            <w:gridSpan w:val="2"/>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30A9C7DC">
            <w:pPr>
              <w:widowControl/>
              <w:spacing w:line="300" w:lineRule="exact"/>
              <w:jc w:val="center"/>
              <w:rPr>
                <w:rFonts w:ascii="Times New Roman" w:hAnsi="Times New Roman" w:cs="Times New Roman"/>
                <w:bCs/>
                <w:kern w:val="0"/>
                <w:szCs w:val="21"/>
              </w:rPr>
            </w:pPr>
          </w:p>
        </w:tc>
      </w:tr>
      <w:tr w14:paraId="0645A857">
        <w:tblPrEx>
          <w:tblCellMar>
            <w:top w:w="0" w:type="dxa"/>
            <w:left w:w="0" w:type="dxa"/>
            <w:bottom w:w="0" w:type="dxa"/>
            <w:right w:w="0" w:type="dxa"/>
          </w:tblCellMar>
        </w:tblPrEx>
        <w:trPr>
          <w:cantSplit/>
          <w:trHeight w:val="308" w:hRule="atLeast"/>
          <w:jc w:val="center"/>
        </w:trPr>
        <w:tc>
          <w:tcPr>
            <w:tcW w:w="6363" w:type="dxa"/>
            <w:gridSpan w:val="2"/>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14:paraId="6BECF9C6">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栏次</w:t>
            </w:r>
          </w:p>
        </w:tc>
        <w:tc>
          <w:tcPr>
            <w:tcW w:w="8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6B196D0">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1</w:t>
            </w:r>
          </w:p>
        </w:tc>
        <w:tc>
          <w:tcPr>
            <w:tcW w:w="8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084E74C">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w:t>
            </w:r>
          </w:p>
        </w:tc>
        <w:tc>
          <w:tcPr>
            <w:tcW w:w="8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F99C534">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3</w:t>
            </w:r>
          </w:p>
        </w:tc>
        <w:tc>
          <w:tcPr>
            <w:tcW w:w="8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1E3A267">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4</w:t>
            </w:r>
          </w:p>
        </w:tc>
        <w:tc>
          <w:tcPr>
            <w:tcW w:w="8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5B43C37">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5</w:t>
            </w:r>
          </w:p>
        </w:tc>
        <w:tc>
          <w:tcPr>
            <w:tcW w:w="8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5C9D894A">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6</w:t>
            </w:r>
          </w:p>
        </w:tc>
        <w:tc>
          <w:tcPr>
            <w:tcW w:w="246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A4CC125">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7</w:t>
            </w:r>
          </w:p>
        </w:tc>
      </w:tr>
      <w:tr w14:paraId="3C967AB8">
        <w:tblPrEx>
          <w:tblCellMar>
            <w:top w:w="0" w:type="dxa"/>
            <w:left w:w="0" w:type="dxa"/>
            <w:bottom w:w="0" w:type="dxa"/>
            <w:right w:w="0" w:type="dxa"/>
          </w:tblCellMar>
        </w:tblPrEx>
        <w:trPr>
          <w:cantSplit/>
          <w:trHeight w:val="308" w:hRule="atLeast"/>
          <w:jc w:val="center"/>
        </w:trPr>
        <w:tc>
          <w:tcPr>
            <w:tcW w:w="6363" w:type="dxa"/>
            <w:gridSpan w:val="2"/>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14:paraId="38C12E90">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合计</w:t>
            </w:r>
          </w:p>
        </w:tc>
        <w:tc>
          <w:tcPr>
            <w:tcW w:w="8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04FC33">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1,181.85</w:t>
            </w:r>
          </w:p>
        </w:tc>
        <w:tc>
          <w:tcPr>
            <w:tcW w:w="8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6550E5">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1,159.90</w:t>
            </w:r>
          </w:p>
        </w:tc>
        <w:tc>
          <w:tcPr>
            <w:tcW w:w="8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31CA93">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D26E50">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D17ACC">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88CDA4">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744EEE">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21.95</w:t>
            </w:r>
          </w:p>
        </w:tc>
      </w:tr>
      <w:tr w14:paraId="4FED9893">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DAD0E">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201</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36EEC">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一般公共服务支出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0FB47">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1,143.71</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6C0ED">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1,121.76</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C78FF">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92FA1">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2E1F6">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14774">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66532">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21.95</w:t>
            </w:r>
          </w:p>
        </w:tc>
      </w:tr>
      <w:tr w14:paraId="37B574C3">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B8DA4">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20132</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0027A">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组织事务</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2FE41">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992.21</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65B35">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970.26</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5CAC2">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DE0C8">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D5217">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74AEF">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8A535">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21.95</w:t>
            </w:r>
          </w:p>
        </w:tc>
      </w:tr>
      <w:tr w14:paraId="3B6B48FE">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3A43">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2013201</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35224">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 xml:space="preserve">  行政运行</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CD6F6">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426.69</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016AE">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404.74</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126FD">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EF1F5">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E5EEE">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10931">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5E483">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21.95</w:t>
            </w:r>
          </w:p>
        </w:tc>
      </w:tr>
      <w:tr w14:paraId="1BE2BCCE">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AA3D">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2013202</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DE753">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 xml:space="preserve">  一般行政管理事务</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5BA32">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270.22</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E937F">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270.22</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375DA">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3FE60">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66C9B">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CEDA4">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55BC6">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4645396B">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A1A49">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2013299</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4FF7B">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 xml:space="preserve">  其他组织事务支出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03B45">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295.30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1CDB3">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295.30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428AB">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0DE49">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CBEB3">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1C4D2">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4CFA6">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5889BD24">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F5C5">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20199</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A87A6">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其他一般公共服务支出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CC1E9">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151.50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3C486">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151.50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F5E52">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03691">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05516">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763D6">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C520C">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6344C3F7">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333F2">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2019999</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B7BC8">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 xml:space="preserve">  其他一般公共服务支出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7D6E7">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151.50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25092">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151.50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53A2B">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68D76">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5576E">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17D0D">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84775">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61D6AF65">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ABE0">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205</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77D6D">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教育支出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C41DA">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26.01</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F8680">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26.01</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8231F">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00B25">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26EE4">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F9429">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F8B71">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1CD157F1">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0740">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20599</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4D3F6">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其他教育支出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5AEB3">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26.01</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14F21">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26.01</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5F44E">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0D5CF">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982A6">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09A35">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86173">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7F11D96C">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25DE8">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2059999</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1F738">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 xml:space="preserve">  其他教育支出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7E968">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26.01</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5AED5">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26.01</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8603D">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ED8D9">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08BE9">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3842F">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01249">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6C1EFE83">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0584">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210</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AB85E">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卫生健康支出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8B453">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9.63</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C709A">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9.63</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C6F64">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037AB">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5A8D0">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09B80">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8A2C8">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18BEE009">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A142">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21011</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E5DD8">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行政事业单位医疗</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CD71D">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9.63</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A29C3">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9.63</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3ABC5">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403F6">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23B53">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C3D29">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4A275">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000383F7">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85250">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2101101</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BFF8F">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 xml:space="preserve">  行政单位医疗</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1DB36">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9.63</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CF9BE">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9.63</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8FEFC">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07D88">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977DB">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FC62D">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84B94">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31E05915">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EAA7">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213</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B0305">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农林水支出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CAA33">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2.50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1B339">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2.50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B57C4">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0A945">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72BC6">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8482B">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415BB">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49713543">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39F1">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21301</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FE5E6">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农业</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EB490">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2.50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4FDC6">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2.50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299C7">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6D773">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80116">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BF76F">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61F7B">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333D1C1B">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FD49">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2130152</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3C7E1">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 xml:space="preserve">  对高校毕业生到基层任职补助</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26671">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2.50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4A82B">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2.50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CFC4A">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EB595">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CEFBF">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F7250">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A21E6">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14:paraId="72BA08E3">
        <w:tblPrEx>
          <w:tblCellMar>
            <w:top w:w="0" w:type="dxa"/>
            <w:left w:w="0" w:type="dxa"/>
            <w:bottom w:w="0" w:type="dxa"/>
            <w:right w:w="0" w:type="dxa"/>
          </w:tblCellMar>
        </w:tblPrEx>
        <w:trPr>
          <w:gridAfter w:val="1"/>
          <w:wAfter w:w="1030" w:type="dxa"/>
          <w:cantSplit/>
          <w:trHeight w:val="308" w:hRule="atLeast"/>
          <w:jc w:val="center"/>
        </w:trPr>
        <w:tc>
          <w:tcPr>
            <w:tcW w:w="12833" w:type="dxa"/>
            <w:gridSpan w:val="9"/>
            <w:tcBorders>
              <w:top w:val="nil"/>
              <w:left w:val="nil"/>
              <w:bottom w:val="nil"/>
              <w:right w:val="nil"/>
            </w:tcBorders>
            <w:shd w:val="clear" w:color="auto" w:fill="auto"/>
            <w:noWrap/>
            <w:tcMar>
              <w:top w:w="15" w:type="dxa"/>
              <w:left w:w="15" w:type="dxa"/>
              <w:right w:w="15" w:type="dxa"/>
            </w:tcMar>
            <w:vAlign w:val="center"/>
          </w:tcPr>
          <w:p w14:paraId="1C95DB6A">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注：本表反映部门本年度取得的各项收入情况。</w:t>
            </w:r>
          </w:p>
        </w:tc>
      </w:tr>
    </w:tbl>
    <w:p w14:paraId="2EE72DBA">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center"/>
        <w:rPr>
          <w:rFonts w:ascii="Times New Roman" w:hAnsi="Times New Roman" w:eastAsia="方正小标宋简体" w:cs="Times New Roman"/>
          <w:kern w:val="0"/>
          <w:sz w:val="44"/>
          <w:szCs w:val="44"/>
        </w:rPr>
      </w:pPr>
    </w:p>
    <w:p w14:paraId="7C0CC9EA">
      <w:pPr>
        <w:widowControl/>
        <w:tabs>
          <w:tab w:val="left" w:pos="431"/>
          <w:tab w:val="left" w:pos="771"/>
          <w:tab w:val="left" w:pos="1111"/>
          <w:tab w:val="left" w:pos="5545"/>
          <w:tab w:val="left" w:pos="7065"/>
          <w:tab w:val="left" w:pos="8445"/>
          <w:tab w:val="left" w:pos="9865"/>
          <w:tab w:val="left" w:pos="11305"/>
          <w:tab w:val="left" w:pos="12825"/>
        </w:tabs>
        <w:ind w:left="91"/>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支出决算表</w:t>
      </w:r>
    </w:p>
    <w:p w14:paraId="02E6EB35">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center"/>
        <w:rPr>
          <w:rFonts w:ascii="Times New Roman" w:hAnsi="Times New Roman" w:cs="Times New Roman"/>
          <w:bCs/>
          <w:kern w:val="0"/>
          <w:szCs w:val="21"/>
        </w:rPr>
      </w:pPr>
      <w:r>
        <w:rPr>
          <w:rFonts w:ascii="Times New Roman" w:hAnsi="Times New Roman" w:cs="Times New Roman"/>
          <w:bCs/>
          <w:kern w:val="0"/>
          <w:szCs w:val="21"/>
        </w:rPr>
        <w:t xml:space="preserve">                                                                                                                            公开03表</w:t>
      </w:r>
    </w:p>
    <w:p w14:paraId="58DD48AD">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left"/>
        <w:rPr>
          <w:rFonts w:ascii="Times New Roman" w:hAnsi="Times New Roman" w:eastAsia="宋体" w:cs="Times New Roman"/>
          <w:kern w:val="0"/>
          <w:sz w:val="20"/>
          <w:szCs w:val="20"/>
        </w:rPr>
      </w:pPr>
      <w:r>
        <w:rPr>
          <w:rFonts w:ascii="Times New Roman" w:hAnsi="Times New Roman" w:cs="Times New Roman"/>
          <w:bCs/>
          <w:kern w:val="0"/>
          <w:szCs w:val="21"/>
        </w:rPr>
        <w:t>部门：中共醴陵市委组织部                                                                                                金额单位：万元</w:t>
      </w:r>
    </w:p>
    <w:tbl>
      <w:tblPr>
        <w:tblStyle w:val="6"/>
        <w:tblW w:w="4998" w:type="pct"/>
        <w:tblInd w:w="0" w:type="dxa"/>
        <w:tblLayout w:type="autofit"/>
        <w:tblCellMar>
          <w:top w:w="0" w:type="dxa"/>
          <w:left w:w="0" w:type="dxa"/>
          <w:bottom w:w="0" w:type="dxa"/>
          <w:right w:w="0" w:type="dxa"/>
        </w:tblCellMar>
      </w:tblPr>
      <w:tblGrid>
        <w:gridCol w:w="2791"/>
        <w:gridCol w:w="3111"/>
        <w:gridCol w:w="1338"/>
        <w:gridCol w:w="1338"/>
        <w:gridCol w:w="1338"/>
        <w:gridCol w:w="1338"/>
        <w:gridCol w:w="1338"/>
        <w:gridCol w:w="1434"/>
      </w:tblGrid>
      <w:tr w14:paraId="5B9F444E">
        <w:tblPrEx>
          <w:tblCellMar>
            <w:top w:w="0" w:type="dxa"/>
            <w:left w:w="0" w:type="dxa"/>
            <w:bottom w:w="0" w:type="dxa"/>
            <w:right w:w="0" w:type="dxa"/>
          </w:tblCellMar>
        </w:tblPrEx>
        <w:trPr>
          <w:cantSplit/>
          <w:trHeight w:val="308" w:hRule="atLeast"/>
        </w:trPr>
        <w:tc>
          <w:tcPr>
            <w:tcW w:w="2104" w:type="pct"/>
            <w:gridSpan w:val="2"/>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14:paraId="1EBDCA8B">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项目</w:t>
            </w:r>
          </w:p>
        </w:tc>
        <w:tc>
          <w:tcPr>
            <w:tcW w:w="477" w:type="pct"/>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563AEBC3">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本年支出合计</w:t>
            </w:r>
          </w:p>
        </w:tc>
        <w:tc>
          <w:tcPr>
            <w:tcW w:w="477" w:type="pct"/>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08EECF92">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基本支出</w:t>
            </w:r>
          </w:p>
        </w:tc>
        <w:tc>
          <w:tcPr>
            <w:tcW w:w="477" w:type="pct"/>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436A48A5">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项目支出</w:t>
            </w:r>
          </w:p>
        </w:tc>
        <w:tc>
          <w:tcPr>
            <w:tcW w:w="477" w:type="pct"/>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650F6651">
            <w:pPr>
              <w:widowControl/>
              <w:jc w:val="center"/>
              <w:textAlignment w:val="center"/>
              <w:rPr>
                <w:rFonts w:ascii="Times New Roman" w:hAnsi="Times New Roman" w:eastAsia="宋体" w:cs="Times New Roman"/>
                <w:kern w:val="0"/>
                <w:sz w:val="22"/>
              </w:rPr>
            </w:pPr>
            <w:r>
              <w:rPr>
                <w:rFonts w:ascii="Times New Roman" w:hAnsi="Times New Roman" w:eastAsia="宋体" w:cs="Times New Roman"/>
                <w:kern w:val="0"/>
                <w:sz w:val="22"/>
              </w:rPr>
              <w:t>上缴上级</w:t>
            </w:r>
          </w:p>
          <w:p w14:paraId="545601B0">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支出</w:t>
            </w:r>
          </w:p>
        </w:tc>
        <w:tc>
          <w:tcPr>
            <w:tcW w:w="477" w:type="pct"/>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20D34CC9">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经营支出</w:t>
            </w:r>
          </w:p>
        </w:tc>
        <w:tc>
          <w:tcPr>
            <w:tcW w:w="511" w:type="pct"/>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19BBB75A">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对附属单位补助支出</w:t>
            </w:r>
          </w:p>
        </w:tc>
      </w:tr>
      <w:tr w14:paraId="02ACD849">
        <w:tblPrEx>
          <w:tblCellMar>
            <w:top w:w="0" w:type="dxa"/>
            <w:left w:w="0" w:type="dxa"/>
            <w:bottom w:w="0" w:type="dxa"/>
            <w:right w:w="0" w:type="dxa"/>
          </w:tblCellMar>
        </w:tblPrEx>
        <w:trPr>
          <w:cantSplit/>
          <w:trHeight w:val="312" w:hRule="atLeast"/>
        </w:trPr>
        <w:tc>
          <w:tcPr>
            <w:tcW w:w="995" w:type="pct"/>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7EC396B">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功能分类科目编码</w:t>
            </w:r>
          </w:p>
        </w:tc>
        <w:tc>
          <w:tcPr>
            <w:tcW w:w="1109" w:type="pct"/>
            <w:vMerge w:val="restart"/>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14:paraId="4DD9AA42">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科目名称</w:t>
            </w: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7B88ADA4">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6A17A07D">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2627D552">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203FD7E1">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5749F1F6">
            <w:pPr>
              <w:jc w:val="center"/>
              <w:rPr>
                <w:rFonts w:ascii="Times New Roman" w:hAnsi="Times New Roman" w:eastAsia="宋体" w:cs="Times New Roman"/>
                <w:sz w:val="22"/>
              </w:rPr>
            </w:pPr>
          </w:p>
        </w:tc>
        <w:tc>
          <w:tcPr>
            <w:tcW w:w="511"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485CF3A1">
            <w:pPr>
              <w:jc w:val="center"/>
              <w:rPr>
                <w:rFonts w:ascii="Times New Roman" w:hAnsi="Times New Roman" w:eastAsia="宋体" w:cs="Times New Roman"/>
                <w:sz w:val="22"/>
              </w:rPr>
            </w:pPr>
          </w:p>
        </w:tc>
      </w:tr>
      <w:tr w14:paraId="34CCED74">
        <w:tblPrEx>
          <w:tblCellMar>
            <w:top w:w="0" w:type="dxa"/>
            <w:left w:w="0" w:type="dxa"/>
            <w:bottom w:w="0" w:type="dxa"/>
            <w:right w:w="0" w:type="dxa"/>
          </w:tblCellMar>
        </w:tblPrEx>
        <w:trPr>
          <w:cantSplit/>
          <w:trHeight w:val="312" w:hRule="atLeast"/>
        </w:trPr>
        <w:tc>
          <w:tcPr>
            <w:tcW w:w="995" w:type="pct"/>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50E0BA0">
            <w:pPr>
              <w:jc w:val="center"/>
              <w:rPr>
                <w:rFonts w:ascii="Times New Roman" w:hAnsi="Times New Roman" w:eastAsia="宋体" w:cs="Times New Roman"/>
                <w:sz w:val="22"/>
              </w:rPr>
            </w:pPr>
          </w:p>
        </w:tc>
        <w:tc>
          <w:tcPr>
            <w:tcW w:w="1109" w:type="pct"/>
            <w:vMerge w:val="continue"/>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14:paraId="46F6C31D">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10C4B151">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167DE69C">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4B1641A1">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1946BD65">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160215B5">
            <w:pPr>
              <w:jc w:val="center"/>
              <w:rPr>
                <w:rFonts w:ascii="Times New Roman" w:hAnsi="Times New Roman" w:eastAsia="宋体" w:cs="Times New Roman"/>
                <w:sz w:val="22"/>
              </w:rPr>
            </w:pPr>
          </w:p>
        </w:tc>
        <w:tc>
          <w:tcPr>
            <w:tcW w:w="511"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5095ADD8">
            <w:pPr>
              <w:jc w:val="center"/>
              <w:rPr>
                <w:rFonts w:ascii="Times New Roman" w:hAnsi="Times New Roman" w:eastAsia="宋体" w:cs="Times New Roman"/>
                <w:sz w:val="22"/>
              </w:rPr>
            </w:pPr>
          </w:p>
        </w:tc>
      </w:tr>
      <w:tr w14:paraId="3A0E3ADB">
        <w:tblPrEx>
          <w:tblCellMar>
            <w:top w:w="0" w:type="dxa"/>
            <w:left w:w="0" w:type="dxa"/>
            <w:bottom w:w="0" w:type="dxa"/>
            <w:right w:w="0" w:type="dxa"/>
          </w:tblCellMar>
        </w:tblPrEx>
        <w:trPr>
          <w:cantSplit/>
          <w:trHeight w:val="312" w:hRule="atLeast"/>
        </w:trPr>
        <w:tc>
          <w:tcPr>
            <w:tcW w:w="995" w:type="pct"/>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C2115E1">
            <w:pPr>
              <w:jc w:val="center"/>
              <w:rPr>
                <w:rFonts w:ascii="Times New Roman" w:hAnsi="Times New Roman" w:eastAsia="宋体" w:cs="Times New Roman"/>
                <w:sz w:val="22"/>
              </w:rPr>
            </w:pPr>
          </w:p>
        </w:tc>
        <w:tc>
          <w:tcPr>
            <w:tcW w:w="1109" w:type="pct"/>
            <w:vMerge w:val="continue"/>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14:paraId="40CD8D81">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732D5A9E">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71F7596B">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551A86DA">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7CC197A6">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428A9691">
            <w:pPr>
              <w:jc w:val="center"/>
              <w:rPr>
                <w:rFonts w:ascii="Times New Roman" w:hAnsi="Times New Roman" w:eastAsia="宋体" w:cs="Times New Roman"/>
                <w:sz w:val="22"/>
              </w:rPr>
            </w:pPr>
          </w:p>
        </w:tc>
        <w:tc>
          <w:tcPr>
            <w:tcW w:w="511"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4798FB22">
            <w:pPr>
              <w:jc w:val="center"/>
              <w:rPr>
                <w:rFonts w:ascii="Times New Roman" w:hAnsi="Times New Roman" w:eastAsia="宋体" w:cs="Times New Roman"/>
                <w:sz w:val="22"/>
              </w:rPr>
            </w:pPr>
          </w:p>
        </w:tc>
      </w:tr>
      <w:tr w14:paraId="3185164B">
        <w:tblPrEx>
          <w:tblCellMar>
            <w:top w:w="0" w:type="dxa"/>
            <w:left w:w="0" w:type="dxa"/>
            <w:bottom w:w="0" w:type="dxa"/>
            <w:right w:w="0" w:type="dxa"/>
          </w:tblCellMar>
        </w:tblPrEx>
        <w:trPr>
          <w:cantSplit/>
          <w:trHeight w:val="308" w:hRule="atLeast"/>
        </w:trPr>
        <w:tc>
          <w:tcPr>
            <w:tcW w:w="2104" w:type="pct"/>
            <w:gridSpan w:val="2"/>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14:paraId="7A576DB4">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栏次</w:t>
            </w:r>
          </w:p>
        </w:tc>
        <w:tc>
          <w:tcPr>
            <w:tcW w:w="477" w:type="pc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11F8603E">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w:t>
            </w:r>
          </w:p>
        </w:tc>
        <w:tc>
          <w:tcPr>
            <w:tcW w:w="477" w:type="pc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7A1E8B68">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2</w:t>
            </w:r>
          </w:p>
        </w:tc>
        <w:tc>
          <w:tcPr>
            <w:tcW w:w="477" w:type="pc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88E9AAE">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3</w:t>
            </w:r>
          </w:p>
        </w:tc>
        <w:tc>
          <w:tcPr>
            <w:tcW w:w="477" w:type="pc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07935E8F">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4</w:t>
            </w:r>
          </w:p>
        </w:tc>
        <w:tc>
          <w:tcPr>
            <w:tcW w:w="477" w:type="pc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3FEA10EF">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5</w:t>
            </w:r>
          </w:p>
        </w:tc>
        <w:tc>
          <w:tcPr>
            <w:tcW w:w="511" w:type="pc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57622C80">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6</w:t>
            </w:r>
          </w:p>
        </w:tc>
      </w:tr>
      <w:tr w14:paraId="2961516C">
        <w:tblPrEx>
          <w:tblCellMar>
            <w:top w:w="0" w:type="dxa"/>
            <w:left w:w="0" w:type="dxa"/>
            <w:bottom w:w="0" w:type="dxa"/>
            <w:right w:w="0" w:type="dxa"/>
          </w:tblCellMar>
        </w:tblPrEx>
        <w:trPr>
          <w:cantSplit/>
          <w:trHeight w:val="308" w:hRule="atLeast"/>
        </w:trPr>
        <w:tc>
          <w:tcPr>
            <w:tcW w:w="2104" w:type="pct"/>
            <w:gridSpan w:val="2"/>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14:paraId="6072361D">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合计</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A6F12F">
            <w:pPr>
              <w:widowControl/>
              <w:jc w:val="center"/>
              <w:textAlignment w:val="center"/>
              <w:rPr>
                <w:rFonts w:ascii="Times New Roman" w:hAnsi="Times New Roman" w:eastAsia="宋体" w:cs="Times New Roman"/>
                <w:b/>
                <w:sz w:val="22"/>
              </w:rPr>
            </w:pPr>
            <w:r>
              <w:rPr>
                <w:rFonts w:ascii="Times New Roman" w:hAnsi="Times New Roman" w:eastAsia="宋体" w:cs="Times New Roman"/>
                <w:b/>
                <w:kern w:val="0"/>
                <w:sz w:val="22"/>
              </w:rPr>
              <w:t>1,276.11</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313240">
            <w:pPr>
              <w:widowControl/>
              <w:jc w:val="center"/>
              <w:textAlignment w:val="center"/>
              <w:rPr>
                <w:rFonts w:ascii="Times New Roman" w:hAnsi="Times New Roman" w:eastAsia="宋体" w:cs="Times New Roman"/>
                <w:b/>
                <w:sz w:val="22"/>
              </w:rPr>
            </w:pPr>
            <w:r>
              <w:rPr>
                <w:rFonts w:ascii="Times New Roman" w:hAnsi="Times New Roman" w:eastAsia="宋体" w:cs="Times New Roman"/>
                <w:b/>
                <w:kern w:val="0"/>
                <w:sz w:val="22"/>
              </w:rPr>
              <w:t>565.67</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3FE744">
            <w:pPr>
              <w:widowControl/>
              <w:jc w:val="center"/>
              <w:textAlignment w:val="center"/>
              <w:rPr>
                <w:rFonts w:ascii="Times New Roman" w:hAnsi="Times New Roman" w:eastAsia="宋体" w:cs="Times New Roman"/>
                <w:b/>
                <w:sz w:val="22"/>
              </w:rPr>
            </w:pPr>
            <w:r>
              <w:rPr>
                <w:rFonts w:ascii="Times New Roman" w:hAnsi="Times New Roman" w:eastAsia="宋体" w:cs="Times New Roman"/>
                <w:b/>
                <w:kern w:val="0"/>
                <w:sz w:val="22"/>
              </w:rPr>
              <w:t>710.44</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9298E8">
            <w:pPr>
              <w:widowControl/>
              <w:jc w:val="center"/>
              <w:textAlignment w:val="center"/>
              <w:rPr>
                <w:rFonts w:ascii="Times New Roman" w:hAnsi="Times New Roman" w:eastAsia="宋体" w:cs="Times New Roman"/>
                <w:b/>
                <w:sz w:val="22"/>
              </w:rPr>
            </w:pPr>
            <w:r>
              <w:rPr>
                <w:rFonts w:ascii="Times New Roman" w:hAnsi="Times New Roman" w:eastAsia="宋体" w:cs="Times New Roman"/>
                <w:b/>
                <w:kern w:val="0"/>
                <w:sz w:val="22"/>
              </w:rPr>
              <w:t>0.00</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CC9E47">
            <w:pPr>
              <w:widowControl/>
              <w:jc w:val="center"/>
              <w:textAlignment w:val="center"/>
              <w:rPr>
                <w:rFonts w:ascii="Times New Roman" w:hAnsi="Times New Roman" w:eastAsia="宋体" w:cs="Times New Roman"/>
                <w:b/>
                <w:sz w:val="22"/>
              </w:rPr>
            </w:pPr>
            <w:r>
              <w:rPr>
                <w:rFonts w:ascii="Times New Roman" w:hAnsi="Times New Roman" w:eastAsia="宋体" w:cs="Times New Roman"/>
                <w:b/>
                <w:kern w:val="0"/>
                <w:sz w:val="22"/>
              </w:rPr>
              <w:t>0.00</w:t>
            </w:r>
          </w:p>
        </w:tc>
        <w:tc>
          <w:tcPr>
            <w:tcW w:w="51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94304C">
            <w:pPr>
              <w:widowControl/>
              <w:jc w:val="center"/>
              <w:textAlignment w:val="center"/>
              <w:rPr>
                <w:rFonts w:ascii="Times New Roman" w:hAnsi="Times New Roman" w:eastAsia="宋体" w:cs="Times New Roman"/>
                <w:b/>
                <w:sz w:val="22"/>
              </w:rPr>
            </w:pPr>
            <w:r>
              <w:rPr>
                <w:rFonts w:ascii="Times New Roman" w:hAnsi="Times New Roman" w:eastAsia="宋体" w:cs="Times New Roman"/>
                <w:b/>
                <w:kern w:val="0"/>
                <w:sz w:val="22"/>
              </w:rPr>
              <w:t>0.00</w:t>
            </w:r>
          </w:p>
        </w:tc>
      </w:tr>
      <w:tr w14:paraId="5B0CF0FC">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FA88AA">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w:t>
            </w:r>
          </w:p>
        </w:tc>
        <w:tc>
          <w:tcPr>
            <w:tcW w:w="110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6968BB">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一般公共服务支出</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7A9976">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1,233.58</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9254CC">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556.17</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D36567">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677.41</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149468">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BA941B">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189A99">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14:paraId="6827FDB3">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6C36E7">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20132</w:t>
            </w:r>
          </w:p>
        </w:tc>
        <w:tc>
          <w:tcPr>
            <w:tcW w:w="110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1C2B68">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组织事务</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EFE9E1">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1,087.58</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379225">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556.17</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A1EC0B">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531.41</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5F7EF3">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F43259">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DCDF0A">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14:paraId="6F34906A">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CF46F1">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2013201</w:t>
            </w:r>
          </w:p>
        </w:tc>
        <w:tc>
          <w:tcPr>
            <w:tcW w:w="110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5B6CC7">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行政运行</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A2B508">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494.18</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E43921">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494.18</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8CDFD7">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A5BAFA">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9CAD03">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D4FAA3">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14:paraId="50C8FDA1">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9F9F4">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2013202</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208FE">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一般行政管理事务</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253EC">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273.94</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8FCB4">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428C3">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273.94</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07734">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5B409">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C52EA">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14:paraId="2B2EBE88">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F019">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2013299</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FC1E4">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其他组织事务支出</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B089C">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319.45</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7ED5A">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61.99</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E4373">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257.46</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8EEE4">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1F00F">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7E9AE">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14:paraId="26C92953">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88C2C">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20199</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686CE">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其他一般公共服务支出</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85560">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146.00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5A1D8">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8E471">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146.00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2F686">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45AA5">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50BC1">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14:paraId="7567E4FD">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27EA">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2019999</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7971F">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其他一般公共服务支出</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E96E1">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146.00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C2169">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610C0">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146.00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F8E8D">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6711C">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20F62">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14:paraId="65188067">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673F7">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205</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0503E">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教育支出</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91704">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F19AD">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B4CFF">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2B6FB">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37555">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8DBCC">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14:paraId="6BC489C5">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F367">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20599</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A51BB">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其他教育支出</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F359A">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52CBB">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CF650">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2601B">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EF6E0">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CE3D9">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14:paraId="250E7735">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10A4">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2059999</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22133">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其他教育支出</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331D9">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60D0A">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A8DE4">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6F040">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FC412">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E1F53">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14:paraId="7168457D">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786B0">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210</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4BB28">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卫生健康支出</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D38A6">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6FE66">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8F4D9">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BE4FA">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61655">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779B7">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14:paraId="221B09CF">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B8F7">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21011</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C34BD">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行政事业单位医疗</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B3D6D">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4FE2C">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921C2">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CA65B">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0EEBB">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0F9F3">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14:paraId="5F4A4BFA">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30601">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2101101</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A366E">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行政单位医疗</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1EC72">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C78B7">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4341A">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0FF76">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3595E">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605E5">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14:paraId="243E03E1">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453B">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213</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19526">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农林水支出</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AC530">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CBCE8">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C17B0">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E478A">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2E0AC">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E9780">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14:paraId="58EDCEA9">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77F6">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21301</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C8FAD">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农业</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2D35C">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295C8">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576D5">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A9F7A">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42030">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F4412">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14:paraId="39EF3C16">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B9AAE">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2130152</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F501B">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对高校毕业生到基层任职补助</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3A2EF">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92A6D">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0EB36">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5CB77">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B1ED4">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CE477">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14:paraId="69D562CB">
        <w:tblPrEx>
          <w:tblCellMar>
            <w:top w:w="0" w:type="dxa"/>
            <w:left w:w="0" w:type="dxa"/>
            <w:bottom w:w="0" w:type="dxa"/>
            <w:right w:w="0" w:type="dxa"/>
          </w:tblCellMar>
        </w:tblPrEx>
        <w:trPr>
          <w:cantSplit/>
          <w:trHeight w:val="308" w:hRule="atLeast"/>
        </w:trPr>
        <w:tc>
          <w:tcPr>
            <w:tcW w:w="5000" w:type="pct"/>
            <w:gridSpan w:val="8"/>
            <w:tcBorders>
              <w:top w:val="nil"/>
              <w:left w:val="nil"/>
              <w:bottom w:val="nil"/>
              <w:right w:val="nil"/>
            </w:tcBorders>
            <w:shd w:val="clear" w:color="auto" w:fill="auto"/>
            <w:noWrap/>
            <w:tcMar>
              <w:top w:w="15" w:type="dxa"/>
              <w:left w:w="15" w:type="dxa"/>
              <w:right w:w="15" w:type="dxa"/>
            </w:tcMar>
            <w:vAlign w:val="center"/>
          </w:tcPr>
          <w:p w14:paraId="0460FED6">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注：本表反映部门本年度各项支出情况。</w:t>
            </w:r>
          </w:p>
        </w:tc>
      </w:tr>
    </w:tbl>
    <w:p w14:paraId="1C9D2523">
      <w:pPr>
        <w:widowControl/>
        <w:tabs>
          <w:tab w:val="left" w:pos="3191"/>
          <w:tab w:val="left" w:pos="3771"/>
          <w:tab w:val="left" w:pos="5131"/>
          <w:tab w:val="left" w:pos="8465"/>
          <w:tab w:val="left" w:pos="9045"/>
          <w:tab w:val="left" w:pos="10465"/>
          <w:tab w:val="left" w:pos="11845"/>
        </w:tabs>
        <w:spacing w:line="460" w:lineRule="exact"/>
        <w:ind w:left="91"/>
        <w:jc w:val="left"/>
        <w:rPr>
          <w:rFonts w:ascii="Times New Roman" w:hAnsi="Times New Roman" w:eastAsia="方正小标宋简体" w:cs="Times New Roman"/>
          <w:kern w:val="0"/>
          <w:sz w:val="44"/>
          <w:szCs w:val="44"/>
        </w:rPr>
      </w:pPr>
      <w:r>
        <w:rPr>
          <w:rFonts w:ascii="Times New Roman" w:hAnsi="Times New Roman" w:eastAsia="宋体" w:cs="Times New Roman"/>
          <w:kern w:val="0"/>
          <w:sz w:val="20"/>
          <w:szCs w:val="20"/>
        </w:rPr>
        <w:t>　</w:t>
      </w:r>
      <w:r>
        <w:rPr>
          <w:rFonts w:ascii="Times New Roman" w:hAnsi="Times New Roman" w:eastAsia="宋体" w:cs="Times New Roman"/>
          <w:kern w:val="0"/>
          <w:sz w:val="20"/>
          <w:szCs w:val="20"/>
        </w:rPr>
        <w:tab/>
      </w:r>
      <w:r>
        <w:rPr>
          <w:rFonts w:ascii="Times New Roman" w:hAnsi="Times New Roman" w:eastAsia="宋体" w:cs="Times New Roman"/>
          <w:kern w:val="0"/>
          <w:sz w:val="20"/>
          <w:szCs w:val="20"/>
        </w:rPr>
        <w:t>　</w:t>
      </w:r>
      <w:r>
        <w:rPr>
          <w:rFonts w:ascii="Times New Roman" w:hAnsi="Times New Roman" w:eastAsia="宋体" w:cs="Times New Roman"/>
          <w:kern w:val="0"/>
          <w:sz w:val="20"/>
          <w:szCs w:val="20"/>
        </w:rPr>
        <w:tab/>
      </w:r>
      <w:r>
        <w:rPr>
          <w:rFonts w:ascii="Times New Roman" w:hAnsi="Times New Roman" w:eastAsia="宋体" w:cs="Times New Roman"/>
          <w:kern w:val="0"/>
          <w:sz w:val="20"/>
          <w:szCs w:val="20"/>
        </w:rPr>
        <w:t>　</w:t>
      </w:r>
      <w:r>
        <w:rPr>
          <w:rFonts w:ascii="Times New Roman" w:hAnsi="Times New Roman" w:eastAsia="宋体" w:cs="Times New Roman"/>
          <w:kern w:val="0"/>
          <w:sz w:val="20"/>
          <w:szCs w:val="20"/>
        </w:rPr>
        <w:tab/>
      </w:r>
      <w:r>
        <w:rPr>
          <w:rFonts w:ascii="Times New Roman" w:hAnsi="Times New Roman" w:eastAsia="方正小标宋简体" w:cs="Times New Roman"/>
          <w:kern w:val="0"/>
          <w:sz w:val="44"/>
          <w:szCs w:val="44"/>
        </w:rPr>
        <w:t>财政拨款收入支出决算总表</w:t>
      </w:r>
      <w:r>
        <w:rPr>
          <w:rFonts w:ascii="Times New Roman" w:hAnsi="Times New Roman" w:eastAsia="方正小标宋简体" w:cs="Times New Roman"/>
          <w:kern w:val="0"/>
          <w:sz w:val="44"/>
          <w:szCs w:val="44"/>
        </w:rPr>
        <w:tab/>
      </w:r>
      <w:r>
        <w:rPr>
          <w:rFonts w:ascii="Times New Roman" w:hAnsi="Times New Roman" w:eastAsia="方正小标宋简体" w:cs="Times New Roman"/>
          <w:kern w:val="0"/>
          <w:sz w:val="44"/>
          <w:szCs w:val="44"/>
        </w:rPr>
        <w:t>　</w:t>
      </w:r>
    </w:p>
    <w:p w14:paraId="3351D606">
      <w:pPr>
        <w:widowControl/>
        <w:tabs>
          <w:tab w:val="left" w:pos="372"/>
          <w:tab w:val="left" w:pos="712"/>
          <w:tab w:val="left" w:pos="1052"/>
          <w:tab w:val="left" w:pos="5604"/>
          <w:tab w:val="left" w:pos="6884"/>
          <w:tab w:val="left" w:pos="8124"/>
          <w:tab w:val="left" w:pos="9344"/>
          <w:tab w:val="left" w:pos="10584"/>
          <w:tab w:val="left" w:pos="11744"/>
          <w:tab w:val="left" w:pos="13044"/>
        </w:tabs>
        <w:spacing w:line="240" w:lineRule="exact"/>
        <w:ind w:left="34"/>
        <w:jc w:val="right"/>
        <w:rPr>
          <w:rFonts w:ascii="Times New Roman" w:hAnsi="Times New Roman" w:cs="Times New Roman"/>
          <w:bCs/>
          <w:kern w:val="0"/>
          <w:szCs w:val="21"/>
        </w:rPr>
      </w:pPr>
      <w:r>
        <w:rPr>
          <w:rFonts w:ascii="Times New Roman" w:hAnsi="Times New Roman" w:cs="Times New Roman"/>
          <w:bCs/>
          <w:kern w:val="0"/>
          <w:szCs w:val="21"/>
        </w:rPr>
        <w:t>公开04表</w:t>
      </w:r>
    </w:p>
    <w:p w14:paraId="6BF0E5C8">
      <w:pPr>
        <w:widowControl/>
        <w:tabs>
          <w:tab w:val="left" w:pos="372"/>
          <w:tab w:val="left" w:pos="712"/>
          <w:tab w:val="left" w:pos="1052"/>
          <w:tab w:val="left" w:pos="5604"/>
          <w:tab w:val="left" w:pos="6884"/>
          <w:tab w:val="left" w:pos="8124"/>
          <w:tab w:val="left" w:pos="9344"/>
          <w:tab w:val="left" w:pos="10584"/>
          <w:tab w:val="left" w:pos="11744"/>
          <w:tab w:val="left" w:pos="13044"/>
        </w:tabs>
        <w:spacing w:line="240" w:lineRule="exact"/>
        <w:ind w:left="34"/>
        <w:jc w:val="left"/>
        <w:rPr>
          <w:rFonts w:ascii="Times New Roman" w:hAnsi="Times New Roman" w:eastAsia="宋体" w:cs="Times New Roman"/>
          <w:kern w:val="0"/>
          <w:sz w:val="20"/>
          <w:szCs w:val="20"/>
        </w:rPr>
      </w:pPr>
      <w:r>
        <w:rPr>
          <w:rFonts w:ascii="Times New Roman" w:hAnsi="Times New Roman" w:cs="Times New Roman"/>
          <w:bCs/>
          <w:kern w:val="0"/>
          <w:szCs w:val="21"/>
        </w:rPr>
        <w:t>部门：中共醴陵市委组织部                                                                                                金额单位：万元</w:t>
      </w:r>
    </w:p>
    <w:tbl>
      <w:tblPr>
        <w:tblStyle w:val="6"/>
        <w:tblW w:w="4991" w:type="pct"/>
        <w:tblInd w:w="0" w:type="dxa"/>
        <w:shd w:val="clear" w:color="auto" w:fill="FFFFFF" w:themeFill="background1"/>
        <w:tblLayout w:type="autofit"/>
        <w:tblCellMar>
          <w:top w:w="0" w:type="dxa"/>
          <w:left w:w="0" w:type="dxa"/>
          <w:bottom w:w="0" w:type="dxa"/>
          <w:right w:w="0" w:type="dxa"/>
        </w:tblCellMar>
      </w:tblPr>
      <w:tblGrid>
        <w:gridCol w:w="2848"/>
        <w:gridCol w:w="454"/>
        <w:gridCol w:w="1353"/>
        <w:gridCol w:w="3437"/>
        <w:gridCol w:w="569"/>
        <w:gridCol w:w="1345"/>
        <w:gridCol w:w="1869"/>
        <w:gridCol w:w="2132"/>
      </w:tblGrid>
      <w:tr w14:paraId="0F40BE51">
        <w:tblPrEx>
          <w:shd w:val="clear" w:color="auto" w:fill="FFFFFF" w:themeFill="background1"/>
          <w:tblCellMar>
            <w:top w:w="0" w:type="dxa"/>
            <w:left w:w="0" w:type="dxa"/>
            <w:bottom w:w="0" w:type="dxa"/>
            <w:right w:w="0" w:type="dxa"/>
          </w:tblCellMar>
        </w:tblPrEx>
        <w:trPr>
          <w:trHeight w:val="170" w:hRule="atLeast"/>
        </w:trPr>
        <w:tc>
          <w:tcPr>
            <w:tcW w:w="1662"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3B23301">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ab/>
            </w:r>
            <w:r>
              <w:rPr>
                <w:rFonts w:ascii="Times New Roman" w:cs="Times New Roman" w:hAnsiTheme="majorEastAsia" w:eastAsiaTheme="majorEastAsia"/>
                <w:kern w:val="0"/>
                <w:sz w:val="18"/>
                <w:szCs w:val="18"/>
              </w:rPr>
              <w:t>　收</w:t>
            </w:r>
            <w:r>
              <w:rPr>
                <w:rFonts w:ascii="Times New Roman" w:hAnsi="Times New Roman" w:cs="Times New Roman" w:eastAsiaTheme="majorEastAsia"/>
                <w:kern w:val="0"/>
                <w:sz w:val="18"/>
                <w:szCs w:val="18"/>
              </w:rPr>
              <w:t xml:space="preserve">     </w:t>
            </w:r>
            <w:r>
              <w:rPr>
                <w:rFonts w:ascii="Times New Roman" w:cs="Times New Roman" w:hAnsiTheme="majorEastAsia" w:eastAsiaTheme="majorEastAsia"/>
                <w:kern w:val="0"/>
                <w:sz w:val="18"/>
                <w:szCs w:val="18"/>
              </w:rPr>
              <w:t>入</w:t>
            </w:r>
          </w:p>
        </w:tc>
        <w:tc>
          <w:tcPr>
            <w:tcW w:w="3338" w:type="pct"/>
            <w:gridSpan w:val="5"/>
            <w:tcBorders>
              <w:top w:val="single" w:color="000000"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E2A3D1A">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支</w:t>
            </w:r>
            <w:r>
              <w:rPr>
                <w:rFonts w:ascii="Times New Roman" w:hAnsi="Times New Roman" w:cs="Times New Roman" w:eastAsiaTheme="majorEastAsia"/>
                <w:kern w:val="0"/>
                <w:sz w:val="18"/>
                <w:szCs w:val="18"/>
              </w:rPr>
              <w:t xml:space="preserve">     </w:t>
            </w:r>
            <w:r>
              <w:rPr>
                <w:rFonts w:ascii="Times New Roman" w:cs="Times New Roman" w:hAnsiTheme="majorEastAsia" w:eastAsiaTheme="majorEastAsia"/>
                <w:kern w:val="0"/>
                <w:sz w:val="18"/>
                <w:szCs w:val="18"/>
              </w:rPr>
              <w:t>出</w:t>
            </w:r>
          </w:p>
        </w:tc>
      </w:tr>
      <w:tr w14:paraId="6E88B216">
        <w:tblPrEx>
          <w:tblCellMar>
            <w:top w:w="0" w:type="dxa"/>
            <w:left w:w="0" w:type="dxa"/>
            <w:bottom w:w="0" w:type="dxa"/>
            <w:right w:w="0" w:type="dxa"/>
          </w:tblCellMar>
        </w:tblPrEx>
        <w:trPr>
          <w:trHeight w:val="24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4241390B">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项目</w:t>
            </w:r>
          </w:p>
        </w:tc>
        <w:tc>
          <w:tcPr>
            <w:tcW w:w="1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3C1A2CC6">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行次</w:t>
            </w:r>
          </w:p>
        </w:tc>
        <w:tc>
          <w:tcPr>
            <w:tcW w:w="483"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673141E">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金额</w:t>
            </w:r>
          </w:p>
        </w:tc>
        <w:tc>
          <w:tcPr>
            <w:tcW w:w="1227"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A5561BC">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项目</w:t>
            </w:r>
          </w:p>
        </w:tc>
        <w:tc>
          <w:tcPr>
            <w:tcW w:w="203"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AFB01F1">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行次</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A11E6D9">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合计</w:t>
            </w:r>
          </w:p>
        </w:tc>
        <w:tc>
          <w:tcPr>
            <w:tcW w:w="667"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75AEFC00">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一般公共预算财政拨款</w:t>
            </w:r>
          </w:p>
        </w:tc>
        <w:tc>
          <w:tcPr>
            <w:tcW w:w="761"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31B0A02">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政府性基金预算财政拨款</w:t>
            </w:r>
          </w:p>
        </w:tc>
      </w:tr>
      <w:tr w14:paraId="6F0A2965">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0B71507">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次</w:t>
            </w: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CF5E189">
            <w:pPr>
              <w:widowControl/>
              <w:spacing w:line="220" w:lineRule="exact"/>
              <w:jc w:val="left"/>
              <w:rPr>
                <w:rFonts w:ascii="Times New Roman" w:hAnsi="Times New Roman" w:cs="Times New Roman" w:eastAsiaTheme="majorEastAsia"/>
                <w:kern w:val="0"/>
                <w:sz w:val="18"/>
                <w:szCs w:val="18"/>
              </w:rPr>
            </w:pP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8A55FF9">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w:t>
            </w: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17B3247">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栏次</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70E3AC0">
            <w:pPr>
              <w:widowControl/>
              <w:spacing w:line="220" w:lineRule="exact"/>
              <w:jc w:val="center"/>
              <w:rPr>
                <w:rFonts w:ascii="Times New Roman" w:hAnsi="Times New Roman" w:cs="Times New Roman" w:eastAsiaTheme="majorEastAsia"/>
                <w:kern w:val="0"/>
                <w:sz w:val="18"/>
                <w:szCs w:val="18"/>
              </w:rPr>
            </w:pP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01F8C6C">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C959675">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69474C5">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w:t>
            </w:r>
          </w:p>
        </w:tc>
      </w:tr>
      <w:tr w14:paraId="3FEC6E87">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5EB2CB5">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一、一般公共预算财政拨款</w:t>
            </w: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1CA8656">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C30B687">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1,159.90</w:t>
            </w: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F35BFC3">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一、一般公共服务支出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6B45580">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30</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ACEF1ED">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1,209.22</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E2732E8">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1,209.22</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9E90255">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1CC92AA4">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663E7AC">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二、政府性基金预算财政拨款</w:t>
            </w: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617791E">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307F62A">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4720476">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二、外交支出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5FA4D5C">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31</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71206A0">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E576BBB">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8E5DE27">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42195293">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E672089">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625CC33">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925255D">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7DE7521">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三、国防支出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7212AF9">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32</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F7D1CE3">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67F7915">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9EC57E6">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1F3B1553">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87E70A1">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F186B85">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3F031D1">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3DCD618">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四、公共安全支出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8D5163C">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33</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C2F7553">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0D697D7">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B6CB573">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126015E7">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5C15E13">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0C1B804">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5</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EB1CE1">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EE61CC0">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五、教育支出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511631">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34</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F0AFD6B">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19.39</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646EDE9">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19.39</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FA64B1E">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35C2520F">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818BF27">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F883B6F">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6</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039CC8B">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B7DE7E8">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六、科学技术支出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29EE432">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35</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02027B7">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DD9D24C">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1D7D47B">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12E3FFAB">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BE2192E">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2DE605A">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7</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43BC132">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6C0FD5F">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七、文化旅游体育与传媒支出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0DB072D">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36</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2288EED">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E10CCA5">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BDDAF91">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6B2B4023">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703D4EE">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01C700A">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8</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7B4ED6C">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A83287F">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八、社会保障和就业支出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FC8AD00">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37</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466DC5F">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79059F8">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C5DAC32">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2CB7E785">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359A95D">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7618012">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9</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1FEBE8F">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55B2AE2">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九、卫生健康支出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2B107B9">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38</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4E13324">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9.50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24117CB">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9.50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1921287">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07ECF8BA">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0FB7E28">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2C82C7D">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10</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311AC02">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BE9D10E">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十、节能环保支出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FE32C0F">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39</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556D9C9">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E2A902B">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83B9FCA">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6EBBC357">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5E07488">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6D3BCA5">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11</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A5AED15">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437624C">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十一、城乡社区支出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56DF54B">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40</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6AB322E">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031CF13">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C7DEB0">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330B463A">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7A6F20C">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D3FE6CE">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12</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F6B58AB">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4F4B2CA">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十二、农林水支出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9ED3639">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41</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4A6325A">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13.64</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2640928">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13.64</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C29796C">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13FC6BC7">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2BABC53">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7FAFA8F">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13</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2BA5B4C">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EB16F25">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十三、交通运输支出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FDACF7F">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42</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DBDFCBA">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8B636AF">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5269CB0">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257E3D42">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56F2921">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87F1609">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14</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77501C9">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620098E">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十四、资源勘探信息等支出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0985A56">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43</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D97273F">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AEDABEE">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5F3E100">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618276C4">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72B7807">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B87F7A6">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15</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BFE3367">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E578526">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十五、商业服务业等支出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AB635C7">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44</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0BB5777">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B8D42C5">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388702B">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78D03760">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D90DA97">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C54A1BE">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16</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5FD8285">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2054380">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十六、金融支出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F6A5793">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45</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5627B38">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20474F1">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4C95667">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6CEA0AE1">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5A150A6">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E5208FB">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17</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C62CE65">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EF62D28">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十七、援助其他地区支出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9A25E46">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46</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40E262A">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31BF17">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F1D85A1">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7DAB08C1">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2D76C41">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12BC413">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18</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CDB71F1">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C325716">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十八、自然资源海洋气象等支出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F21EC0B">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47</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8D4785B">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F3E6FF3">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09777A8">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4DCAA7F0">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7931539">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88D0706">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19</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86A2C47">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EC2D960">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十九、住房保障支出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AAAA302">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48</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D2FF8FB">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134CFCC">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F4C967C">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7B6017EB">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936DF62">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CE8D0E8">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20</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CE7F62D">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50EB902">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二十、粮油物资储备支出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075812E">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49</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EA45A2E">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2144EE1">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CCFAA09">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73D3E37D">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452309D">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9F8168E">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21</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1D543BD">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9FDC39B">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二十一、灾害防治及应急管理支出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02D8823">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50</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F4AB412">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C28F67E">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B30FF27">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7BC0E8A4">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14670DF">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1448716">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22</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E0CFEDE">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A3BA2C9">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二十二、其他支出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9639936">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51</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1F044E9">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2D38280">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7DE930F">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4EA906E1">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B951D36">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FB9FB57">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23</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7A39FB9">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BE47425">
            <w:pPr>
              <w:widowControl/>
              <w:spacing w:line="220" w:lineRule="exact"/>
              <w:jc w:val="left"/>
              <w:rPr>
                <w:rFonts w:ascii="Times New Roman" w:hAnsi="Times New Roman" w:cs="Times New Roman" w:eastAsiaTheme="majorEastAsia"/>
                <w:kern w:val="0"/>
                <w:sz w:val="18"/>
                <w:szCs w:val="18"/>
              </w:rPr>
            </w:pP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8CE2238">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52</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74F1CA1">
            <w:pPr>
              <w:widowControl/>
              <w:spacing w:line="220" w:lineRule="exact"/>
              <w:jc w:val="center"/>
              <w:rPr>
                <w:rFonts w:ascii="Times New Roman" w:hAnsi="Times New Roman" w:cs="Times New Roman" w:eastAsiaTheme="majorEastAsia"/>
                <w:kern w:val="0"/>
                <w:sz w:val="18"/>
                <w:szCs w:val="18"/>
              </w:rPr>
            </w:pP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DC4DEA">
            <w:pPr>
              <w:widowControl/>
              <w:spacing w:line="220" w:lineRule="exact"/>
              <w:jc w:val="center"/>
              <w:rPr>
                <w:rFonts w:ascii="Times New Roman" w:hAnsi="Times New Roman" w:cs="Times New Roman" w:eastAsiaTheme="majorEastAsia"/>
                <w:kern w:val="0"/>
                <w:sz w:val="18"/>
                <w:szCs w:val="18"/>
              </w:rPr>
            </w:pP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2892FCA">
            <w:pPr>
              <w:widowControl/>
              <w:spacing w:line="220" w:lineRule="exact"/>
              <w:jc w:val="center"/>
              <w:rPr>
                <w:rFonts w:ascii="Times New Roman" w:hAnsi="Times New Roman" w:cs="Times New Roman" w:eastAsiaTheme="majorEastAsia"/>
                <w:kern w:val="0"/>
                <w:sz w:val="18"/>
                <w:szCs w:val="18"/>
              </w:rPr>
            </w:pPr>
          </w:p>
        </w:tc>
      </w:tr>
      <w:tr w14:paraId="4634B552">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215EE43">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本年收入合计</w:t>
            </w: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020B74A">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24</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E02F5CE">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1,159.90</w:t>
            </w: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147FC1A">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本年支出合计</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4EF8EB1">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53</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5A67396">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1,251.75</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1D94C16">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1,251.75</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ED7EAD4">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0A229AD4">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0D2F8CF">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年初财政拨款结转和结余</w:t>
            </w: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2C60350">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25</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6193A39">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301.75</w:t>
            </w: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9710F82">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年末财政拨款结转和结余</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F198711">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54</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D3006F3">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209.90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5918A21">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209.90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74724B0">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7DA80594">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16C0E83">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一、一般公共预算财政拨款</w:t>
            </w: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7F2598F">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26</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69329C5">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301.75</w:t>
            </w: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EAAE9F6">
            <w:pPr>
              <w:widowControl/>
              <w:spacing w:line="220" w:lineRule="exact"/>
              <w:jc w:val="left"/>
              <w:rPr>
                <w:rFonts w:ascii="Times New Roman" w:hAnsi="Times New Roman" w:cs="Times New Roman" w:eastAsiaTheme="majorEastAsia"/>
                <w:kern w:val="0"/>
                <w:sz w:val="18"/>
                <w:szCs w:val="18"/>
              </w:rPr>
            </w:pP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32EAE11">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55</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F138E15">
            <w:pPr>
              <w:widowControl/>
              <w:spacing w:line="220" w:lineRule="exact"/>
              <w:jc w:val="center"/>
              <w:rPr>
                <w:rFonts w:ascii="Times New Roman" w:hAnsi="Times New Roman" w:cs="Times New Roman" w:eastAsiaTheme="majorEastAsia"/>
                <w:kern w:val="0"/>
                <w:sz w:val="18"/>
                <w:szCs w:val="18"/>
              </w:rPr>
            </w:pP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30091BF">
            <w:pPr>
              <w:widowControl/>
              <w:spacing w:line="220" w:lineRule="exact"/>
              <w:jc w:val="center"/>
              <w:rPr>
                <w:rFonts w:ascii="Times New Roman" w:hAnsi="Times New Roman" w:cs="Times New Roman" w:eastAsiaTheme="majorEastAsia"/>
                <w:kern w:val="0"/>
                <w:sz w:val="18"/>
                <w:szCs w:val="18"/>
              </w:rPr>
            </w:pP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1B62099">
            <w:pPr>
              <w:widowControl/>
              <w:spacing w:line="220" w:lineRule="exact"/>
              <w:jc w:val="center"/>
              <w:rPr>
                <w:rFonts w:ascii="Times New Roman" w:hAnsi="Times New Roman" w:cs="Times New Roman" w:eastAsiaTheme="majorEastAsia"/>
                <w:kern w:val="0"/>
                <w:sz w:val="18"/>
                <w:szCs w:val="18"/>
              </w:rPr>
            </w:pPr>
          </w:p>
        </w:tc>
      </w:tr>
      <w:tr w14:paraId="43D6ECE6">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1EB6884">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二、政府性基金预算财政拨款</w:t>
            </w: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963A6F7">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27</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F47009B">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0C3C938">
            <w:pPr>
              <w:widowControl/>
              <w:spacing w:line="220" w:lineRule="exact"/>
              <w:jc w:val="left"/>
              <w:rPr>
                <w:rFonts w:ascii="Times New Roman" w:hAnsi="Times New Roman" w:cs="Times New Roman" w:eastAsiaTheme="majorEastAsia"/>
                <w:kern w:val="0"/>
                <w:sz w:val="18"/>
                <w:szCs w:val="18"/>
              </w:rPr>
            </w:pP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A0DAF14">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56</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B0C36A4">
            <w:pPr>
              <w:widowControl/>
              <w:spacing w:line="220" w:lineRule="exact"/>
              <w:jc w:val="center"/>
              <w:rPr>
                <w:rFonts w:ascii="Times New Roman" w:hAnsi="Times New Roman" w:cs="Times New Roman" w:eastAsiaTheme="majorEastAsia"/>
                <w:kern w:val="0"/>
                <w:sz w:val="18"/>
                <w:szCs w:val="18"/>
              </w:rPr>
            </w:pP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679EB57">
            <w:pPr>
              <w:widowControl/>
              <w:spacing w:line="220" w:lineRule="exact"/>
              <w:jc w:val="center"/>
              <w:rPr>
                <w:rFonts w:ascii="Times New Roman" w:hAnsi="Times New Roman" w:cs="Times New Roman" w:eastAsiaTheme="majorEastAsia"/>
                <w:kern w:val="0"/>
                <w:sz w:val="18"/>
                <w:szCs w:val="18"/>
              </w:rPr>
            </w:pP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C4668B6">
            <w:pPr>
              <w:widowControl/>
              <w:spacing w:line="220" w:lineRule="exact"/>
              <w:jc w:val="center"/>
              <w:rPr>
                <w:rFonts w:ascii="Times New Roman" w:hAnsi="Times New Roman" w:cs="Times New Roman" w:eastAsiaTheme="majorEastAsia"/>
                <w:kern w:val="0"/>
                <w:sz w:val="18"/>
                <w:szCs w:val="18"/>
              </w:rPr>
            </w:pPr>
          </w:p>
        </w:tc>
      </w:tr>
      <w:tr w14:paraId="1BDC8E93">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2EB4206">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B1D06C8">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28</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72DF84">
            <w:pPr>
              <w:widowControl/>
              <w:spacing w:line="220" w:lineRule="exact"/>
              <w:jc w:val="center"/>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5189291">
            <w:pPr>
              <w:widowControl/>
              <w:spacing w:line="220" w:lineRule="exact"/>
              <w:jc w:val="left"/>
              <w:rPr>
                <w:rFonts w:ascii="Times New Roman" w:hAnsi="Times New Roman" w:cs="Times New Roman" w:eastAsiaTheme="majorEastAsia"/>
                <w:kern w:val="0"/>
                <w:sz w:val="18"/>
                <w:szCs w:val="18"/>
              </w:rPr>
            </w:pP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569E077">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57</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CC44266">
            <w:pPr>
              <w:widowControl/>
              <w:spacing w:line="220" w:lineRule="exact"/>
              <w:jc w:val="center"/>
              <w:rPr>
                <w:rFonts w:ascii="Times New Roman" w:hAnsi="Times New Roman" w:cs="Times New Roman" w:eastAsiaTheme="majorEastAsia"/>
                <w:kern w:val="0"/>
                <w:sz w:val="18"/>
                <w:szCs w:val="18"/>
              </w:rPr>
            </w:pP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3ED13FC">
            <w:pPr>
              <w:widowControl/>
              <w:spacing w:line="220" w:lineRule="exact"/>
              <w:jc w:val="center"/>
              <w:rPr>
                <w:rFonts w:ascii="Times New Roman" w:hAnsi="Times New Roman" w:cs="Times New Roman" w:eastAsiaTheme="majorEastAsia"/>
                <w:kern w:val="0"/>
                <w:sz w:val="18"/>
                <w:szCs w:val="18"/>
              </w:rPr>
            </w:pP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5395A4F">
            <w:pPr>
              <w:widowControl/>
              <w:spacing w:line="220" w:lineRule="exact"/>
              <w:jc w:val="center"/>
              <w:rPr>
                <w:rFonts w:ascii="Times New Roman" w:hAnsi="Times New Roman" w:cs="Times New Roman" w:eastAsiaTheme="majorEastAsia"/>
                <w:kern w:val="0"/>
                <w:sz w:val="18"/>
                <w:szCs w:val="18"/>
              </w:rPr>
            </w:pPr>
          </w:p>
        </w:tc>
      </w:tr>
      <w:tr w14:paraId="2AA0C9A6">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22C485B">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总计</w:t>
            </w: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9C2DF5C">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29</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4D74C91">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1,461.65</w:t>
            </w: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B77751D">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总计</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404D697">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58</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F592310">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1,461.65</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C012481">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1,461.65</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604045">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14:paraId="250CECDF">
        <w:tblPrEx>
          <w:tblCellMar>
            <w:top w:w="0" w:type="dxa"/>
            <w:left w:w="0" w:type="dxa"/>
            <w:bottom w:w="0" w:type="dxa"/>
            <w:right w:w="0" w:type="dxa"/>
          </w:tblCellMar>
        </w:tblPrEx>
        <w:trPr>
          <w:trHeight w:val="170" w:hRule="atLeast"/>
        </w:trPr>
        <w:tc>
          <w:tcPr>
            <w:tcW w:w="5000" w:type="pct"/>
            <w:gridSpan w:val="8"/>
            <w:tcBorders>
              <w:top w:val="nil"/>
              <w:left w:val="nil"/>
              <w:bottom w:val="nil"/>
              <w:right w:val="nil"/>
            </w:tcBorders>
            <w:shd w:val="clear" w:color="auto" w:fill="FFFFFF" w:themeFill="background1"/>
            <w:noWrap/>
            <w:tcMar>
              <w:top w:w="15" w:type="dxa"/>
              <w:left w:w="15" w:type="dxa"/>
              <w:right w:w="15" w:type="dxa"/>
            </w:tcMar>
            <w:vAlign w:val="center"/>
          </w:tcPr>
          <w:p w14:paraId="2CB7DB8E">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注：本表反映部门本年度一般公共预算财政拨款和政府性基金预算财政拨款的总收支和年末结转结余情况。</w:t>
            </w:r>
          </w:p>
        </w:tc>
      </w:tr>
    </w:tbl>
    <w:p w14:paraId="5130C016">
      <w:pPr>
        <w:widowControl/>
        <w:tabs>
          <w:tab w:val="left" w:pos="431"/>
          <w:tab w:val="left" w:pos="771"/>
          <w:tab w:val="left" w:pos="1111"/>
          <w:tab w:val="left" w:pos="5545"/>
          <w:tab w:val="left" w:pos="7805"/>
          <w:tab w:val="left" w:pos="10065"/>
        </w:tabs>
        <w:ind w:left="91"/>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一般公共预算财政拨款支出决算表</w:t>
      </w:r>
    </w:p>
    <w:p w14:paraId="0EF30AA7">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right"/>
        <w:rPr>
          <w:rFonts w:ascii="Times New Roman" w:hAnsi="Times New Roman" w:cs="Times New Roman"/>
          <w:bCs/>
          <w:kern w:val="0"/>
          <w:szCs w:val="21"/>
        </w:rPr>
      </w:pPr>
      <w:r>
        <w:rPr>
          <w:rFonts w:ascii="Times New Roman" w:hAnsi="Times New Roman" w:cs="Times New Roman"/>
          <w:bCs/>
          <w:kern w:val="0"/>
          <w:szCs w:val="21"/>
        </w:rPr>
        <w:t>公开05表</w:t>
      </w:r>
    </w:p>
    <w:p w14:paraId="3A11D000">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left"/>
        <w:rPr>
          <w:rFonts w:ascii="Times New Roman" w:hAnsi="Times New Roman" w:eastAsia="宋体" w:cs="Times New Roman"/>
          <w:kern w:val="0"/>
          <w:sz w:val="20"/>
          <w:szCs w:val="20"/>
        </w:rPr>
      </w:pPr>
      <w:r>
        <w:rPr>
          <w:rFonts w:ascii="Times New Roman" w:hAnsi="Times New Roman" w:cs="Times New Roman"/>
          <w:bCs/>
          <w:kern w:val="0"/>
          <w:szCs w:val="21"/>
        </w:rPr>
        <w:t>部门：中共醴陵市委组织部                                                                                                金额单位：万元</w:t>
      </w:r>
    </w:p>
    <w:tbl>
      <w:tblPr>
        <w:tblStyle w:val="6"/>
        <w:tblW w:w="4998" w:type="pct"/>
        <w:tblInd w:w="0" w:type="dxa"/>
        <w:shd w:val="clear" w:color="auto" w:fill="FFFFFF" w:themeFill="background1"/>
        <w:tblLayout w:type="autofit"/>
        <w:tblCellMar>
          <w:top w:w="0" w:type="dxa"/>
          <w:left w:w="0" w:type="dxa"/>
          <w:bottom w:w="0" w:type="dxa"/>
          <w:right w:w="0" w:type="dxa"/>
        </w:tblCellMar>
      </w:tblPr>
      <w:tblGrid>
        <w:gridCol w:w="3147"/>
        <w:gridCol w:w="4003"/>
        <w:gridCol w:w="2289"/>
        <w:gridCol w:w="2289"/>
        <w:gridCol w:w="2298"/>
      </w:tblGrid>
      <w:tr w14:paraId="40A35D85">
        <w:tblPrEx>
          <w:shd w:val="clear" w:color="auto" w:fill="FFFFFF" w:themeFill="background1"/>
          <w:tblCellMar>
            <w:top w:w="0" w:type="dxa"/>
            <w:left w:w="0" w:type="dxa"/>
            <w:bottom w:w="0" w:type="dxa"/>
            <w:right w:w="0" w:type="dxa"/>
          </w:tblCellMar>
        </w:tblPrEx>
        <w:trPr>
          <w:trHeight w:val="308" w:hRule="atLeast"/>
        </w:trPr>
        <w:tc>
          <w:tcPr>
            <w:tcW w:w="2549"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9435480">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项目</w:t>
            </w:r>
          </w:p>
        </w:tc>
        <w:tc>
          <w:tcPr>
            <w:tcW w:w="2451" w:type="pct"/>
            <w:gridSpan w:val="3"/>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33B54146">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本年支出</w:t>
            </w:r>
          </w:p>
        </w:tc>
      </w:tr>
      <w:tr w14:paraId="10F13E58">
        <w:tblPrEx>
          <w:tblCellMar>
            <w:top w:w="0" w:type="dxa"/>
            <w:left w:w="0" w:type="dxa"/>
            <w:bottom w:w="0" w:type="dxa"/>
            <w:right w:w="0" w:type="dxa"/>
          </w:tblCellMar>
        </w:tblPrEx>
        <w:trPr>
          <w:trHeight w:val="312" w:hRule="atLeast"/>
        </w:trPr>
        <w:tc>
          <w:tcPr>
            <w:tcW w:w="1122" w:type="pct"/>
            <w:vMerge w:val="restar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0BD36B35">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功能分类科目编码</w:t>
            </w:r>
          </w:p>
        </w:tc>
        <w:tc>
          <w:tcPr>
            <w:tcW w:w="1427" w:type="pct"/>
            <w:vMerge w:val="restar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C9BE592">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科目名称</w:t>
            </w:r>
          </w:p>
        </w:tc>
        <w:tc>
          <w:tcPr>
            <w:tcW w:w="816" w:type="pct"/>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1130BFFD">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小计</w:t>
            </w:r>
          </w:p>
        </w:tc>
        <w:tc>
          <w:tcPr>
            <w:tcW w:w="816" w:type="pct"/>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1F06D8B0">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基本支出</w:t>
            </w:r>
          </w:p>
        </w:tc>
        <w:tc>
          <w:tcPr>
            <w:tcW w:w="819" w:type="pct"/>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10DEC73B">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项目支出</w:t>
            </w:r>
          </w:p>
        </w:tc>
      </w:tr>
      <w:tr w14:paraId="67722826">
        <w:tblPrEx>
          <w:tblCellMar>
            <w:top w:w="0" w:type="dxa"/>
            <w:left w:w="0" w:type="dxa"/>
            <w:bottom w:w="0" w:type="dxa"/>
            <w:right w:w="0" w:type="dxa"/>
          </w:tblCellMar>
        </w:tblPrEx>
        <w:trPr>
          <w:trHeight w:val="312" w:hRule="atLeast"/>
        </w:trPr>
        <w:tc>
          <w:tcPr>
            <w:tcW w:w="1122" w:type="pct"/>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3E9A991A">
            <w:pPr>
              <w:jc w:val="center"/>
              <w:rPr>
                <w:rFonts w:ascii="Times New Roman" w:hAnsi="Times New Roman" w:eastAsia="宋体" w:cs="Times New Roman"/>
                <w:sz w:val="22"/>
              </w:rPr>
            </w:pPr>
          </w:p>
        </w:tc>
        <w:tc>
          <w:tcPr>
            <w:tcW w:w="1427" w:type="pct"/>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95098D2">
            <w:pPr>
              <w:jc w:val="center"/>
              <w:rPr>
                <w:rFonts w:ascii="Times New Roman" w:hAnsi="Times New Roman" w:eastAsia="宋体" w:cs="Times New Roman"/>
                <w:sz w:val="22"/>
              </w:rPr>
            </w:pPr>
          </w:p>
        </w:tc>
        <w:tc>
          <w:tcPr>
            <w:tcW w:w="816" w:type="pct"/>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3658748E">
            <w:pPr>
              <w:jc w:val="center"/>
              <w:rPr>
                <w:rFonts w:ascii="Times New Roman" w:hAnsi="Times New Roman" w:eastAsia="宋体" w:cs="Times New Roman"/>
                <w:sz w:val="22"/>
              </w:rPr>
            </w:pPr>
          </w:p>
        </w:tc>
        <w:tc>
          <w:tcPr>
            <w:tcW w:w="816" w:type="pct"/>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A62FB23">
            <w:pPr>
              <w:jc w:val="center"/>
              <w:rPr>
                <w:rFonts w:ascii="Times New Roman" w:hAnsi="Times New Roman" w:eastAsia="宋体" w:cs="Times New Roman"/>
                <w:sz w:val="22"/>
              </w:rPr>
            </w:pPr>
          </w:p>
        </w:tc>
        <w:tc>
          <w:tcPr>
            <w:tcW w:w="819" w:type="pct"/>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4AD73B94">
            <w:pPr>
              <w:jc w:val="center"/>
              <w:rPr>
                <w:rFonts w:ascii="Times New Roman" w:hAnsi="Times New Roman" w:eastAsia="宋体" w:cs="Times New Roman"/>
                <w:sz w:val="22"/>
              </w:rPr>
            </w:pPr>
          </w:p>
        </w:tc>
      </w:tr>
      <w:tr w14:paraId="1F98AAE9">
        <w:tblPrEx>
          <w:tblCellMar>
            <w:top w:w="0" w:type="dxa"/>
            <w:left w:w="0" w:type="dxa"/>
            <w:bottom w:w="0" w:type="dxa"/>
            <w:right w:w="0" w:type="dxa"/>
          </w:tblCellMar>
        </w:tblPrEx>
        <w:trPr>
          <w:trHeight w:val="308" w:hRule="atLeast"/>
        </w:trPr>
        <w:tc>
          <w:tcPr>
            <w:tcW w:w="2549" w:type="pct"/>
            <w:gridSpan w:val="2"/>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EE5A790">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栏次</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C289AF9">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7DCF9A0">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2</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0E87AC7">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3</w:t>
            </w:r>
          </w:p>
        </w:tc>
      </w:tr>
      <w:tr w14:paraId="3C97B281">
        <w:tblPrEx>
          <w:tblCellMar>
            <w:top w:w="0" w:type="dxa"/>
            <w:left w:w="0" w:type="dxa"/>
            <w:bottom w:w="0" w:type="dxa"/>
            <w:right w:w="0" w:type="dxa"/>
          </w:tblCellMar>
        </w:tblPrEx>
        <w:trPr>
          <w:trHeight w:val="308" w:hRule="atLeast"/>
        </w:trPr>
        <w:tc>
          <w:tcPr>
            <w:tcW w:w="2549" w:type="pct"/>
            <w:gridSpan w:val="2"/>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70E9C20">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合计</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EC6D8BE">
            <w:pPr>
              <w:widowControl/>
              <w:jc w:val="right"/>
              <w:textAlignment w:val="center"/>
              <w:rPr>
                <w:rFonts w:ascii="Times New Roman" w:hAnsi="Times New Roman" w:eastAsia="宋体" w:cs="Times New Roman"/>
                <w:b/>
                <w:sz w:val="22"/>
              </w:rPr>
            </w:pPr>
            <w:r>
              <w:rPr>
                <w:rFonts w:ascii="Times New Roman" w:hAnsi="Times New Roman" w:eastAsia="宋体" w:cs="Times New Roman"/>
                <w:b/>
                <w:kern w:val="0"/>
                <w:sz w:val="22"/>
              </w:rPr>
              <w:t>1,251.75</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B5DE120">
            <w:pPr>
              <w:widowControl/>
              <w:jc w:val="right"/>
              <w:textAlignment w:val="center"/>
              <w:rPr>
                <w:rFonts w:ascii="Times New Roman" w:hAnsi="Times New Roman" w:eastAsia="宋体" w:cs="Times New Roman"/>
                <w:b/>
                <w:sz w:val="22"/>
              </w:rPr>
            </w:pPr>
            <w:r>
              <w:rPr>
                <w:rFonts w:ascii="Times New Roman" w:hAnsi="Times New Roman" w:eastAsia="宋体" w:cs="Times New Roman"/>
                <w:b/>
                <w:kern w:val="0"/>
                <w:sz w:val="22"/>
              </w:rPr>
              <w:t>541.31</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4610FF6">
            <w:pPr>
              <w:widowControl/>
              <w:jc w:val="right"/>
              <w:textAlignment w:val="center"/>
              <w:rPr>
                <w:rFonts w:ascii="Times New Roman" w:hAnsi="Times New Roman" w:eastAsia="宋体" w:cs="Times New Roman"/>
                <w:b/>
                <w:sz w:val="22"/>
              </w:rPr>
            </w:pPr>
            <w:r>
              <w:rPr>
                <w:rFonts w:ascii="Times New Roman" w:hAnsi="Times New Roman" w:eastAsia="宋体" w:cs="Times New Roman"/>
                <w:b/>
                <w:kern w:val="0"/>
                <w:sz w:val="22"/>
              </w:rPr>
              <w:t>710.44</w:t>
            </w:r>
          </w:p>
        </w:tc>
      </w:tr>
      <w:tr w14:paraId="4B2E57E6">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B930FFB">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5DAF134">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一般公共服务支出</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4DF5045">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1,209.22</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FE5C7DA">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531.82</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451B248">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677.41</w:t>
            </w:r>
          </w:p>
        </w:tc>
      </w:tr>
      <w:tr w14:paraId="377F2111">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D7235B3">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20132</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203BFD7">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组织事务</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FFAA9E">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1,063.22</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846280B">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531.82</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6C327BC">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531.41</w:t>
            </w:r>
          </w:p>
        </w:tc>
      </w:tr>
      <w:tr w14:paraId="35711E15">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45E245D">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2013201</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DDC6997">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行政运行</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223E16A">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469.83</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BECC744">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469.83</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5F31208">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14:paraId="329136B6">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85D3881">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2013202</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1B52590">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一般行政管理事务</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92BC613">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273.94</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E8DD5C0">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456E91C">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273.94</w:t>
            </w:r>
          </w:p>
        </w:tc>
      </w:tr>
      <w:tr w14:paraId="4613BF2F">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7B10341">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2013299</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08C8B92">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其他组织事务支出</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EE987CC">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319.45</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4652FA3">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61.99</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F348F1D">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257.46</w:t>
            </w:r>
          </w:p>
        </w:tc>
      </w:tr>
      <w:tr w14:paraId="140F6CF2">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EBDED42">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20199</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85BB98F">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其他一般公共服务支出</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1FDF0D6">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146.00</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AB8F9BD">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2203BE0">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146.00</w:t>
            </w:r>
          </w:p>
        </w:tc>
      </w:tr>
      <w:tr w14:paraId="7A9B7888">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12391D3">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2019999</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05380CA">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其他一般公共服务支出</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FEFEEED">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146.00</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D33E003">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F4F5C92">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146.00</w:t>
            </w:r>
          </w:p>
        </w:tc>
      </w:tr>
      <w:tr w14:paraId="257D838A">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271E999">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205</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0C48E4B">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教育支出</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99E7C3C">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0958311">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BF4D0EE">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r>
      <w:tr w14:paraId="5EDF204B">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974D34A">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20599</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C9DD9F3">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其他教育支出</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D7A2FA7">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8C964AF">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65C6377">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r>
      <w:tr w14:paraId="71C61D17">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D71BB51">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2059999</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7D61CC">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其他教育支出</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F09DE59">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B9C7271">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7ADC85A">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r>
      <w:tr w14:paraId="0A6771CB">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F63D752">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210</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5B1F276">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卫生健康支出</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0F27F2B">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7DA0C87">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3E9966D">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14:paraId="79D552E0">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349E20A">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21011</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1EC0462">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行政事业单位医疗</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3AB4ECB">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4933518">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1C5EDA0">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14:paraId="68198A02">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D0D89D1">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2101101</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AF2B2DA">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行政单位医疗</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5F37640">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FC06A39">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2C04D3E">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14:paraId="510C61CB">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6AE3B0">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213</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BEE957F">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农林水支出</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91DC396">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68F926">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709802A">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r>
      <w:tr w14:paraId="46B1786E">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9634207">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21301</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857F60C">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农业</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5768472">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E3BC8D2">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1CB5863">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r>
      <w:tr w14:paraId="7939F9D7">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2D1F800">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2130152</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E3C139F">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对高校毕业生到基层任职补助</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0860B15">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4EDCB16">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23DCE54">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r>
      <w:tr w14:paraId="7025F429">
        <w:tblPrEx>
          <w:tblCellMar>
            <w:top w:w="0" w:type="dxa"/>
            <w:left w:w="0" w:type="dxa"/>
            <w:bottom w:w="0" w:type="dxa"/>
            <w:right w:w="0" w:type="dxa"/>
          </w:tblCellMar>
        </w:tblPrEx>
        <w:trPr>
          <w:trHeight w:val="308" w:hRule="atLeast"/>
        </w:trPr>
        <w:tc>
          <w:tcPr>
            <w:tcW w:w="5000" w:type="pct"/>
            <w:gridSpan w:val="5"/>
            <w:tcBorders>
              <w:top w:val="nil"/>
              <w:left w:val="nil"/>
              <w:bottom w:val="nil"/>
              <w:right w:val="nil"/>
            </w:tcBorders>
            <w:shd w:val="clear" w:color="auto" w:fill="FFFFFF" w:themeFill="background1"/>
            <w:noWrap/>
            <w:tcMar>
              <w:top w:w="15" w:type="dxa"/>
              <w:left w:w="15" w:type="dxa"/>
              <w:right w:w="15" w:type="dxa"/>
            </w:tcMar>
            <w:vAlign w:val="center"/>
          </w:tcPr>
          <w:p w14:paraId="0B540281">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注：本表反映部门本年度一般公共预算财政拨款支出情况。</w:t>
            </w:r>
          </w:p>
        </w:tc>
      </w:tr>
    </w:tbl>
    <w:p w14:paraId="727CA4F4">
      <w:pPr>
        <w:widowControl/>
        <w:tabs>
          <w:tab w:val="left" w:pos="798"/>
          <w:tab w:val="left" w:pos="4250"/>
          <w:tab w:val="left" w:pos="5370"/>
          <w:tab w:val="left" w:pos="6136"/>
          <w:tab w:val="left" w:pos="8488"/>
          <w:tab w:val="left" w:pos="9708"/>
          <w:tab w:val="left" w:pos="10474"/>
          <w:tab w:val="left" w:pos="14806"/>
        </w:tabs>
        <w:ind w:left="32"/>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一般公共预算财政拨款基本支出决算表</w:t>
      </w:r>
    </w:p>
    <w:p w14:paraId="18712FDD">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right"/>
        <w:rPr>
          <w:rFonts w:ascii="Times New Roman" w:hAnsi="Times New Roman" w:cs="Times New Roman"/>
          <w:bCs/>
          <w:kern w:val="0"/>
          <w:szCs w:val="21"/>
        </w:rPr>
      </w:pPr>
      <w:r>
        <w:rPr>
          <w:rFonts w:ascii="Times New Roman" w:hAnsi="Times New Roman" w:cs="Times New Roman"/>
          <w:bCs/>
          <w:kern w:val="0"/>
          <w:szCs w:val="21"/>
        </w:rPr>
        <w:t>公开06表</w:t>
      </w:r>
    </w:p>
    <w:p w14:paraId="7E52CAEA">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left"/>
        <w:rPr>
          <w:rFonts w:ascii="Times New Roman" w:hAnsi="Times New Roman" w:eastAsia="宋体" w:cs="Times New Roman"/>
          <w:kern w:val="0"/>
          <w:sz w:val="20"/>
          <w:szCs w:val="20"/>
        </w:rPr>
      </w:pPr>
      <w:r>
        <w:rPr>
          <w:rFonts w:ascii="Times New Roman" w:hAnsi="Times New Roman" w:cs="Times New Roman"/>
          <w:bCs/>
          <w:kern w:val="0"/>
          <w:szCs w:val="21"/>
        </w:rPr>
        <w:t>部门：中共醴陵市委组织部                                                                                                金额单位：万元</w:t>
      </w:r>
    </w:p>
    <w:tbl>
      <w:tblPr>
        <w:tblStyle w:val="6"/>
        <w:tblW w:w="5085" w:type="pct"/>
        <w:tblInd w:w="0" w:type="dxa"/>
        <w:shd w:val="clear" w:color="auto" w:fill="FFFFFF" w:themeFill="background1"/>
        <w:tblLayout w:type="autofit"/>
        <w:tblCellMar>
          <w:top w:w="0" w:type="dxa"/>
          <w:left w:w="0" w:type="dxa"/>
          <w:bottom w:w="0" w:type="dxa"/>
          <w:right w:w="0" w:type="dxa"/>
        </w:tblCellMar>
      </w:tblPr>
      <w:tblGrid>
        <w:gridCol w:w="1412"/>
        <w:gridCol w:w="2731"/>
        <w:gridCol w:w="1082"/>
        <w:gridCol w:w="885"/>
        <w:gridCol w:w="1830"/>
        <w:gridCol w:w="982"/>
        <w:gridCol w:w="902"/>
        <w:gridCol w:w="3451"/>
        <w:gridCol w:w="996"/>
      </w:tblGrid>
      <w:tr w14:paraId="3B03211D">
        <w:tblPrEx>
          <w:shd w:val="clear" w:color="auto" w:fill="FFFFFF" w:themeFill="background1"/>
          <w:tblCellMar>
            <w:top w:w="0" w:type="dxa"/>
            <w:left w:w="0" w:type="dxa"/>
            <w:bottom w:w="0" w:type="dxa"/>
            <w:right w:w="0" w:type="dxa"/>
          </w:tblCellMar>
        </w:tblPrEx>
        <w:trPr>
          <w:trHeight w:val="170" w:hRule="atLeast"/>
        </w:trPr>
        <w:tc>
          <w:tcPr>
            <w:tcW w:w="1831"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3049E01">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人员经费</w:t>
            </w:r>
          </w:p>
        </w:tc>
        <w:tc>
          <w:tcPr>
            <w:tcW w:w="3169" w:type="pct"/>
            <w:gridSpan w:val="6"/>
            <w:tcBorders>
              <w:top w:val="single" w:color="000000"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D1E1180">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公用经费</w:t>
            </w:r>
          </w:p>
        </w:tc>
      </w:tr>
      <w:tr w14:paraId="7F035D86">
        <w:tblPrEx>
          <w:tblCellMar>
            <w:top w:w="0" w:type="dxa"/>
            <w:left w:w="0" w:type="dxa"/>
            <w:bottom w:w="0" w:type="dxa"/>
            <w:right w:w="0" w:type="dxa"/>
          </w:tblCellMar>
        </w:tblPrEx>
        <w:trPr>
          <w:trHeight w:val="22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4EB64300">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科目编码</w:t>
            </w:r>
          </w:p>
        </w:tc>
        <w:tc>
          <w:tcPr>
            <w:tcW w:w="957"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35C44CA2">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科目名称</w:t>
            </w:r>
          </w:p>
        </w:tc>
        <w:tc>
          <w:tcPr>
            <w:tcW w:w="379"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6FED2D0">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决算数</w:t>
            </w:r>
          </w:p>
        </w:tc>
        <w:tc>
          <w:tcPr>
            <w:tcW w:w="310"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58A8CE0">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科目编码</w:t>
            </w:r>
          </w:p>
        </w:tc>
        <w:tc>
          <w:tcPr>
            <w:tcW w:w="641"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415BCC07">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科目名称</w:t>
            </w:r>
          </w:p>
        </w:tc>
        <w:tc>
          <w:tcPr>
            <w:tcW w:w="344"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291252E">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决算数</w:t>
            </w:r>
          </w:p>
        </w:tc>
        <w:tc>
          <w:tcPr>
            <w:tcW w:w="316"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16115B5">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科目编码</w:t>
            </w:r>
          </w:p>
        </w:tc>
        <w:tc>
          <w:tcPr>
            <w:tcW w:w="1209"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CE395E5">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科目名称</w:t>
            </w:r>
          </w:p>
        </w:tc>
        <w:tc>
          <w:tcPr>
            <w:tcW w:w="349"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347DEADC">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决算数</w:t>
            </w:r>
          </w:p>
        </w:tc>
      </w:tr>
      <w:tr w14:paraId="7F2A14E9">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CE02AA">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5C9B3D2">
            <w:pPr>
              <w:widowControl/>
              <w:spacing w:line="220" w:lineRule="exact"/>
              <w:jc w:val="left"/>
              <w:textAlignment w:val="center"/>
              <w:rPr>
                <w:rFonts w:ascii="Times New Roman" w:hAnsi="Times New Roman" w:cs="Times New Roman"/>
                <w:sz w:val="18"/>
                <w:szCs w:val="18"/>
              </w:rPr>
            </w:pPr>
            <w:r>
              <w:rPr>
                <w:rFonts w:ascii="Times New Roman" w:cs="Times New Roman" w:hAnsiTheme="minorEastAsia"/>
                <w:kern w:val="0"/>
                <w:sz w:val="18"/>
                <w:szCs w:val="18"/>
              </w:rPr>
              <w:t>工资福利支出</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496E078">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356.23</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27FFC7D">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C8817E">
            <w:pPr>
              <w:widowControl/>
              <w:spacing w:line="220" w:lineRule="exact"/>
              <w:jc w:val="left"/>
              <w:textAlignment w:val="center"/>
              <w:rPr>
                <w:rFonts w:ascii="Times New Roman" w:hAnsi="Times New Roman" w:cs="Times New Roman"/>
                <w:sz w:val="18"/>
                <w:szCs w:val="18"/>
              </w:rPr>
            </w:pPr>
            <w:r>
              <w:rPr>
                <w:rFonts w:ascii="Times New Roman" w:cs="Times New Roman" w:hAnsiTheme="minorEastAsia"/>
                <w:kern w:val="0"/>
                <w:sz w:val="18"/>
                <w:szCs w:val="18"/>
              </w:rPr>
              <w:t>商品和服务支出</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B94CA35">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115.43</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6C0EE74">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307</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CE0B759">
            <w:pPr>
              <w:widowControl/>
              <w:spacing w:line="220" w:lineRule="exact"/>
              <w:jc w:val="left"/>
              <w:textAlignment w:val="center"/>
              <w:rPr>
                <w:rFonts w:ascii="Times New Roman" w:hAnsi="Times New Roman" w:cs="Times New Roman"/>
                <w:sz w:val="18"/>
                <w:szCs w:val="18"/>
              </w:rPr>
            </w:pPr>
            <w:r>
              <w:rPr>
                <w:rFonts w:ascii="Times New Roman" w:cs="Times New Roman" w:hAnsiTheme="minorEastAsia"/>
                <w:kern w:val="0"/>
                <w:sz w:val="18"/>
                <w:szCs w:val="18"/>
              </w:rPr>
              <w:t>债务利息及费用支出</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33EE60C">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57153316">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38A5AA1">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30101</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F1715A0">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基本工资</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3E619D5">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79.42</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80A87D">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30201</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FB11C67">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办公费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6AFEF1C">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11.73</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29E964C">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30701</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FBB20C6">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国内债务付息</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1FAD7E6">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61455B54">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F783FA0">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30102</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BA8A2A0">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津贴补贴</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D50F3C8">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51.34</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AA133A0">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30202</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9F4B131">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印刷费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557C7F6">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22.72</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434B697">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30702</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DF0DC41">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国外债务付息</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EA397AF">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20A7AE8D">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536CDAF">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30103</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425A478">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奖金</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CAFF8D5">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55.43</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437EF60">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30203</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0E6420D">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咨询费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56E5993">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1F67030">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306C58A">
            <w:pPr>
              <w:widowControl/>
              <w:spacing w:line="220" w:lineRule="exact"/>
              <w:jc w:val="left"/>
              <w:textAlignment w:val="center"/>
              <w:rPr>
                <w:rFonts w:ascii="Times New Roman" w:hAnsi="Times New Roman" w:cs="Times New Roman"/>
                <w:sz w:val="18"/>
                <w:szCs w:val="18"/>
              </w:rPr>
            </w:pPr>
            <w:r>
              <w:rPr>
                <w:rFonts w:ascii="Times New Roman" w:cs="Times New Roman" w:hAnsiTheme="minorEastAsia"/>
                <w:kern w:val="0"/>
                <w:sz w:val="18"/>
                <w:szCs w:val="18"/>
              </w:rPr>
              <w:t>资本性支出</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D9A57DC">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1.86</w:t>
            </w:r>
          </w:p>
        </w:tc>
      </w:tr>
      <w:tr w14:paraId="444CDB34">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493B554">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30106</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CBF5315">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伙食补助费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823C2BC">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17.94</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5D8C44F">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30204</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0A68752">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手续费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4A280D4">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ECEB16C">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31001</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97FFAE4">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房屋建筑物购建</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8761708">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6C3AC69D">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1E31B7D">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30107</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F65803">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绩效工资</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1B3A5DF">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14.30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5A02E69">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30205</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0BD2ACF">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水费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87C89EF">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2B16CD7">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31002</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28EA7B5">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办公设备购置</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4A88953">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1.86</w:t>
            </w:r>
          </w:p>
        </w:tc>
      </w:tr>
      <w:tr w14:paraId="5CB4B397">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1B4550C">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30108</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7A729D8">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机关事业单位基本养老保险缴费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CACCA43">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23.35</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CF07A92">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30206</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B3AA6DD">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电费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2BE4668">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0.54</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C358CB6">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31003</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C4D3DD2">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专用设备购置</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53C09F8">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44841066">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2DBA8DE">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30109</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C341EF2">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职业年金缴费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4B3CEA0">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2.93</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48190CB">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30207</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13270E3">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邮电费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5F9E222">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33C1559">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31005</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B600CF">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基础设施建设</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078661E">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2FAF338B">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5EE36F8">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30110</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228024D">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职工基本医疗保险缴费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6E8377F">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13.21</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EE8EE25">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30208</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773376">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取暖费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5ED3C9B">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23CF217">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31006</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D009D6D">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大型修缮</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B6113B2">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7F549CF1">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4E3EA3E">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30111</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1F97C5A">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公务员医疗补助缴费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A0CBB2B">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EB6FF58">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30209</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530B166">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物业管理费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E489247">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8E3C348">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31007</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094678E">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信息网络及软件购置更新</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B12F02E">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3D6C824C">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DBD83DE">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30112</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8A6E6B4">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其他社会保障缴费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677B9ED">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1.06</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60A1F48">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30211</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8015586">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差旅费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67C0BEF">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4.66</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830F45E">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31008</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FDAA0FD">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物资储备</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C83BE25">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066E983D">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92F75AC">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30113</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9FC63EA">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住房公积金</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A6A0F6D">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28.53</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E25B9D1">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30212</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ED4947A">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因公出国（境）费用</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3FD519">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F41269">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31009</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4F488F4">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土地补偿</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737E17">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02E8E40F">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BAC7228">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30114</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B29FA01">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医疗费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C4EA421">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12.90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DDFC0C3">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30213</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DD492D">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维修（护）费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670DDD3">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4ED6930">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31010</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66F6F5F">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安置补助</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790FDFE">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0CD23C80">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A350840">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30199</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E97466D">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其他工资福利支出</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3D84951">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55.83</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D24B505">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30214</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EB6FE09">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租赁费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2BCABE2">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912D7DA">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31011</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7190A5D">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地上附着物和青苗补偿</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EFBFA21">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2D204335">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D35FB32">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9B1FD14">
            <w:pPr>
              <w:widowControl/>
              <w:spacing w:line="220" w:lineRule="exact"/>
              <w:jc w:val="left"/>
              <w:textAlignment w:val="center"/>
              <w:rPr>
                <w:rFonts w:ascii="Times New Roman" w:hAnsi="Times New Roman" w:cs="Times New Roman"/>
                <w:sz w:val="18"/>
                <w:szCs w:val="18"/>
              </w:rPr>
            </w:pPr>
            <w:r>
              <w:rPr>
                <w:rFonts w:ascii="Times New Roman" w:cs="Times New Roman" w:hAnsiTheme="minorEastAsia"/>
                <w:kern w:val="0"/>
                <w:sz w:val="18"/>
                <w:szCs w:val="18"/>
              </w:rPr>
              <w:t>对个人和家庭的补助</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E9F64F9">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67.78</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7A62FA0">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30215</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18E656B">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会议费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0EDC795">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3.77</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83D7882">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31012</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4BED792">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拆迁补偿</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6FD2C23">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706B9ED2">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013F329">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30301</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00FF44D">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离休费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090436A">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C167725">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30216</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2851C62">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培训费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8258084">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0.72</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22CD320">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31013</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97B5048">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公务用车购置</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136A5F2">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02E6C4B7">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B3911B9">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30302</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C9DE0C1">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退休费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1F6F1BC">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5A01866">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30217</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099FF3D">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公务接待费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FB810E6">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1.53</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EAB2C4B">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31019</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F2B19C9">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其他交通工具购置</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A703C6">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597829D9">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728C14A">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30303</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309ABCA">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退职（役）费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0813B10">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325E00B">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30218</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537777F">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专用材料费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2ADF229">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0.72</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64B9040">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31021</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926929F">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文物和陈列品购置</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B5B4E46">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45331407">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07C2083">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30304</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FB1EFBD">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抚恤金</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672EA99">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A008FE6">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30224</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CEA8FFD">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被装购置费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DE858BE">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DAD8C6A">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31022</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45588BB">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无形资产购置</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9494B7B">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645CF01E">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4AC81D2">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30305</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7FBD968">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生活补助</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42FF1C6">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62.36</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DFE22A9">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30225</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E4152B2">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专用燃料费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331F00A">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4567BA5">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31099</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FD0D4AC">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其他资本性支出</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C9ECA9">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5213BEA1">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930B325">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30306</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A6C6C72">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救济费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7E08D99">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5.43</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813C895">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30226</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F5994EE">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劳务费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3392249">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16.55</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5FBF490">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399</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D0C137">
            <w:pPr>
              <w:widowControl/>
              <w:spacing w:line="220" w:lineRule="exact"/>
              <w:jc w:val="left"/>
              <w:textAlignment w:val="center"/>
              <w:rPr>
                <w:rFonts w:ascii="Times New Roman" w:hAnsi="Times New Roman" w:cs="Times New Roman"/>
                <w:sz w:val="18"/>
                <w:szCs w:val="18"/>
              </w:rPr>
            </w:pPr>
            <w:r>
              <w:rPr>
                <w:rFonts w:ascii="Times New Roman" w:cs="Times New Roman" w:hAnsiTheme="minorEastAsia"/>
                <w:kern w:val="0"/>
                <w:sz w:val="18"/>
                <w:szCs w:val="18"/>
              </w:rPr>
              <w:t>其他支出</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903579F">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316637EF">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BE0E84A">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30307</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867975B">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医疗费补助</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4BED75D">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D8171AE">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30227</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93B4C5B">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委托业务费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C3FB661">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6A3FF9C">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39906</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1A7073E">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赠与</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B565EB8">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35E07283">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C672008">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30308</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7AFDECF">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助学金</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5000100">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8AD416">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30228</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1E188C6">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工会经费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EC1ACFC">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3.06</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BB588AD">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39907</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DBF0CF9">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国家赔偿费用支出</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0B6DC36">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3AF3D895">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891B42C">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30309</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AD2E835">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奖励金</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21036DF">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67CBFDB">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30229</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AC6B720">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福利费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39B3ADD">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774CEA6">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39908</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50E8BDD">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对民间非营利组织和群众性自治组织补贴</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5A1D7A9">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25734782">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CFA912B">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30310</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E1F7DCF">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个人农业生产补贴</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F55C718">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2EA7812">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30231</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0789D55">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公务用车运行维护费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4B29596">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1BBACD3">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39999</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3D5D51C">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其他支出</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D8B1327">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14:paraId="0B1E3CE9">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3D464A2">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30399</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9BC382">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其他对个人和家庭的补助</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35AFB33">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0AB2DBE">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30239</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A36F7CE">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其他交通费用</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D0ED3EC">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17.98</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8B0C985">
            <w:pPr>
              <w:spacing w:line="220" w:lineRule="exact"/>
              <w:jc w:val="left"/>
              <w:rPr>
                <w:rFonts w:ascii="Times New Roman" w:hAnsi="Times New Roman" w:cs="Times New Roman"/>
                <w:sz w:val="18"/>
                <w:szCs w:val="18"/>
              </w:rPr>
            </w:pP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37F4A65">
            <w:pPr>
              <w:spacing w:line="220" w:lineRule="exact"/>
              <w:jc w:val="left"/>
              <w:rPr>
                <w:rFonts w:ascii="Times New Roman" w:hAnsi="Times New Roman" w:cs="Times New Roman"/>
                <w:sz w:val="18"/>
                <w:szCs w:val="18"/>
              </w:rPr>
            </w:pP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E72F988">
            <w:pPr>
              <w:spacing w:line="220" w:lineRule="exact"/>
              <w:jc w:val="right"/>
              <w:rPr>
                <w:rFonts w:ascii="Times New Roman" w:hAnsi="Times New Roman" w:cs="Times New Roman"/>
                <w:sz w:val="18"/>
                <w:szCs w:val="18"/>
              </w:rPr>
            </w:pPr>
          </w:p>
        </w:tc>
      </w:tr>
      <w:tr w14:paraId="0CBEA9CB">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0B871ED">
            <w:pPr>
              <w:spacing w:line="220" w:lineRule="exact"/>
              <w:jc w:val="left"/>
              <w:rPr>
                <w:rFonts w:ascii="Times New Roman" w:hAnsi="Times New Roman" w:cs="Times New Roman"/>
                <w:sz w:val="18"/>
                <w:szCs w:val="18"/>
              </w:rPr>
            </w:pP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D31A6D0">
            <w:pPr>
              <w:spacing w:line="220" w:lineRule="exact"/>
              <w:jc w:val="left"/>
              <w:rPr>
                <w:rFonts w:ascii="Times New Roman" w:hAnsi="Times New Roman" w:cs="Times New Roman"/>
                <w:sz w:val="18"/>
                <w:szCs w:val="18"/>
              </w:rPr>
            </w:pP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522A16E">
            <w:pPr>
              <w:spacing w:line="220" w:lineRule="exact"/>
              <w:jc w:val="center"/>
              <w:rPr>
                <w:rFonts w:ascii="Times New Roman" w:hAnsi="Times New Roman" w:cs="Times New Roman"/>
                <w:sz w:val="18"/>
                <w:szCs w:val="18"/>
              </w:rPr>
            </w:pP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351F52F">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30240</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E4E3E1C">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税金及附加费用</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6ED3BF1">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D783D79">
            <w:pPr>
              <w:spacing w:line="220" w:lineRule="exact"/>
              <w:jc w:val="left"/>
              <w:rPr>
                <w:rFonts w:ascii="Times New Roman" w:hAnsi="Times New Roman" w:cs="Times New Roman"/>
                <w:sz w:val="18"/>
                <w:szCs w:val="18"/>
              </w:rPr>
            </w:pP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1A622AF">
            <w:pPr>
              <w:spacing w:line="220" w:lineRule="exact"/>
              <w:jc w:val="left"/>
              <w:rPr>
                <w:rFonts w:ascii="Times New Roman" w:hAnsi="Times New Roman" w:cs="Times New Roman"/>
                <w:sz w:val="18"/>
                <w:szCs w:val="18"/>
              </w:rPr>
            </w:pP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BA089A1">
            <w:pPr>
              <w:spacing w:line="220" w:lineRule="exact"/>
              <w:jc w:val="right"/>
              <w:rPr>
                <w:rFonts w:ascii="Times New Roman" w:hAnsi="Times New Roman" w:cs="Times New Roman"/>
                <w:sz w:val="18"/>
                <w:szCs w:val="18"/>
              </w:rPr>
            </w:pPr>
          </w:p>
        </w:tc>
      </w:tr>
      <w:tr w14:paraId="2C2E1548">
        <w:tblPrEx>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5836572">
            <w:pPr>
              <w:spacing w:line="220" w:lineRule="exact"/>
              <w:jc w:val="left"/>
              <w:rPr>
                <w:rFonts w:ascii="Times New Roman" w:hAnsi="Times New Roman" w:cs="Times New Roman"/>
                <w:sz w:val="18"/>
                <w:szCs w:val="18"/>
              </w:rPr>
            </w:pP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BD3C9AD">
            <w:pPr>
              <w:spacing w:line="220" w:lineRule="exact"/>
              <w:jc w:val="left"/>
              <w:rPr>
                <w:rFonts w:ascii="Times New Roman" w:hAnsi="Times New Roman" w:cs="Times New Roman"/>
                <w:sz w:val="18"/>
                <w:szCs w:val="18"/>
              </w:rPr>
            </w:pP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1448114">
            <w:pPr>
              <w:spacing w:line="220" w:lineRule="exact"/>
              <w:jc w:val="center"/>
              <w:rPr>
                <w:rFonts w:ascii="Times New Roman" w:hAnsi="Times New Roman" w:cs="Times New Roman"/>
                <w:sz w:val="18"/>
                <w:szCs w:val="18"/>
              </w:rPr>
            </w:pP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FF3537A">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30299</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A9C4778">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其他商品和服务支出</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5E4B0D9">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31.45</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CE4F593">
            <w:pPr>
              <w:spacing w:line="220" w:lineRule="exact"/>
              <w:jc w:val="left"/>
              <w:rPr>
                <w:rFonts w:ascii="Times New Roman" w:hAnsi="Times New Roman" w:cs="Times New Roman"/>
                <w:sz w:val="18"/>
                <w:szCs w:val="18"/>
              </w:rPr>
            </w:pP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6F7C33B">
            <w:pPr>
              <w:spacing w:line="220" w:lineRule="exact"/>
              <w:jc w:val="left"/>
              <w:rPr>
                <w:rFonts w:ascii="Times New Roman" w:hAnsi="Times New Roman" w:cs="Times New Roman"/>
                <w:sz w:val="18"/>
                <w:szCs w:val="18"/>
              </w:rPr>
            </w:pP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FC780C3">
            <w:pPr>
              <w:spacing w:line="220" w:lineRule="exact"/>
              <w:jc w:val="right"/>
              <w:rPr>
                <w:rFonts w:ascii="Times New Roman" w:hAnsi="Times New Roman" w:cs="Times New Roman"/>
                <w:sz w:val="18"/>
                <w:szCs w:val="18"/>
              </w:rPr>
            </w:pPr>
          </w:p>
        </w:tc>
      </w:tr>
      <w:tr w14:paraId="2D3F46F2">
        <w:tblPrEx>
          <w:tblCellMar>
            <w:top w:w="0" w:type="dxa"/>
            <w:left w:w="0" w:type="dxa"/>
            <w:bottom w:w="0" w:type="dxa"/>
            <w:right w:w="0" w:type="dxa"/>
          </w:tblCellMar>
        </w:tblPrEx>
        <w:trPr>
          <w:trHeight w:val="170" w:hRule="atLeast"/>
        </w:trPr>
        <w:tc>
          <w:tcPr>
            <w:tcW w:w="1452" w:type="pct"/>
            <w:gridSpan w:val="2"/>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5800D44">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人员经费合计</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C722442">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424.02</w:t>
            </w:r>
          </w:p>
        </w:tc>
        <w:tc>
          <w:tcPr>
            <w:tcW w:w="2820" w:type="pct"/>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ECED5DA">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公用经费合计</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DD79C42">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117.29</w:t>
            </w:r>
          </w:p>
        </w:tc>
      </w:tr>
      <w:tr w14:paraId="0DC18464">
        <w:tblPrEx>
          <w:tblCellMar>
            <w:top w:w="0" w:type="dxa"/>
            <w:left w:w="0" w:type="dxa"/>
            <w:bottom w:w="0" w:type="dxa"/>
            <w:right w:w="0" w:type="dxa"/>
          </w:tblCellMar>
        </w:tblPrEx>
        <w:trPr>
          <w:trHeight w:val="170" w:hRule="atLeast"/>
        </w:trPr>
        <w:tc>
          <w:tcPr>
            <w:tcW w:w="5000" w:type="pct"/>
            <w:gridSpan w:val="9"/>
            <w:tcBorders>
              <w:top w:val="nil"/>
              <w:left w:val="nil"/>
              <w:bottom w:val="nil"/>
              <w:right w:val="nil"/>
            </w:tcBorders>
            <w:shd w:val="clear" w:color="auto" w:fill="FFFFFF" w:themeFill="background1"/>
            <w:noWrap/>
            <w:tcMar>
              <w:top w:w="15" w:type="dxa"/>
              <w:left w:w="15" w:type="dxa"/>
              <w:right w:w="15" w:type="dxa"/>
            </w:tcMar>
            <w:vAlign w:val="center"/>
          </w:tcPr>
          <w:p w14:paraId="2D56C7F3">
            <w:pPr>
              <w:widowControl/>
              <w:spacing w:line="220" w:lineRule="exact"/>
              <w:jc w:val="left"/>
              <w:textAlignment w:val="center"/>
              <w:rPr>
                <w:rFonts w:ascii="Times New Roman" w:hAnsi="Times New Roman" w:cs="Times New Roman"/>
                <w:sz w:val="18"/>
                <w:szCs w:val="18"/>
              </w:rPr>
            </w:pPr>
            <w:r>
              <w:rPr>
                <w:rFonts w:ascii="Times New Roman" w:cs="Times New Roman" w:hAnsiTheme="minorEastAsia"/>
                <w:kern w:val="0"/>
                <w:sz w:val="18"/>
                <w:szCs w:val="18"/>
              </w:rPr>
              <w:t>注：本表反映部门本年度一般公共预算财政拨款基本支出明细情况。</w:t>
            </w:r>
          </w:p>
        </w:tc>
      </w:tr>
    </w:tbl>
    <w:p w14:paraId="5AD84C4A">
      <w:pPr>
        <w:widowControl/>
        <w:tabs>
          <w:tab w:val="left" w:pos="1191"/>
          <w:tab w:val="left" w:pos="2311"/>
          <w:tab w:val="left" w:pos="3371"/>
          <w:tab w:val="left" w:pos="4591"/>
          <w:tab w:val="left" w:pos="5731"/>
          <w:tab w:val="left" w:pos="6827"/>
          <w:tab w:val="left" w:pos="7667"/>
          <w:tab w:val="left" w:pos="8627"/>
          <w:tab w:val="left" w:pos="9507"/>
          <w:tab w:val="left" w:pos="10547"/>
          <w:tab w:val="left" w:pos="11447"/>
        </w:tabs>
        <w:ind w:left="91"/>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一般公共预算财政拨款“三公”经费支出决算表</w:t>
      </w:r>
    </w:p>
    <w:p w14:paraId="0991C91D">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right"/>
        <w:rPr>
          <w:rFonts w:ascii="Times New Roman" w:hAnsi="Times New Roman" w:cs="Times New Roman"/>
          <w:bCs/>
          <w:kern w:val="0"/>
          <w:szCs w:val="21"/>
        </w:rPr>
      </w:pPr>
      <w:r>
        <w:rPr>
          <w:rFonts w:ascii="Times New Roman" w:hAnsi="Times New Roman" w:cs="Times New Roman"/>
          <w:bCs/>
          <w:kern w:val="0"/>
          <w:szCs w:val="21"/>
        </w:rPr>
        <w:t>公开07表</w:t>
      </w:r>
    </w:p>
    <w:p w14:paraId="38690EFA">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left"/>
        <w:rPr>
          <w:rFonts w:ascii="Times New Roman" w:hAnsi="Times New Roman" w:eastAsia="宋体" w:cs="Times New Roman"/>
          <w:kern w:val="0"/>
          <w:sz w:val="20"/>
          <w:szCs w:val="20"/>
        </w:rPr>
      </w:pPr>
      <w:r>
        <w:rPr>
          <w:rFonts w:ascii="Times New Roman" w:hAnsi="Times New Roman" w:cs="Times New Roman"/>
          <w:bCs/>
          <w:kern w:val="0"/>
          <w:szCs w:val="21"/>
        </w:rPr>
        <w:t>部门：中共醴陵市委组织部                                                                                                金额单位：万元</w:t>
      </w:r>
    </w:p>
    <w:tbl>
      <w:tblPr>
        <w:tblStyle w:val="6"/>
        <w:tblW w:w="4997" w:type="pct"/>
        <w:tblInd w:w="0" w:type="dxa"/>
        <w:shd w:val="clear" w:color="auto" w:fill="FFFFFF" w:themeFill="background1"/>
        <w:tblLayout w:type="autofit"/>
        <w:tblCellMar>
          <w:top w:w="0" w:type="dxa"/>
          <w:left w:w="0" w:type="dxa"/>
          <w:bottom w:w="0" w:type="dxa"/>
          <w:right w:w="0" w:type="dxa"/>
        </w:tblCellMar>
      </w:tblPr>
      <w:tblGrid>
        <w:gridCol w:w="2429"/>
        <w:gridCol w:w="1015"/>
        <w:gridCol w:w="1015"/>
        <w:gridCol w:w="1015"/>
        <w:gridCol w:w="1018"/>
        <w:gridCol w:w="1024"/>
        <w:gridCol w:w="1015"/>
        <w:gridCol w:w="1015"/>
        <w:gridCol w:w="1015"/>
        <w:gridCol w:w="1015"/>
        <w:gridCol w:w="1019"/>
        <w:gridCol w:w="1429"/>
      </w:tblGrid>
      <w:tr w14:paraId="5BD5237B">
        <w:tblPrEx>
          <w:shd w:val="clear" w:color="auto" w:fill="FFFFFF" w:themeFill="background1"/>
          <w:tblCellMar>
            <w:top w:w="0" w:type="dxa"/>
            <w:left w:w="0" w:type="dxa"/>
            <w:bottom w:w="0" w:type="dxa"/>
            <w:right w:w="0" w:type="dxa"/>
          </w:tblCellMar>
        </w:tblPrEx>
        <w:trPr>
          <w:trHeight w:val="308" w:hRule="atLeast"/>
        </w:trPr>
        <w:tc>
          <w:tcPr>
            <w:tcW w:w="268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6E953997">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预算数</w:t>
            </w:r>
          </w:p>
        </w:tc>
        <w:tc>
          <w:tcPr>
            <w:tcW w:w="2320" w:type="pct"/>
            <w:gridSpan w:val="6"/>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C899D1E">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决算数</w:t>
            </w:r>
          </w:p>
        </w:tc>
      </w:tr>
      <w:tr w14:paraId="04A54DA7">
        <w:tblPrEx>
          <w:tblCellMar>
            <w:top w:w="0" w:type="dxa"/>
            <w:left w:w="0" w:type="dxa"/>
            <w:bottom w:w="0" w:type="dxa"/>
            <w:right w:w="0" w:type="dxa"/>
          </w:tblCellMar>
        </w:tblPrEx>
        <w:trPr>
          <w:trHeight w:val="308" w:hRule="atLeast"/>
        </w:trPr>
        <w:tc>
          <w:tcPr>
            <w:tcW w:w="866" w:type="pct"/>
            <w:vMerge w:val="restar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1EFD6057">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合计</w:t>
            </w:r>
          </w:p>
        </w:tc>
        <w:tc>
          <w:tcPr>
            <w:tcW w:w="362" w:type="pct"/>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4F08744C">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因公出国（境）费</w:t>
            </w:r>
          </w:p>
        </w:tc>
        <w:tc>
          <w:tcPr>
            <w:tcW w:w="1087" w:type="pct"/>
            <w:gridSpan w:val="3"/>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00B3D6E1">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公务用车购置及运行费</w:t>
            </w:r>
          </w:p>
        </w:tc>
        <w:tc>
          <w:tcPr>
            <w:tcW w:w="364" w:type="pct"/>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DAB6E48">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公务接待费</w:t>
            </w:r>
          </w:p>
        </w:tc>
        <w:tc>
          <w:tcPr>
            <w:tcW w:w="362" w:type="pct"/>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03C23F29">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合计</w:t>
            </w:r>
          </w:p>
        </w:tc>
        <w:tc>
          <w:tcPr>
            <w:tcW w:w="362" w:type="pct"/>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79FA51BB">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因公出国（境）费</w:t>
            </w:r>
          </w:p>
        </w:tc>
        <w:tc>
          <w:tcPr>
            <w:tcW w:w="1087" w:type="pct"/>
            <w:gridSpan w:val="3"/>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FD227C3">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公务用车购置及运行费</w:t>
            </w:r>
          </w:p>
        </w:tc>
        <w:tc>
          <w:tcPr>
            <w:tcW w:w="510" w:type="pct"/>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4455F260">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公务接待费</w:t>
            </w:r>
          </w:p>
        </w:tc>
      </w:tr>
      <w:tr w14:paraId="4890E858">
        <w:tblPrEx>
          <w:tblCellMar>
            <w:top w:w="0" w:type="dxa"/>
            <w:left w:w="0" w:type="dxa"/>
            <w:bottom w:w="0" w:type="dxa"/>
            <w:right w:w="0" w:type="dxa"/>
          </w:tblCellMar>
        </w:tblPrEx>
        <w:trPr>
          <w:trHeight w:val="615" w:hRule="atLeast"/>
        </w:trPr>
        <w:tc>
          <w:tcPr>
            <w:tcW w:w="866" w:type="pct"/>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34D8A3E9">
            <w:pPr>
              <w:jc w:val="center"/>
              <w:rPr>
                <w:rFonts w:ascii="Times New Roman" w:hAnsi="Times New Roman" w:eastAsia="宋体" w:cs="Times New Roman"/>
                <w:sz w:val="22"/>
              </w:rPr>
            </w:pPr>
          </w:p>
        </w:tc>
        <w:tc>
          <w:tcPr>
            <w:tcW w:w="362" w:type="pct"/>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11C580FD">
            <w:pPr>
              <w:jc w:val="center"/>
              <w:rPr>
                <w:rFonts w:ascii="Times New Roman" w:hAnsi="Times New Roman" w:eastAsia="宋体" w:cs="Times New Roman"/>
                <w:sz w:val="22"/>
              </w:rPr>
            </w:pP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35D6C593">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小计</w:t>
            </w: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B991CD7">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公务用车购置费</w:t>
            </w:r>
          </w:p>
        </w:tc>
        <w:tc>
          <w:tcPr>
            <w:tcW w:w="363"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17BCA606">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公务用车运行费</w:t>
            </w:r>
          </w:p>
        </w:tc>
        <w:tc>
          <w:tcPr>
            <w:tcW w:w="364" w:type="pct"/>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D53E6B4">
            <w:pPr>
              <w:jc w:val="center"/>
              <w:rPr>
                <w:rFonts w:ascii="Times New Roman" w:hAnsi="Times New Roman" w:eastAsia="宋体" w:cs="Times New Roman"/>
                <w:sz w:val="22"/>
              </w:rPr>
            </w:pPr>
          </w:p>
        </w:tc>
        <w:tc>
          <w:tcPr>
            <w:tcW w:w="362" w:type="pct"/>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1EE26FDC">
            <w:pPr>
              <w:jc w:val="center"/>
              <w:rPr>
                <w:rFonts w:ascii="Times New Roman" w:hAnsi="Times New Roman" w:eastAsia="宋体" w:cs="Times New Roman"/>
                <w:sz w:val="22"/>
              </w:rPr>
            </w:pPr>
          </w:p>
        </w:tc>
        <w:tc>
          <w:tcPr>
            <w:tcW w:w="362" w:type="pct"/>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B29EC42">
            <w:pPr>
              <w:jc w:val="center"/>
              <w:rPr>
                <w:rFonts w:ascii="Times New Roman" w:hAnsi="Times New Roman" w:eastAsia="宋体" w:cs="Times New Roman"/>
                <w:sz w:val="22"/>
              </w:rPr>
            </w:pP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77BC7247">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小计</w:t>
            </w: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43007139">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公务用车购置费</w:t>
            </w:r>
          </w:p>
        </w:tc>
        <w:tc>
          <w:tcPr>
            <w:tcW w:w="363"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332229B">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公务用车运行费</w:t>
            </w:r>
          </w:p>
        </w:tc>
        <w:tc>
          <w:tcPr>
            <w:tcW w:w="510" w:type="pct"/>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B53F676">
            <w:pPr>
              <w:jc w:val="center"/>
              <w:rPr>
                <w:rFonts w:ascii="Times New Roman" w:hAnsi="Times New Roman" w:eastAsia="宋体" w:cs="Times New Roman"/>
                <w:sz w:val="22"/>
              </w:rPr>
            </w:pPr>
          </w:p>
        </w:tc>
      </w:tr>
      <w:tr w14:paraId="57D7BCB8">
        <w:tblPrEx>
          <w:tblCellMar>
            <w:top w:w="0" w:type="dxa"/>
            <w:left w:w="0" w:type="dxa"/>
            <w:bottom w:w="0" w:type="dxa"/>
            <w:right w:w="0" w:type="dxa"/>
          </w:tblCellMar>
        </w:tblPrEx>
        <w:trPr>
          <w:trHeight w:val="308" w:hRule="atLeast"/>
        </w:trPr>
        <w:tc>
          <w:tcPr>
            <w:tcW w:w="866" w:type="pc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04BA53C4">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w:t>
            </w: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7904D9D">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2</w:t>
            </w: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E9A6BD4">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3</w:t>
            </w: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3D10D74B">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4</w:t>
            </w:r>
          </w:p>
        </w:tc>
        <w:tc>
          <w:tcPr>
            <w:tcW w:w="363"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79E3B63">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5</w:t>
            </w:r>
          </w:p>
        </w:tc>
        <w:tc>
          <w:tcPr>
            <w:tcW w:w="364"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38B53694">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6</w:t>
            </w: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F79D05F">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7</w:t>
            </w: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11DBE42E">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8</w:t>
            </w: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82790C0">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9</w:t>
            </w: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7DE0709">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10</w:t>
            </w:r>
          </w:p>
        </w:tc>
        <w:tc>
          <w:tcPr>
            <w:tcW w:w="363"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EC1CEE7">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11</w:t>
            </w:r>
          </w:p>
        </w:tc>
        <w:tc>
          <w:tcPr>
            <w:tcW w:w="510"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787AA37C">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12</w:t>
            </w:r>
          </w:p>
        </w:tc>
      </w:tr>
      <w:tr w14:paraId="5FBD3088">
        <w:tblPrEx>
          <w:tblCellMar>
            <w:top w:w="0" w:type="dxa"/>
            <w:left w:w="0" w:type="dxa"/>
            <w:bottom w:w="0" w:type="dxa"/>
            <w:right w:w="0" w:type="dxa"/>
          </w:tblCellMar>
        </w:tblPrEx>
        <w:trPr>
          <w:trHeight w:val="308" w:hRule="atLeast"/>
        </w:trPr>
        <w:tc>
          <w:tcPr>
            <w:tcW w:w="866"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8494D31">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12.30</w:t>
            </w:r>
          </w:p>
        </w:tc>
        <w:tc>
          <w:tcPr>
            <w:tcW w:w="3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52B117B">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7.30</w:t>
            </w:r>
          </w:p>
        </w:tc>
        <w:tc>
          <w:tcPr>
            <w:tcW w:w="3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59A3A10">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3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65A685">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36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080CC46">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36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1B89475">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5.00</w:t>
            </w:r>
          </w:p>
        </w:tc>
        <w:tc>
          <w:tcPr>
            <w:tcW w:w="3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85635A4">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8.89</w:t>
            </w:r>
          </w:p>
        </w:tc>
        <w:tc>
          <w:tcPr>
            <w:tcW w:w="3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CC260AD">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7.30</w:t>
            </w:r>
          </w:p>
        </w:tc>
        <w:tc>
          <w:tcPr>
            <w:tcW w:w="3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F4191F9">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3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D3A386">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36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FE3F956">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387C50D">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1.59</w:t>
            </w:r>
          </w:p>
        </w:tc>
      </w:tr>
      <w:tr w14:paraId="2825A937">
        <w:tblPrEx>
          <w:tblCellMar>
            <w:top w:w="0" w:type="dxa"/>
            <w:left w:w="0" w:type="dxa"/>
            <w:bottom w:w="0" w:type="dxa"/>
            <w:right w:w="0" w:type="dxa"/>
          </w:tblCellMar>
        </w:tblPrEx>
        <w:trPr>
          <w:trHeight w:val="615" w:hRule="atLeast"/>
        </w:trPr>
        <w:tc>
          <w:tcPr>
            <w:tcW w:w="5000" w:type="pct"/>
            <w:gridSpan w:val="12"/>
            <w:tcBorders>
              <w:top w:val="nil"/>
              <w:left w:val="nil"/>
              <w:bottom w:val="nil"/>
              <w:right w:val="nil"/>
            </w:tcBorders>
            <w:shd w:val="clear" w:color="auto" w:fill="FFFFFF" w:themeFill="background1"/>
            <w:tcMar>
              <w:top w:w="15" w:type="dxa"/>
              <w:left w:w="15" w:type="dxa"/>
              <w:right w:w="15" w:type="dxa"/>
            </w:tcMar>
            <w:vAlign w:val="center"/>
          </w:tcPr>
          <w:p w14:paraId="487F42DE">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1141CC5F">
      <w:pPr>
        <w:pStyle w:val="10"/>
        <w:jc w:val="center"/>
        <w:rPr>
          <w:rFonts w:ascii="Times New Roman" w:hAnsi="Times New Roman" w:cs="Times New Roman"/>
          <w:color w:val="auto"/>
          <w:sz w:val="72"/>
          <w:szCs w:val="72"/>
        </w:rPr>
      </w:pPr>
    </w:p>
    <w:p w14:paraId="50E1FEC7">
      <w:pPr>
        <w:pStyle w:val="10"/>
        <w:jc w:val="center"/>
        <w:rPr>
          <w:rFonts w:ascii="Times New Roman" w:hAnsi="Times New Roman" w:cs="Times New Roman"/>
          <w:color w:val="auto"/>
          <w:sz w:val="72"/>
          <w:szCs w:val="72"/>
        </w:rPr>
      </w:pPr>
    </w:p>
    <w:p w14:paraId="7642DA83">
      <w:pPr>
        <w:pStyle w:val="10"/>
        <w:jc w:val="center"/>
        <w:rPr>
          <w:rFonts w:ascii="Times New Roman" w:hAnsi="Times New Roman" w:cs="Times New Roman"/>
          <w:color w:val="auto"/>
          <w:sz w:val="72"/>
          <w:szCs w:val="72"/>
        </w:rPr>
      </w:pPr>
    </w:p>
    <w:p w14:paraId="52FDAAC5">
      <w:pPr>
        <w:pStyle w:val="10"/>
        <w:jc w:val="center"/>
        <w:rPr>
          <w:rFonts w:ascii="Times New Roman" w:hAnsi="Times New Roman" w:cs="Times New Roman"/>
          <w:color w:val="auto"/>
          <w:sz w:val="72"/>
          <w:szCs w:val="72"/>
        </w:rPr>
      </w:pPr>
    </w:p>
    <w:p w14:paraId="2EAA1350">
      <w:pPr>
        <w:pStyle w:val="10"/>
        <w:jc w:val="center"/>
        <w:rPr>
          <w:rFonts w:ascii="Times New Roman" w:hAnsi="Times New Roman" w:cs="Times New Roman"/>
          <w:color w:val="auto"/>
          <w:sz w:val="72"/>
          <w:szCs w:val="72"/>
        </w:rPr>
      </w:pPr>
    </w:p>
    <w:p w14:paraId="0F31E858">
      <w:pPr>
        <w:widowControl/>
        <w:tabs>
          <w:tab w:val="left" w:pos="372"/>
          <w:tab w:val="left" w:pos="712"/>
          <w:tab w:val="left" w:pos="1052"/>
          <w:tab w:val="left" w:pos="2972"/>
          <w:tab w:val="left" w:pos="4372"/>
          <w:tab w:val="left" w:pos="5792"/>
          <w:tab w:val="left" w:pos="7152"/>
          <w:tab w:val="left" w:pos="8512"/>
          <w:tab w:val="left" w:pos="10192"/>
        </w:tabs>
        <w:ind w:left="32"/>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政府性基金预算财政拨款收入支出决算表</w:t>
      </w:r>
    </w:p>
    <w:tbl>
      <w:tblPr>
        <w:tblStyle w:val="6"/>
        <w:tblW w:w="4997" w:type="pct"/>
        <w:tblInd w:w="0" w:type="dxa"/>
        <w:tblLayout w:type="autofit"/>
        <w:tblCellMar>
          <w:top w:w="0" w:type="dxa"/>
          <w:left w:w="0" w:type="dxa"/>
          <w:bottom w:w="0" w:type="dxa"/>
          <w:right w:w="0" w:type="dxa"/>
        </w:tblCellMar>
      </w:tblPr>
      <w:tblGrid>
        <w:gridCol w:w="2430"/>
        <w:gridCol w:w="208"/>
        <w:gridCol w:w="211"/>
        <w:gridCol w:w="3162"/>
        <w:gridCol w:w="1316"/>
        <w:gridCol w:w="1316"/>
        <w:gridCol w:w="1316"/>
        <w:gridCol w:w="1317"/>
        <w:gridCol w:w="1317"/>
        <w:gridCol w:w="1431"/>
      </w:tblGrid>
      <w:tr w14:paraId="7FE3DB8A">
        <w:tblPrEx>
          <w:tblCellMar>
            <w:top w:w="0" w:type="dxa"/>
            <w:left w:w="0" w:type="dxa"/>
            <w:bottom w:w="0" w:type="dxa"/>
            <w:right w:w="0" w:type="dxa"/>
          </w:tblCellMar>
        </w:tblPrEx>
        <w:trPr>
          <w:trHeight w:val="255" w:hRule="atLeast"/>
        </w:trPr>
        <w:tc>
          <w:tcPr>
            <w:tcW w:w="710" w:type="pct"/>
            <w:tcBorders>
              <w:top w:val="nil"/>
              <w:left w:val="nil"/>
              <w:bottom w:val="nil"/>
              <w:right w:val="nil"/>
            </w:tcBorders>
            <w:shd w:val="clear" w:color="auto" w:fill="auto"/>
            <w:noWrap/>
            <w:tcMar>
              <w:top w:w="15" w:type="dxa"/>
              <w:left w:w="15" w:type="dxa"/>
              <w:right w:w="15" w:type="dxa"/>
            </w:tcMar>
            <w:vAlign w:val="bottom"/>
          </w:tcPr>
          <w:p w14:paraId="0FF2EEDF">
            <w:pPr>
              <w:rPr>
                <w:rFonts w:ascii="Times New Roman" w:hAnsi="Times New Roman" w:cs="Times New Roman"/>
                <w:sz w:val="20"/>
                <w:szCs w:val="20"/>
              </w:rPr>
            </w:pPr>
          </w:p>
        </w:tc>
        <w:tc>
          <w:tcPr>
            <w:tcW w:w="96" w:type="pct"/>
            <w:tcBorders>
              <w:top w:val="nil"/>
              <w:left w:val="nil"/>
              <w:bottom w:val="nil"/>
              <w:right w:val="nil"/>
            </w:tcBorders>
            <w:shd w:val="clear" w:color="auto" w:fill="auto"/>
            <w:noWrap/>
            <w:tcMar>
              <w:top w:w="15" w:type="dxa"/>
              <w:left w:w="15" w:type="dxa"/>
              <w:right w:w="15" w:type="dxa"/>
            </w:tcMar>
            <w:vAlign w:val="bottom"/>
          </w:tcPr>
          <w:p w14:paraId="0D92224C">
            <w:pPr>
              <w:rPr>
                <w:rFonts w:ascii="Times New Roman" w:hAnsi="Times New Roman" w:cs="Times New Roman"/>
                <w:sz w:val="20"/>
                <w:szCs w:val="20"/>
              </w:rPr>
            </w:pPr>
          </w:p>
        </w:tc>
        <w:tc>
          <w:tcPr>
            <w:tcW w:w="96" w:type="pct"/>
            <w:tcBorders>
              <w:top w:val="nil"/>
              <w:left w:val="nil"/>
              <w:bottom w:val="nil"/>
              <w:right w:val="nil"/>
            </w:tcBorders>
            <w:shd w:val="clear" w:color="auto" w:fill="auto"/>
            <w:noWrap/>
            <w:tcMar>
              <w:top w:w="15" w:type="dxa"/>
              <w:left w:w="15" w:type="dxa"/>
              <w:right w:w="15" w:type="dxa"/>
            </w:tcMar>
            <w:vAlign w:val="bottom"/>
          </w:tcPr>
          <w:p w14:paraId="249D2A5F">
            <w:pPr>
              <w:rPr>
                <w:rFonts w:ascii="Times New Roman" w:hAnsi="Times New Roman" w:cs="Times New Roman"/>
                <w:sz w:val="20"/>
                <w:szCs w:val="20"/>
              </w:rPr>
            </w:pPr>
          </w:p>
        </w:tc>
        <w:tc>
          <w:tcPr>
            <w:tcW w:w="1149" w:type="pct"/>
            <w:tcBorders>
              <w:top w:val="nil"/>
              <w:left w:val="nil"/>
              <w:bottom w:val="nil"/>
              <w:right w:val="nil"/>
            </w:tcBorders>
            <w:shd w:val="clear" w:color="auto" w:fill="auto"/>
            <w:noWrap/>
            <w:tcMar>
              <w:top w:w="15" w:type="dxa"/>
              <w:left w:w="15" w:type="dxa"/>
              <w:right w:w="15" w:type="dxa"/>
            </w:tcMar>
            <w:vAlign w:val="bottom"/>
          </w:tcPr>
          <w:p w14:paraId="60F8C4EA">
            <w:pPr>
              <w:rPr>
                <w:rFonts w:ascii="Times New Roman" w:hAnsi="Times New Roman" w:cs="Times New Roman"/>
                <w:sz w:val="20"/>
                <w:szCs w:val="20"/>
              </w:rPr>
            </w:pPr>
          </w:p>
        </w:tc>
        <w:tc>
          <w:tcPr>
            <w:tcW w:w="491" w:type="pct"/>
            <w:tcBorders>
              <w:top w:val="nil"/>
              <w:left w:val="nil"/>
              <w:bottom w:val="nil"/>
              <w:right w:val="nil"/>
            </w:tcBorders>
            <w:shd w:val="clear" w:color="auto" w:fill="auto"/>
            <w:noWrap/>
            <w:tcMar>
              <w:top w:w="15" w:type="dxa"/>
              <w:left w:w="15" w:type="dxa"/>
              <w:right w:w="15" w:type="dxa"/>
            </w:tcMar>
            <w:vAlign w:val="bottom"/>
          </w:tcPr>
          <w:p w14:paraId="5D8F6439">
            <w:pPr>
              <w:rPr>
                <w:rFonts w:ascii="Times New Roman" w:hAnsi="Times New Roman" w:cs="Times New Roman"/>
                <w:sz w:val="20"/>
                <w:szCs w:val="20"/>
              </w:rPr>
            </w:pPr>
          </w:p>
        </w:tc>
        <w:tc>
          <w:tcPr>
            <w:tcW w:w="491" w:type="pct"/>
            <w:tcBorders>
              <w:top w:val="nil"/>
              <w:left w:val="nil"/>
              <w:bottom w:val="nil"/>
              <w:right w:val="nil"/>
            </w:tcBorders>
            <w:shd w:val="clear" w:color="auto" w:fill="auto"/>
            <w:noWrap/>
            <w:tcMar>
              <w:top w:w="15" w:type="dxa"/>
              <w:left w:w="15" w:type="dxa"/>
              <w:right w:w="15" w:type="dxa"/>
            </w:tcMar>
            <w:vAlign w:val="bottom"/>
          </w:tcPr>
          <w:p w14:paraId="73219A35">
            <w:pPr>
              <w:rPr>
                <w:rFonts w:ascii="Times New Roman" w:hAnsi="Times New Roman" w:cs="Times New Roman"/>
                <w:sz w:val="20"/>
                <w:szCs w:val="20"/>
              </w:rPr>
            </w:pPr>
          </w:p>
        </w:tc>
        <w:tc>
          <w:tcPr>
            <w:tcW w:w="491" w:type="pct"/>
            <w:tcBorders>
              <w:top w:val="nil"/>
              <w:left w:val="nil"/>
              <w:bottom w:val="nil"/>
              <w:right w:val="nil"/>
            </w:tcBorders>
            <w:shd w:val="clear" w:color="auto" w:fill="auto"/>
            <w:noWrap/>
            <w:tcMar>
              <w:top w:w="15" w:type="dxa"/>
              <w:left w:w="15" w:type="dxa"/>
              <w:right w:w="15" w:type="dxa"/>
            </w:tcMar>
            <w:vAlign w:val="bottom"/>
          </w:tcPr>
          <w:p w14:paraId="1B7320F0">
            <w:pPr>
              <w:rPr>
                <w:rFonts w:ascii="Times New Roman" w:hAnsi="Times New Roman" w:cs="Times New Roman"/>
                <w:sz w:val="20"/>
                <w:szCs w:val="20"/>
              </w:rPr>
            </w:pPr>
          </w:p>
        </w:tc>
        <w:tc>
          <w:tcPr>
            <w:tcW w:w="491" w:type="pct"/>
            <w:tcBorders>
              <w:top w:val="nil"/>
              <w:left w:val="nil"/>
              <w:bottom w:val="nil"/>
              <w:right w:val="nil"/>
            </w:tcBorders>
            <w:shd w:val="clear" w:color="auto" w:fill="auto"/>
            <w:noWrap/>
            <w:tcMar>
              <w:top w:w="15" w:type="dxa"/>
              <w:left w:w="15" w:type="dxa"/>
              <w:right w:w="15" w:type="dxa"/>
            </w:tcMar>
            <w:vAlign w:val="bottom"/>
          </w:tcPr>
          <w:p w14:paraId="174E0E87">
            <w:pPr>
              <w:rPr>
                <w:rFonts w:ascii="Times New Roman" w:hAnsi="Times New Roman" w:cs="Times New Roman"/>
                <w:sz w:val="20"/>
                <w:szCs w:val="20"/>
              </w:rPr>
            </w:pPr>
          </w:p>
        </w:tc>
        <w:tc>
          <w:tcPr>
            <w:tcW w:w="491" w:type="pct"/>
            <w:tcBorders>
              <w:top w:val="nil"/>
              <w:left w:val="nil"/>
              <w:bottom w:val="nil"/>
              <w:right w:val="nil"/>
            </w:tcBorders>
            <w:shd w:val="clear" w:color="auto" w:fill="auto"/>
            <w:noWrap/>
            <w:tcMar>
              <w:top w:w="15" w:type="dxa"/>
              <w:left w:w="15" w:type="dxa"/>
              <w:right w:w="15" w:type="dxa"/>
            </w:tcMar>
            <w:vAlign w:val="bottom"/>
          </w:tcPr>
          <w:p w14:paraId="6434B582">
            <w:pPr>
              <w:rPr>
                <w:rFonts w:ascii="Times New Roman" w:hAnsi="Times New Roman" w:cs="Times New Roman"/>
                <w:sz w:val="20"/>
                <w:szCs w:val="20"/>
              </w:rPr>
            </w:pPr>
          </w:p>
        </w:tc>
        <w:tc>
          <w:tcPr>
            <w:tcW w:w="491" w:type="pct"/>
            <w:tcBorders>
              <w:top w:val="nil"/>
              <w:left w:val="nil"/>
              <w:bottom w:val="nil"/>
              <w:right w:val="nil"/>
            </w:tcBorders>
            <w:shd w:val="clear" w:color="auto" w:fill="auto"/>
            <w:noWrap/>
            <w:tcMar>
              <w:top w:w="15" w:type="dxa"/>
              <w:left w:w="15" w:type="dxa"/>
              <w:right w:w="15" w:type="dxa"/>
            </w:tcMar>
            <w:vAlign w:val="bottom"/>
          </w:tcPr>
          <w:p w14:paraId="5FE48992">
            <w:pPr>
              <w:widowControl/>
              <w:jc w:val="right"/>
              <w:textAlignment w:val="bottom"/>
              <w:rPr>
                <w:rFonts w:ascii="Times New Roman" w:hAnsi="Times New Roman" w:eastAsia="宋体" w:cs="Times New Roman"/>
                <w:sz w:val="20"/>
                <w:szCs w:val="20"/>
              </w:rPr>
            </w:pPr>
            <w:r>
              <w:rPr>
                <w:rFonts w:ascii="Times New Roman" w:hAnsi="Times New Roman" w:eastAsia="宋体" w:cs="Times New Roman"/>
                <w:kern w:val="0"/>
                <w:sz w:val="20"/>
                <w:szCs w:val="20"/>
              </w:rPr>
              <w:t>公开08表</w:t>
            </w:r>
          </w:p>
        </w:tc>
      </w:tr>
      <w:tr w14:paraId="5A83ECD9">
        <w:tblPrEx>
          <w:tblCellMar>
            <w:top w:w="0" w:type="dxa"/>
            <w:left w:w="0" w:type="dxa"/>
            <w:bottom w:w="0" w:type="dxa"/>
            <w:right w:w="0" w:type="dxa"/>
          </w:tblCellMar>
        </w:tblPrEx>
        <w:trPr>
          <w:trHeight w:val="255" w:hRule="atLeast"/>
        </w:trPr>
        <w:tc>
          <w:tcPr>
            <w:tcW w:w="710" w:type="pct"/>
            <w:tcBorders>
              <w:top w:val="nil"/>
              <w:left w:val="nil"/>
              <w:bottom w:val="single" w:color="000000" w:sz="4" w:space="0"/>
              <w:right w:val="nil"/>
            </w:tcBorders>
            <w:shd w:val="clear" w:color="auto" w:fill="auto"/>
            <w:noWrap/>
            <w:tcMar>
              <w:top w:w="15" w:type="dxa"/>
              <w:left w:w="15" w:type="dxa"/>
              <w:right w:w="15" w:type="dxa"/>
            </w:tcMar>
            <w:vAlign w:val="bottom"/>
          </w:tcPr>
          <w:p w14:paraId="284C995E">
            <w:pPr>
              <w:widowControl/>
              <w:jc w:val="left"/>
              <w:textAlignment w:val="bottom"/>
              <w:rPr>
                <w:rFonts w:ascii="Times New Roman" w:hAnsi="Times New Roman" w:eastAsia="宋体" w:cs="Times New Roman"/>
                <w:sz w:val="20"/>
                <w:szCs w:val="20"/>
              </w:rPr>
            </w:pPr>
            <w:r>
              <w:rPr>
                <w:rFonts w:ascii="Times New Roman" w:hAnsi="Times New Roman" w:eastAsia="宋体" w:cs="Times New Roman"/>
                <w:kern w:val="0"/>
                <w:sz w:val="20"/>
                <w:szCs w:val="20"/>
              </w:rPr>
              <w:t>部门：中共醴陵市委组织部</w:t>
            </w:r>
          </w:p>
        </w:tc>
        <w:tc>
          <w:tcPr>
            <w:tcW w:w="96" w:type="pct"/>
            <w:tcBorders>
              <w:top w:val="nil"/>
              <w:left w:val="nil"/>
              <w:bottom w:val="single" w:color="000000" w:sz="4" w:space="0"/>
              <w:right w:val="nil"/>
            </w:tcBorders>
            <w:shd w:val="clear" w:color="auto" w:fill="auto"/>
            <w:noWrap/>
            <w:tcMar>
              <w:top w:w="15" w:type="dxa"/>
              <w:left w:w="15" w:type="dxa"/>
              <w:right w:w="15" w:type="dxa"/>
            </w:tcMar>
            <w:vAlign w:val="bottom"/>
          </w:tcPr>
          <w:p w14:paraId="6AE17B57">
            <w:pPr>
              <w:rPr>
                <w:rFonts w:ascii="Times New Roman" w:hAnsi="Times New Roman" w:cs="Times New Roman"/>
                <w:sz w:val="20"/>
                <w:szCs w:val="20"/>
              </w:rPr>
            </w:pPr>
          </w:p>
        </w:tc>
        <w:tc>
          <w:tcPr>
            <w:tcW w:w="96" w:type="pct"/>
            <w:tcBorders>
              <w:top w:val="nil"/>
              <w:left w:val="nil"/>
              <w:bottom w:val="single" w:color="000000" w:sz="4" w:space="0"/>
              <w:right w:val="nil"/>
            </w:tcBorders>
            <w:shd w:val="clear" w:color="auto" w:fill="auto"/>
            <w:noWrap/>
            <w:tcMar>
              <w:top w:w="15" w:type="dxa"/>
              <w:left w:w="15" w:type="dxa"/>
              <w:right w:w="15" w:type="dxa"/>
            </w:tcMar>
            <w:vAlign w:val="bottom"/>
          </w:tcPr>
          <w:p w14:paraId="3E37D777">
            <w:pPr>
              <w:rPr>
                <w:rFonts w:ascii="Times New Roman" w:hAnsi="Times New Roman" w:cs="Times New Roman"/>
                <w:sz w:val="20"/>
                <w:szCs w:val="20"/>
              </w:rPr>
            </w:pPr>
          </w:p>
        </w:tc>
        <w:tc>
          <w:tcPr>
            <w:tcW w:w="1149" w:type="pct"/>
            <w:tcBorders>
              <w:top w:val="nil"/>
              <w:left w:val="nil"/>
              <w:bottom w:val="single" w:color="000000" w:sz="4" w:space="0"/>
              <w:right w:val="nil"/>
            </w:tcBorders>
            <w:shd w:val="clear" w:color="auto" w:fill="auto"/>
            <w:noWrap/>
            <w:tcMar>
              <w:top w:w="15" w:type="dxa"/>
              <w:left w:w="15" w:type="dxa"/>
              <w:right w:w="15" w:type="dxa"/>
            </w:tcMar>
            <w:vAlign w:val="bottom"/>
          </w:tcPr>
          <w:p w14:paraId="6933E282">
            <w:pPr>
              <w:rPr>
                <w:rFonts w:ascii="Times New Roman" w:hAnsi="Times New Roman" w:cs="Times New Roman"/>
                <w:sz w:val="20"/>
                <w:szCs w:val="20"/>
              </w:rPr>
            </w:pPr>
          </w:p>
        </w:tc>
        <w:tc>
          <w:tcPr>
            <w:tcW w:w="491" w:type="pct"/>
            <w:tcBorders>
              <w:top w:val="nil"/>
              <w:left w:val="nil"/>
              <w:bottom w:val="single" w:color="000000" w:sz="4" w:space="0"/>
              <w:right w:val="nil"/>
            </w:tcBorders>
            <w:shd w:val="clear" w:color="auto" w:fill="auto"/>
            <w:noWrap/>
            <w:tcMar>
              <w:top w:w="15" w:type="dxa"/>
              <w:left w:w="15" w:type="dxa"/>
              <w:right w:w="15" w:type="dxa"/>
            </w:tcMar>
            <w:vAlign w:val="bottom"/>
          </w:tcPr>
          <w:p w14:paraId="5C1E4CAA">
            <w:pPr>
              <w:rPr>
                <w:rFonts w:ascii="Times New Roman" w:hAnsi="Times New Roman" w:cs="Times New Roman"/>
                <w:sz w:val="20"/>
                <w:szCs w:val="20"/>
              </w:rPr>
            </w:pPr>
          </w:p>
        </w:tc>
        <w:tc>
          <w:tcPr>
            <w:tcW w:w="491" w:type="pct"/>
            <w:tcBorders>
              <w:top w:val="nil"/>
              <w:left w:val="nil"/>
              <w:bottom w:val="single" w:color="000000" w:sz="4" w:space="0"/>
              <w:right w:val="nil"/>
            </w:tcBorders>
            <w:shd w:val="clear" w:color="auto" w:fill="auto"/>
            <w:noWrap/>
            <w:tcMar>
              <w:top w:w="15" w:type="dxa"/>
              <w:left w:w="15" w:type="dxa"/>
              <w:right w:w="15" w:type="dxa"/>
            </w:tcMar>
            <w:vAlign w:val="bottom"/>
          </w:tcPr>
          <w:p w14:paraId="59A302E5">
            <w:pPr>
              <w:rPr>
                <w:rFonts w:ascii="Times New Roman" w:hAnsi="Times New Roman" w:cs="Times New Roman"/>
                <w:sz w:val="20"/>
                <w:szCs w:val="20"/>
              </w:rPr>
            </w:pPr>
          </w:p>
        </w:tc>
        <w:tc>
          <w:tcPr>
            <w:tcW w:w="491" w:type="pct"/>
            <w:tcBorders>
              <w:top w:val="nil"/>
              <w:left w:val="nil"/>
              <w:bottom w:val="single" w:color="000000" w:sz="4" w:space="0"/>
              <w:right w:val="nil"/>
            </w:tcBorders>
            <w:shd w:val="clear" w:color="auto" w:fill="auto"/>
            <w:noWrap/>
            <w:tcMar>
              <w:top w:w="15" w:type="dxa"/>
              <w:left w:w="15" w:type="dxa"/>
              <w:right w:w="15" w:type="dxa"/>
            </w:tcMar>
            <w:vAlign w:val="bottom"/>
          </w:tcPr>
          <w:p w14:paraId="05FE8678">
            <w:pPr>
              <w:rPr>
                <w:rFonts w:ascii="Times New Roman" w:hAnsi="Times New Roman" w:cs="Times New Roman"/>
                <w:sz w:val="20"/>
                <w:szCs w:val="20"/>
              </w:rPr>
            </w:pPr>
          </w:p>
        </w:tc>
        <w:tc>
          <w:tcPr>
            <w:tcW w:w="491" w:type="pct"/>
            <w:tcBorders>
              <w:top w:val="nil"/>
              <w:left w:val="nil"/>
              <w:bottom w:val="single" w:color="000000" w:sz="4" w:space="0"/>
              <w:right w:val="nil"/>
            </w:tcBorders>
            <w:shd w:val="clear" w:color="auto" w:fill="auto"/>
            <w:noWrap/>
            <w:tcMar>
              <w:top w:w="15" w:type="dxa"/>
              <w:left w:w="15" w:type="dxa"/>
              <w:right w:w="15" w:type="dxa"/>
            </w:tcMar>
            <w:vAlign w:val="bottom"/>
          </w:tcPr>
          <w:p w14:paraId="7801FA49">
            <w:pPr>
              <w:rPr>
                <w:rFonts w:ascii="Times New Roman" w:hAnsi="Times New Roman" w:cs="Times New Roman"/>
                <w:sz w:val="20"/>
                <w:szCs w:val="20"/>
              </w:rPr>
            </w:pPr>
          </w:p>
        </w:tc>
        <w:tc>
          <w:tcPr>
            <w:tcW w:w="491" w:type="pct"/>
            <w:tcBorders>
              <w:top w:val="nil"/>
              <w:left w:val="nil"/>
              <w:bottom w:val="single" w:color="000000" w:sz="4" w:space="0"/>
              <w:right w:val="nil"/>
            </w:tcBorders>
            <w:shd w:val="clear" w:color="auto" w:fill="auto"/>
            <w:noWrap/>
            <w:tcMar>
              <w:top w:w="15" w:type="dxa"/>
              <w:left w:w="15" w:type="dxa"/>
              <w:right w:w="15" w:type="dxa"/>
            </w:tcMar>
            <w:vAlign w:val="bottom"/>
          </w:tcPr>
          <w:p w14:paraId="55BC6FC9">
            <w:pPr>
              <w:rPr>
                <w:rFonts w:ascii="Times New Roman" w:hAnsi="Times New Roman" w:cs="Times New Roman"/>
                <w:sz w:val="20"/>
                <w:szCs w:val="20"/>
              </w:rPr>
            </w:pPr>
          </w:p>
        </w:tc>
        <w:tc>
          <w:tcPr>
            <w:tcW w:w="491" w:type="pct"/>
            <w:tcBorders>
              <w:top w:val="nil"/>
              <w:left w:val="nil"/>
              <w:bottom w:val="single" w:color="000000" w:sz="4" w:space="0"/>
              <w:right w:val="nil"/>
            </w:tcBorders>
            <w:shd w:val="clear" w:color="auto" w:fill="auto"/>
            <w:noWrap/>
            <w:tcMar>
              <w:top w:w="15" w:type="dxa"/>
              <w:left w:w="15" w:type="dxa"/>
              <w:right w:w="15" w:type="dxa"/>
            </w:tcMar>
            <w:vAlign w:val="bottom"/>
          </w:tcPr>
          <w:p w14:paraId="4B3D0DCE">
            <w:pPr>
              <w:widowControl/>
              <w:jc w:val="right"/>
              <w:textAlignment w:val="bottom"/>
              <w:rPr>
                <w:rFonts w:ascii="Times New Roman" w:hAnsi="Times New Roman" w:eastAsia="宋体" w:cs="Times New Roman"/>
                <w:sz w:val="20"/>
                <w:szCs w:val="20"/>
              </w:rPr>
            </w:pPr>
            <w:r>
              <w:rPr>
                <w:rFonts w:ascii="Times New Roman" w:hAnsi="Times New Roman" w:eastAsia="宋体" w:cs="Times New Roman"/>
                <w:kern w:val="0"/>
                <w:sz w:val="20"/>
                <w:szCs w:val="20"/>
              </w:rPr>
              <w:t>金额单位：万元</w:t>
            </w:r>
          </w:p>
        </w:tc>
      </w:tr>
      <w:tr w14:paraId="2D129FF7">
        <w:tblPrEx>
          <w:tblCellMar>
            <w:top w:w="0" w:type="dxa"/>
            <w:left w:w="0" w:type="dxa"/>
            <w:bottom w:w="0" w:type="dxa"/>
            <w:right w:w="0" w:type="dxa"/>
          </w:tblCellMar>
        </w:tblPrEx>
        <w:trPr>
          <w:trHeight w:val="308" w:hRule="atLeast"/>
        </w:trPr>
        <w:tc>
          <w:tcPr>
            <w:tcW w:w="2052" w:type="pct"/>
            <w:gridSpan w:val="4"/>
            <w:tcBorders>
              <w:top w:val="single" w:color="000000" w:sz="4" w:space="0"/>
              <w:left w:val="single" w:color="000000" w:sz="4" w:space="0"/>
              <w:bottom w:val="single" w:color="000000" w:sz="4" w:space="0"/>
              <w:right w:val="single" w:color="000000" w:sz="4" w:space="0"/>
            </w:tcBorders>
            <w:shd w:val="clear" w:color="FFFFFF" w:fill="FFFFFF" w:themeFill="background1"/>
            <w:noWrap/>
            <w:tcMar>
              <w:top w:w="15" w:type="dxa"/>
              <w:left w:w="15" w:type="dxa"/>
              <w:right w:w="15" w:type="dxa"/>
            </w:tcMar>
            <w:vAlign w:val="center"/>
          </w:tcPr>
          <w:p w14:paraId="0A87D321">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项目</w:t>
            </w:r>
          </w:p>
        </w:tc>
        <w:tc>
          <w:tcPr>
            <w:tcW w:w="491" w:type="pct"/>
            <w:vMerge w:val="restart"/>
            <w:tcBorders>
              <w:top w:val="single" w:color="000000" w:sz="4" w:space="0"/>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14:paraId="650B55F8">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年初结转和结余</w:t>
            </w:r>
          </w:p>
        </w:tc>
        <w:tc>
          <w:tcPr>
            <w:tcW w:w="491" w:type="pct"/>
            <w:vMerge w:val="restart"/>
            <w:tcBorders>
              <w:top w:val="single" w:color="000000" w:sz="4" w:space="0"/>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14:paraId="7B2B9D36">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本年收入</w:t>
            </w:r>
          </w:p>
        </w:tc>
        <w:tc>
          <w:tcPr>
            <w:tcW w:w="1473" w:type="pct"/>
            <w:gridSpan w:val="3"/>
            <w:tcBorders>
              <w:top w:val="single" w:color="000000" w:sz="4" w:space="0"/>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14:paraId="1567CC33">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本年支出</w:t>
            </w:r>
          </w:p>
        </w:tc>
        <w:tc>
          <w:tcPr>
            <w:tcW w:w="491" w:type="pct"/>
            <w:vMerge w:val="restart"/>
            <w:tcBorders>
              <w:top w:val="single" w:color="000000" w:sz="4" w:space="0"/>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14:paraId="12EDE66E">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年末结转和结余</w:t>
            </w:r>
          </w:p>
        </w:tc>
      </w:tr>
      <w:tr w14:paraId="29301300">
        <w:tblPrEx>
          <w:tblCellMar>
            <w:top w:w="0" w:type="dxa"/>
            <w:left w:w="0" w:type="dxa"/>
            <w:bottom w:w="0" w:type="dxa"/>
            <w:right w:w="0" w:type="dxa"/>
          </w:tblCellMar>
        </w:tblPrEx>
        <w:trPr>
          <w:trHeight w:val="312" w:hRule="atLeast"/>
        </w:trPr>
        <w:tc>
          <w:tcPr>
            <w:tcW w:w="903" w:type="pct"/>
            <w:gridSpan w:val="3"/>
            <w:vMerge w:val="restar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08E8A50F">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功能分类科目编码</w:t>
            </w:r>
          </w:p>
        </w:tc>
        <w:tc>
          <w:tcPr>
            <w:tcW w:w="1149" w:type="pct"/>
            <w:vMerge w:val="restar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CD599D6">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科目名称</w:t>
            </w:r>
          </w:p>
        </w:tc>
        <w:tc>
          <w:tcPr>
            <w:tcW w:w="491" w:type="pct"/>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06F79CF4">
            <w:pPr>
              <w:jc w:val="center"/>
              <w:rPr>
                <w:rFonts w:ascii="Times New Roman" w:hAnsi="Times New Roman" w:eastAsia="宋体" w:cs="Times New Roman"/>
                <w:sz w:val="22"/>
              </w:rPr>
            </w:pPr>
          </w:p>
        </w:tc>
        <w:tc>
          <w:tcPr>
            <w:tcW w:w="491" w:type="pct"/>
            <w:vMerge w:val="continue"/>
            <w:tcBorders>
              <w:top w:val="single" w:color="000000" w:sz="4" w:space="0"/>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14:paraId="5C439E20">
            <w:pPr>
              <w:jc w:val="center"/>
              <w:rPr>
                <w:rFonts w:ascii="Times New Roman" w:hAnsi="Times New Roman" w:eastAsia="宋体" w:cs="Times New Roman"/>
                <w:sz w:val="22"/>
              </w:rPr>
            </w:pPr>
          </w:p>
        </w:tc>
        <w:tc>
          <w:tcPr>
            <w:tcW w:w="491" w:type="pct"/>
            <w:vMerge w:val="restart"/>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14:paraId="1B12669D">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小计</w:t>
            </w:r>
          </w:p>
        </w:tc>
        <w:tc>
          <w:tcPr>
            <w:tcW w:w="491" w:type="pct"/>
            <w:vMerge w:val="restart"/>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14:paraId="3EB58D6D">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基本支出</w:t>
            </w:r>
          </w:p>
        </w:tc>
        <w:tc>
          <w:tcPr>
            <w:tcW w:w="491" w:type="pct"/>
            <w:vMerge w:val="restart"/>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14:paraId="1135682C">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项目支出</w:t>
            </w:r>
          </w:p>
        </w:tc>
        <w:tc>
          <w:tcPr>
            <w:tcW w:w="491" w:type="pct"/>
            <w:vMerge w:val="continue"/>
            <w:tcBorders>
              <w:top w:val="single" w:color="000000" w:sz="4" w:space="0"/>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14:paraId="5D7D862A">
            <w:pPr>
              <w:jc w:val="center"/>
              <w:rPr>
                <w:rFonts w:ascii="Times New Roman" w:hAnsi="Times New Roman" w:eastAsia="宋体" w:cs="Times New Roman"/>
                <w:sz w:val="22"/>
              </w:rPr>
            </w:pPr>
          </w:p>
        </w:tc>
      </w:tr>
      <w:tr w14:paraId="71EA8BBE">
        <w:tblPrEx>
          <w:tblCellMar>
            <w:top w:w="0" w:type="dxa"/>
            <w:left w:w="0" w:type="dxa"/>
            <w:bottom w:w="0" w:type="dxa"/>
            <w:right w:w="0" w:type="dxa"/>
          </w:tblCellMar>
        </w:tblPrEx>
        <w:trPr>
          <w:trHeight w:val="312" w:hRule="atLeast"/>
        </w:trPr>
        <w:tc>
          <w:tcPr>
            <w:tcW w:w="903" w:type="pct"/>
            <w:gridSpan w:val="3"/>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23F94BEE">
            <w:pPr>
              <w:jc w:val="center"/>
              <w:rPr>
                <w:rFonts w:ascii="Times New Roman" w:hAnsi="Times New Roman" w:eastAsia="宋体" w:cs="Times New Roman"/>
                <w:sz w:val="22"/>
              </w:rPr>
            </w:pPr>
          </w:p>
        </w:tc>
        <w:tc>
          <w:tcPr>
            <w:tcW w:w="1149" w:type="pct"/>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933C8A8">
            <w:pPr>
              <w:jc w:val="center"/>
              <w:rPr>
                <w:rFonts w:ascii="Times New Roman" w:hAnsi="Times New Roman" w:eastAsia="宋体" w:cs="Times New Roman"/>
                <w:sz w:val="22"/>
              </w:rPr>
            </w:pPr>
          </w:p>
        </w:tc>
        <w:tc>
          <w:tcPr>
            <w:tcW w:w="491" w:type="pct"/>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027C2459">
            <w:pPr>
              <w:jc w:val="center"/>
              <w:rPr>
                <w:rFonts w:ascii="Times New Roman" w:hAnsi="Times New Roman" w:eastAsia="宋体" w:cs="Times New Roman"/>
                <w:sz w:val="22"/>
              </w:rPr>
            </w:pPr>
          </w:p>
        </w:tc>
        <w:tc>
          <w:tcPr>
            <w:tcW w:w="491" w:type="pct"/>
            <w:vMerge w:val="continue"/>
            <w:tcBorders>
              <w:top w:val="single" w:color="000000" w:sz="4" w:space="0"/>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14:paraId="1447D81E">
            <w:pPr>
              <w:jc w:val="center"/>
              <w:rPr>
                <w:rFonts w:ascii="Times New Roman" w:hAnsi="Times New Roman" w:eastAsia="宋体" w:cs="Times New Roman"/>
                <w:sz w:val="22"/>
              </w:rPr>
            </w:pPr>
          </w:p>
        </w:tc>
        <w:tc>
          <w:tcPr>
            <w:tcW w:w="491" w:type="pct"/>
            <w:vMerge w:val="continue"/>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14:paraId="33EC0113">
            <w:pPr>
              <w:jc w:val="center"/>
              <w:rPr>
                <w:rFonts w:ascii="Times New Roman" w:hAnsi="Times New Roman" w:eastAsia="宋体" w:cs="Times New Roman"/>
                <w:sz w:val="22"/>
              </w:rPr>
            </w:pPr>
          </w:p>
        </w:tc>
        <w:tc>
          <w:tcPr>
            <w:tcW w:w="491" w:type="pct"/>
            <w:vMerge w:val="continue"/>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14:paraId="1B9B83DF">
            <w:pPr>
              <w:jc w:val="center"/>
              <w:rPr>
                <w:rFonts w:ascii="Times New Roman" w:hAnsi="Times New Roman" w:eastAsia="宋体" w:cs="Times New Roman"/>
                <w:sz w:val="22"/>
              </w:rPr>
            </w:pPr>
          </w:p>
        </w:tc>
        <w:tc>
          <w:tcPr>
            <w:tcW w:w="491" w:type="pct"/>
            <w:vMerge w:val="continue"/>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14:paraId="629DD6AF">
            <w:pPr>
              <w:jc w:val="center"/>
              <w:rPr>
                <w:rFonts w:ascii="Times New Roman" w:hAnsi="Times New Roman" w:eastAsia="宋体" w:cs="Times New Roman"/>
                <w:sz w:val="22"/>
              </w:rPr>
            </w:pPr>
          </w:p>
        </w:tc>
        <w:tc>
          <w:tcPr>
            <w:tcW w:w="491" w:type="pct"/>
            <w:vMerge w:val="continue"/>
            <w:tcBorders>
              <w:top w:val="single" w:color="000000" w:sz="4" w:space="0"/>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14:paraId="7F9D80C0">
            <w:pPr>
              <w:jc w:val="center"/>
              <w:rPr>
                <w:rFonts w:ascii="Times New Roman" w:hAnsi="Times New Roman" w:eastAsia="宋体" w:cs="Times New Roman"/>
                <w:sz w:val="22"/>
              </w:rPr>
            </w:pPr>
          </w:p>
        </w:tc>
      </w:tr>
      <w:tr w14:paraId="2C9B0EDD">
        <w:tblPrEx>
          <w:tblCellMar>
            <w:top w:w="0" w:type="dxa"/>
            <w:left w:w="0" w:type="dxa"/>
            <w:bottom w:w="0" w:type="dxa"/>
            <w:right w:w="0" w:type="dxa"/>
          </w:tblCellMar>
        </w:tblPrEx>
        <w:trPr>
          <w:trHeight w:val="312" w:hRule="atLeast"/>
        </w:trPr>
        <w:tc>
          <w:tcPr>
            <w:tcW w:w="903" w:type="pct"/>
            <w:gridSpan w:val="3"/>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3CA030B3">
            <w:pPr>
              <w:jc w:val="center"/>
              <w:rPr>
                <w:rFonts w:ascii="Times New Roman" w:hAnsi="Times New Roman" w:eastAsia="宋体" w:cs="Times New Roman"/>
                <w:sz w:val="22"/>
              </w:rPr>
            </w:pPr>
          </w:p>
        </w:tc>
        <w:tc>
          <w:tcPr>
            <w:tcW w:w="1149" w:type="pct"/>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7E7FC77">
            <w:pPr>
              <w:jc w:val="center"/>
              <w:rPr>
                <w:rFonts w:ascii="Times New Roman" w:hAnsi="Times New Roman" w:eastAsia="宋体" w:cs="Times New Roman"/>
                <w:sz w:val="22"/>
              </w:rPr>
            </w:pPr>
          </w:p>
        </w:tc>
        <w:tc>
          <w:tcPr>
            <w:tcW w:w="491" w:type="pct"/>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17C4BDF">
            <w:pPr>
              <w:jc w:val="center"/>
              <w:rPr>
                <w:rFonts w:ascii="Times New Roman" w:hAnsi="Times New Roman" w:eastAsia="宋体" w:cs="Times New Roman"/>
                <w:sz w:val="22"/>
              </w:rPr>
            </w:pPr>
          </w:p>
        </w:tc>
        <w:tc>
          <w:tcPr>
            <w:tcW w:w="491" w:type="pct"/>
            <w:vMerge w:val="continue"/>
            <w:tcBorders>
              <w:top w:val="single" w:color="000000" w:sz="4" w:space="0"/>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14:paraId="6F9DD3BE">
            <w:pPr>
              <w:jc w:val="center"/>
              <w:rPr>
                <w:rFonts w:ascii="Times New Roman" w:hAnsi="Times New Roman" w:eastAsia="宋体" w:cs="Times New Roman"/>
                <w:sz w:val="22"/>
              </w:rPr>
            </w:pPr>
          </w:p>
        </w:tc>
        <w:tc>
          <w:tcPr>
            <w:tcW w:w="491" w:type="pct"/>
            <w:vMerge w:val="continue"/>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14:paraId="37A55E3B">
            <w:pPr>
              <w:jc w:val="center"/>
              <w:rPr>
                <w:rFonts w:ascii="Times New Roman" w:hAnsi="Times New Roman" w:eastAsia="宋体" w:cs="Times New Roman"/>
                <w:sz w:val="22"/>
              </w:rPr>
            </w:pPr>
          </w:p>
        </w:tc>
        <w:tc>
          <w:tcPr>
            <w:tcW w:w="491" w:type="pct"/>
            <w:vMerge w:val="continue"/>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14:paraId="172B5E90">
            <w:pPr>
              <w:jc w:val="center"/>
              <w:rPr>
                <w:rFonts w:ascii="Times New Roman" w:hAnsi="Times New Roman" w:eastAsia="宋体" w:cs="Times New Roman"/>
                <w:sz w:val="22"/>
              </w:rPr>
            </w:pPr>
          </w:p>
        </w:tc>
        <w:tc>
          <w:tcPr>
            <w:tcW w:w="491" w:type="pct"/>
            <w:vMerge w:val="continue"/>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14:paraId="0345DB4D">
            <w:pPr>
              <w:jc w:val="center"/>
              <w:rPr>
                <w:rFonts w:ascii="Times New Roman" w:hAnsi="Times New Roman" w:eastAsia="宋体" w:cs="Times New Roman"/>
                <w:sz w:val="22"/>
              </w:rPr>
            </w:pPr>
          </w:p>
        </w:tc>
        <w:tc>
          <w:tcPr>
            <w:tcW w:w="491" w:type="pct"/>
            <w:vMerge w:val="continue"/>
            <w:tcBorders>
              <w:top w:val="single" w:color="000000" w:sz="4" w:space="0"/>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14:paraId="4F943632">
            <w:pPr>
              <w:jc w:val="center"/>
              <w:rPr>
                <w:rFonts w:ascii="Times New Roman" w:hAnsi="Times New Roman" w:eastAsia="宋体" w:cs="Times New Roman"/>
                <w:sz w:val="22"/>
              </w:rPr>
            </w:pPr>
          </w:p>
        </w:tc>
      </w:tr>
      <w:tr w14:paraId="3561CF13">
        <w:tblPrEx>
          <w:tblCellMar>
            <w:top w:w="0" w:type="dxa"/>
            <w:left w:w="0" w:type="dxa"/>
            <w:bottom w:w="0" w:type="dxa"/>
            <w:right w:w="0" w:type="dxa"/>
          </w:tblCellMar>
        </w:tblPrEx>
        <w:trPr>
          <w:trHeight w:val="308" w:hRule="atLeast"/>
        </w:trPr>
        <w:tc>
          <w:tcPr>
            <w:tcW w:w="2052" w:type="pct"/>
            <w:gridSpan w:val="4"/>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5735141">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栏次</w:t>
            </w:r>
          </w:p>
        </w:tc>
        <w:tc>
          <w:tcPr>
            <w:tcW w:w="49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41EC275">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w:t>
            </w:r>
          </w:p>
        </w:tc>
        <w:tc>
          <w:tcPr>
            <w:tcW w:w="491" w:type="pct"/>
            <w:tcBorders>
              <w:top w:val="nil"/>
              <w:left w:val="nil"/>
              <w:bottom w:val="single" w:color="000000" w:sz="4" w:space="0"/>
              <w:right w:val="single" w:color="000000" w:sz="4" w:space="0"/>
            </w:tcBorders>
            <w:shd w:val="clear" w:color="FFFFFF" w:fill="FFFFFF" w:themeFill="background1"/>
            <w:noWrap/>
            <w:tcMar>
              <w:top w:w="15" w:type="dxa"/>
              <w:left w:w="15" w:type="dxa"/>
              <w:right w:w="15" w:type="dxa"/>
            </w:tcMar>
            <w:vAlign w:val="center"/>
          </w:tcPr>
          <w:p w14:paraId="4052B9A2">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2</w:t>
            </w:r>
          </w:p>
        </w:tc>
        <w:tc>
          <w:tcPr>
            <w:tcW w:w="491" w:type="pct"/>
            <w:tcBorders>
              <w:top w:val="nil"/>
              <w:left w:val="nil"/>
              <w:bottom w:val="single" w:color="000000" w:sz="4" w:space="0"/>
              <w:right w:val="single" w:color="000000" w:sz="4" w:space="0"/>
            </w:tcBorders>
            <w:shd w:val="clear" w:color="FFFFFF" w:fill="FFFFFF" w:themeFill="background1"/>
            <w:noWrap/>
            <w:tcMar>
              <w:top w:w="15" w:type="dxa"/>
              <w:left w:w="15" w:type="dxa"/>
              <w:right w:w="15" w:type="dxa"/>
            </w:tcMar>
            <w:vAlign w:val="center"/>
          </w:tcPr>
          <w:p w14:paraId="412C40FB">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3</w:t>
            </w:r>
          </w:p>
        </w:tc>
        <w:tc>
          <w:tcPr>
            <w:tcW w:w="491" w:type="pct"/>
            <w:tcBorders>
              <w:top w:val="nil"/>
              <w:left w:val="nil"/>
              <w:bottom w:val="single" w:color="000000" w:sz="4" w:space="0"/>
              <w:right w:val="single" w:color="000000" w:sz="4" w:space="0"/>
            </w:tcBorders>
            <w:shd w:val="clear" w:color="FFFFFF" w:fill="FFFFFF" w:themeFill="background1"/>
            <w:noWrap/>
            <w:tcMar>
              <w:top w:w="15" w:type="dxa"/>
              <w:left w:w="15" w:type="dxa"/>
              <w:right w:w="15" w:type="dxa"/>
            </w:tcMar>
            <w:vAlign w:val="center"/>
          </w:tcPr>
          <w:p w14:paraId="477689C1">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4</w:t>
            </w:r>
          </w:p>
        </w:tc>
        <w:tc>
          <w:tcPr>
            <w:tcW w:w="491" w:type="pct"/>
            <w:tcBorders>
              <w:top w:val="nil"/>
              <w:left w:val="nil"/>
              <w:bottom w:val="single" w:color="000000" w:sz="4" w:space="0"/>
              <w:right w:val="single" w:color="000000" w:sz="4" w:space="0"/>
            </w:tcBorders>
            <w:shd w:val="clear" w:color="FFFFFF" w:fill="FFFFFF" w:themeFill="background1"/>
            <w:noWrap/>
            <w:tcMar>
              <w:top w:w="15" w:type="dxa"/>
              <w:left w:w="15" w:type="dxa"/>
              <w:right w:w="15" w:type="dxa"/>
            </w:tcMar>
            <w:vAlign w:val="center"/>
          </w:tcPr>
          <w:p w14:paraId="70973811">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5</w:t>
            </w:r>
          </w:p>
        </w:tc>
        <w:tc>
          <w:tcPr>
            <w:tcW w:w="491" w:type="pct"/>
            <w:tcBorders>
              <w:top w:val="nil"/>
              <w:left w:val="nil"/>
              <w:bottom w:val="single" w:color="000000" w:sz="4" w:space="0"/>
              <w:right w:val="single" w:color="000000" w:sz="4" w:space="0"/>
            </w:tcBorders>
            <w:shd w:val="clear" w:color="FFFFFF" w:fill="FFFFFF" w:themeFill="background1"/>
            <w:noWrap/>
            <w:tcMar>
              <w:top w:w="15" w:type="dxa"/>
              <w:left w:w="15" w:type="dxa"/>
              <w:right w:w="15" w:type="dxa"/>
            </w:tcMar>
            <w:vAlign w:val="center"/>
          </w:tcPr>
          <w:p w14:paraId="2388676B">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6</w:t>
            </w:r>
          </w:p>
        </w:tc>
      </w:tr>
      <w:tr w14:paraId="3BE9F382">
        <w:tblPrEx>
          <w:tblCellMar>
            <w:top w:w="0" w:type="dxa"/>
            <w:left w:w="0" w:type="dxa"/>
            <w:bottom w:w="0" w:type="dxa"/>
            <w:right w:w="0" w:type="dxa"/>
          </w:tblCellMar>
        </w:tblPrEx>
        <w:trPr>
          <w:trHeight w:val="308" w:hRule="atLeast"/>
        </w:trPr>
        <w:tc>
          <w:tcPr>
            <w:tcW w:w="2052" w:type="pct"/>
            <w:gridSpan w:val="4"/>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2593EAF">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合计</w:t>
            </w:r>
          </w:p>
        </w:tc>
        <w:tc>
          <w:tcPr>
            <w:tcW w:w="49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84638BF">
            <w:pPr>
              <w:jc w:val="right"/>
              <w:rPr>
                <w:rFonts w:ascii="Times New Roman" w:hAnsi="Times New Roman" w:eastAsia="宋体" w:cs="Times New Roman"/>
                <w:b/>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5515A">
            <w:pPr>
              <w:jc w:val="right"/>
              <w:rPr>
                <w:rFonts w:ascii="Times New Roman" w:hAnsi="Times New Roman" w:eastAsia="宋体" w:cs="Times New Roman"/>
                <w:b/>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AE2F2">
            <w:pPr>
              <w:jc w:val="right"/>
              <w:rPr>
                <w:rFonts w:ascii="Times New Roman" w:hAnsi="Times New Roman" w:eastAsia="宋体" w:cs="Times New Roman"/>
                <w:b/>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F8D3C">
            <w:pPr>
              <w:jc w:val="right"/>
              <w:rPr>
                <w:rFonts w:ascii="Times New Roman" w:hAnsi="Times New Roman" w:eastAsia="宋体" w:cs="Times New Roman"/>
                <w:b/>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C41F9">
            <w:pPr>
              <w:jc w:val="right"/>
              <w:rPr>
                <w:rFonts w:ascii="Times New Roman" w:hAnsi="Times New Roman" w:eastAsia="宋体" w:cs="Times New Roman"/>
                <w:b/>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AF46A">
            <w:pPr>
              <w:jc w:val="right"/>
              <w:rPr>
                <w:rFonts w:ascii="Times New Roman" w:hAnsi="Times New Roman" w:eastAsia="宋体" w:cs="Times New Roman"/>
                <w:b/>
                <w:sz w:val="22"/>
              </w:rPr>
            </w:pPr>
          </w:p>
        </w:tc>
      </w:tr>
      <w:tr w14:paraId="4B9C66AE">
        <w:tblPrEx>
          <w:tblCellMar>
            <w:top w:w="0" w:type="dxa"/>
            <w:left w:w="0" w:type="dxa"/>
            <w:bottom w:w="0" w:type="dxa"/>
            <w:right w:w="0" w:type="dxa"/>
          </w:tblCellMar>
        </w:tblPrEx>
        <w:trPr>
          <w:trHeight w:val="308" w:hRule="atLeast"/>
        </w:trPr>
        <w:tc>
          <w:tcPr>
            <w:tcW w:w="90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DDC3">
            <w:pPr>
              <w:jc w:val="left"/>
              <w:rPr>
                <w:rFonts w:ascii="Times New Roman" w:hAnsi="Times New Roman" w:eastAsia="宋体" w:cs="Times New Roman"/>
                <w:sz w:val="22"/>
              </w:rPr>
            </w:pPr>
          </w:p>
        </w:tc>
        <w:tc>
          <w:tcPr>
            <w:tcW w:w="11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72D70">
            <w:pPr>
              <w:jc w:val="lef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4E152">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32576">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E5C10">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2E4E4">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131DC">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C4766">
            <w:pPr>
              <w:jc w:val="right"/>
              <w:rPr>
                <w:rFonts w:ascii="Times New Roman" w:hAnsi="Times New Roman" w:eastAsia="宋体" w:cs="Times New Roman"/>
                <w:sz w:val="22"/>
              </w:rPr>
            </w:pPr>
          </w:p>
        </w:tc>
      </w:tr>
      <w:tr w14:paraId="5268647F">
        <w:tblPrEx>
          <w:tblCellMar>
            <w:top w:w="0" w:type="dxa"/>
            <w:left w:w="0" w:type="dxa"/>
            <w:bottom w:w="0" w:type="dxa"/>
            <w:right w:w="0" w:type="dxa"/>
          </w:tblCellMar>
        </w:tblPrEx>
        <w:trPr>
          <w:trHeight w:val="308" w:hRule="atLeast"/>
        </w:trPr>
        <w:tc>
          <w:tcPr>
            <w:tcW w:w="90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EC88">
            <w:pPr>
              <w:jc w:val="left"/>
              <w:rPr>
                <w:rFonts w:ascii="Times New Roman" w:hAnsi="Times New Roman" w:eastAsia="宋体" w:cs="Times New Roman"/>
                <w:sz w:val="22"/>
              </w:rPr>
            </w:pPr>
          </w:p>
        </w:tc>
        <w:tc>
          <w:tcPr>
            <w:tcW w:w="11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4AE21">
            <w:pPr>
              <w:jc w:val="lef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FEAFA">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9E02C">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9B10D">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58D2F">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B07E0">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C597B">
            <w:pPr>
              <w:jc w:val="right"/>
              <w:rPr>
                <w:rFonts w:ascii="Times New Roman" w:hAnsi="Times New Roman" w:eastAsia="宋体" w:cs="Times New Roman"/>
                <w:sz w:val="22"/>
              </w:rPr>
            </w:pPr>
          </w:p>
        </w:tc>
      </w:tr>
      <w:tr w14:paraId="3AFF5D81">
        <w:tblPrEx>
          <w:tblCellMar>
            <w:top w:w="0" w:type="dxa"/>
            <w:left w:w="0" w:type="dxa"/>
            <w:bottom w:w="0" w:type="dxa"/>
            <w:right w:w="0" w:type="dxa"/>
          </w:tblCellMar>
        </w:tblPrEx>
        <w:trPr>
          <w:trHeight w:val="308" w:hRule="atLeast"/>
        </w:trPr>
        <w:tc>
          <w:tcPr>
            <w:tcW w:w="90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9287">
            <w:pPr>
              <w:jc w:val="left"/>
              <w:rPr>
                <w:rFonts w:ascii="Times New Roman" w:hAnsi="Times New Roman" w:eastAsia="宋体" w:cs="Times New Roman"/>
                <w:sz w:val="22"/>
              </w:rPr>
            </w:pPr>
          </w:p>
        </w:tc>
        <w:tc>
          <w:tcPr>
            <w:tcW w:w="11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2B463">
            <w:pPr>
              <w:jc w:val="lef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B1F2E">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48474">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82923">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482DE">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D70F7">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3C2F2">
            <w:pPr>
              <w:jc w:val="right"/>
              <w:rPr>
                <w:rFonts w:ascii="Times New Roman" w:hAnsi="Times New Roman" w:eastAsia="宋体" w:cs="Times New Roman"/>
                <w:sz w:val="22"/>
              </w:rPr>
            </w:pPr>
          </w:p>
        </w:tc>
      </w:tr>
      <w:tr w14:paraId="71BAD8CE">
        <w:tblPrEx>
          <w:tblCellMar>
            <w:top w:w="0" w:type="dxa"/>
            <w:left w:w="0" w:type="dxa"/>
            <w:bottom w:w="0" w:type="dxa"/>
            <w:right w:w="0" w:type="dxa"/>
          </w:tblCellMar>
        </w:tblPrEx>
        <w:trPr>
          <w:trHeight w:val="308" w:hRule="atLeast"/>
        </w:trPr>
        <w:tc>
          <w:tcPr>
            <w:tcW w:w="90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FD12">
            <w:pPr>
              <w:jc w:val="left"/>
              <w:rPr>
                <w:rFonts w:ascii="Times New Roman" w:hAnsi="Times New Roman" w:eastAsia="宋体" w:cs="Times New Roman"/>
                <w:sz w:val="22"/>
              </w:rPr>
            </w:pPr>
          </w:p>
        </w:tc>
        <w:tc>
          <w:tcPr>
            <w:tcW w:w="11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0AD62">
            <w:pPr>
              <w:jc w:val="lef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B10C0">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30298">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79096">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B1827">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8131D">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86827">
            <w:pPr>
              <w:jc w:val="right"/>
              <w:rPr>
                <w:rFonts w:ascii="Times New Roman" w:hAnsi="Times New Roman" w:eastAsia="宋体" w:cs="Times New Roman"/>
                <w:sz w:val="22"/>
              </w:rPr>
            </w:pPr>
          </w:p>
        </w:tc>
      </w:tr>
      <w:tr w14:paraId="1FB3C1B8">
        <w:tblPrEx>
          <w:tblCellMar>
            <w:top w:w="0" w:type="dxa"/>
            <w:left w:w="0" w:type="dxa"/>
            <w:bottom w:w="0" w:type="dxa"/>
            <w:right w:w="0" w:type="dxa"/>
          </w:tblCellMar>
        </w:tblPrEx>
        <w:trPr>
          <w:trHeight w:val="308" w:hRule="atLeast"/>
        </w:trPr>
        <w:tc>
          <w:tcPr>
            <w:tcW w:w="90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7859">
            <w:pPr>
              <w:jc w:val="left"/>
              <w:rPr>
                <w:rFonts w:ascii="Times New Roman" w:hAnsi="Times New Roman" w:eastAsia="宋体" w:cs="Times New Roman"/>
                <w:sz w:val="22"/>
              </w:rPr>
            </w:pPr>
          </w:p>
        </w:tc>
        <w:tc>
          <w:tcPr>
            <w:tcW w:w="11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F88F3">
            <w:pPr>
              <w:jc w:val="lef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06789">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F3681">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5805D">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ED96C">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980D6">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CCBF6">
            <w:pPr>
              <w:jc w:val="right"/>
              <w:rPr>
                <w:rFonts w:ascii="Times New Roman" w:hAnsi="Times New Roman" w:eastAsia="宋体" w:cs="Times New Roman"/>
                <w:sz w:val="22"/>
              </w:rPr>
            </w:pPr>
          </w:p>
        </w:tc>
      </w:tr>
      <w:tr w14:paraId="023C715C">
        <w:tblPrEx>
          <w:tblCellMar>
            <w:top w:w="0" w:type="dxa"/>
            <w:left w:w="0" w:type="dxa"/>
            <w:bottom w:w="0" w:type="dxa"/>
            <w:right w:w="0" w:type="dxa"/>
          </w:tblCellMar>
        </w:tblPrEx>
        <w:trPr>
          <w:trHeight w:val="308" w:hRule="atLeast"/>
        </w:trPr>
        <w:tc>
          <w:tcPr>
            <w:tcW w:w="90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74D3">
            <w:pPr>
              <w:jc w:val="left"/>
              <w:rPr>
                <w:rFonts w:ascii="Times New Roman" w:hAnsi="Times New Roman" w:eastAsia="宋体" w:cs="Times New Roman"/>
                <w:sz w:val="22"/>
              </w:rPr>
            </w:pPr>
          </w:p>
        </w:tc>
        <w:tc>
          <w:tcPr>
            <w:tcW w:w="11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CAFC5">
            <w:pPr>
              <w:jc w:val="lef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39801">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5CE73">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46493">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0F7E8">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836D6">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FDC15">
            <w:pPr>
              <w:jc w:val="right"/>
              <w:rPr>
                <w:rFonts w:ascii="Times New Roman" w:hAnsi="Times New Roman" w:eastAsia="宋体" w:cs="Times New Roman"/>
                <w:sz w:val="22"/>
              </w:rPr>
            </w:pPr>
          </w:p>
        </w:tc>
      </w:tr>
      <w:tr w14:paraId="26830384">
        <w:tblPrEx>
          <w:tblCellMar>
            <w:top w:w="0" w:type="dxa"/>
            <w:left w:w="0" w:type="dxa"/>
            <w:bottom w:w="0" w:type="dxa"/>
            <w:right w:w="0" w:type="dxa"/>
          </w:tblCellMar>
        </w:tblPrEx>
        <w:trPr>
          <w:trHeight w:val="308" w:hRule="atLeast"/>
        </w:trPr>
        <w:tc>
          <w:tcPr>
            <w:tcW w:w="5000" w:type="pct"/>
            <w:gridSpan w:val="10"/>
            <w:tcBorders>
              <w:top w:val="nil"/>
              <w:left w:val="nil"/>
              <w:bottom w:val="nil"/>
              <w:right w:val="nil"/>
            </w:tcBorders>
            <w:shd w:val="clear" w:color="auto" w:fill="auto"/>
            <w:noWrap/>
            <w:tcMar>
              <w:top w:w="15" w:type="dxa"/>
              <w:left w:w="15" w:type="dxa"/>
              <w:right w:w="15" w:type="dxa"/>
            </w:tcMar>
            <w:vAlign w:val="center"/>
          </w:tcPr>
          <w:p w14:paraId="1ABB816E">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注：本表反映部门本年度政府性基金预算财政拨款收入、支出及结转和结余情况。</w:t>
            </w:r>
          </w:p>
        </w:tc>
      </w:tr>
    </w:tbl>
    <w:p w14:paraId="2B1648A7">
      <w:pPr>
        <w:pStyle w:val="10"/>
        <w:jc w:val="left"/>
        <w:rPr>
          <w:rFonts w:ascii="宋体" w:hAnsi="宋体" w:eastAsia="宋体" w:cs="宋体"/>
          <w:sz w:val="24"/>
          <w:szCs w:val="24"/>
        </w:rPr>
      </w:pPr>
    </w:p>
    <w:p w14:paraId="4E8E07C0">
      <w:pPr>
        <w:pStyle w:val="10"/>
        <w:jc w:val="left"/>
        <w:rPr>
          <w:rFonts w:hint="eastAsia" w:ascii="仿宋_GB2312" w:hAnsi="仿宋_GB2312" w:eastAsia="仿宋_GB2312" w:cs="仿宋_GB2312"/>
          <w:color w:val="auto"/>
          <w:sz w:val="32"/>
          <w:szCs w:val="32"/>
        </w:rPr>
        <w:sectPr>
          <w:pgSz w:w="16838" w:h="11906" w:orient="landscape"/>
          <w:pgMar w:top="1418" w:right="1418" w:bottom="1134" w:left="1418" w:header="851" w:footer="992" w:gutter="0"/>
          <w:cols w:space="425" w:num="1"/>
          <w:docGrid w:type="lines" w:linePitch="312" w:charSpace="0"/>
        </w:sectPr>
      </w:pPr>
      <w:r>
        <w:rPr>
          <w:rFonts w:ascii="宋体" w:hAnsi="宋体" w:eastAsia="宋体" w:cs="宋体"/>
          <w:sz w:val="24"/>
          <w:szCs w:val="24"/>
        </w:rPr>
        <w:t>醴陵市</w:t>
      </w:r>
      <w:r>
        <w:rPr>
          <w:rFonts w:hint="eastAsia" w:ascii="宋体" w:hAnsi="宋体" w:eastAsia="宋体" w:cs="宋体"/>
          <w:sz w:val="24"/>
          <w:szCs w:val="24"/>
          <w:lang w:val="en-US" w:eastAsia="zh-CN"/>
        </w:rPr>
        <w:t>委组织部</w:t>
      </w:r>
      <w:r>
        <w:rPr>
          <w:rFonts w:ascii="宋体" w:hAnsi="宋体" w:eastAsia="宋体" w:cs="宋体"/>
          <w:sz w:val="24"/>
          <w:szCs w:val="24"/>
        </w:rPr>
        <w:t>没有政府性基金收入，也没有使用政府性基金安排的支出，故本表无数据</w:t>
      </w:r>
    </w:p>
    <w:p w14:paraId="6990C485">
      <w:pPr>
        <w:pStyle w:val="10"/>
        <w:jc w:val="center"/>
        <w:rPr>
          <w:rFonts w:ascii="Times New Roman" w:hAnsi="Times New Roman" w:cs="Times New Roman"/>
          <w:color w:val="auto"/>
          <w:sz w:val="32"/>
          <w:szCs w:val="32"/>
        </w:rPr>
      </w:pPr>
    </w:p>
    <w:p w14:paraId="098D77A0">
      <w:pPr>
        <w:pStyle w:val="10"/>
        <w:jc w:val="center"/>
        <w:rPr>
          <w:rFonts w:ascii="Times New Roman" w:hAnsi="Times New Roman" w:cs="Times New Roman"/>
          <w:color w:val="auto"/>
          <w:sz w:val="32"/>
          <w:szCs w:val="32"/>
        </w:rPr>
      </w:pPr>
    </w:p>
    <w:p w14:paraId="09EDBA94">
      <w:pPr>
        <w:pStyle w:val="10"/>
        <w:jc w:val="center"/>
        <w:rPr>
          <w:rFonts w:ascii="Times New Roman" w:hAnsi="Times New Roman" w:cs="Times New Roman"/>
          <w:color w:val="auto"/>
          <w:sz w:val="32"/>
          <w:szCs w:val="32"/>
        </w:rPr>
      </w:pPr>
    </w:p>
    <w:p w14:paraId="36183A10">
      <w:pPr>
        <w:pStyle w:val="10"/>
        <w:jc w:val="center"/>
        <w:rPr>
          <w:rFonts w:ascii="Times New Roman" w:hAnsi="Times New Roman" w:cs="Times New Roman"/>
          <w:color w:val="auto"/>
          <w:sz w:val="32"/>
          <w:szCs w:val="32"/>
        </w:rPr>
      </w:pPr>
    </w:p>
    <w:p w14:paraId="39BAA168">
      <w:pPr>
        <w:pStyle w:val="10"/>
        <w:jc w:val="center"/>
        <w:rPr>
          <w:rFonts w:ascii="Times New Roman" w:hAnsi="Times New Roman" w:cs="Times New Roman"/>
          <w:color w:val="auto"/>
          <w:sz w:val="32"/>
          <w:szCs w:val="32"/>
        </w:rPr>
      </w:pPr>
    </w:p>
    <w:p w14:paraId="4E6A5F32">
      <w:pPr>
        <w:pStyle w:val="10"/>
        <w:jc w:val="center"/>
        <w:rPr>
          <w:rFonts w:ascii="Times New Roman" w:hAnsi="Times New Roman" w:eastAsia="方正小标宋简体" w:cs="Times New Roman"/>
          <w:color w:val="auto"/>
          <w:sz w:val="52"/>
          <w:szCs w:val="52"/>
        </w:rPr>
      </w:pPr>
      <w:r>
        <w:rPr>
          <w:rFonts w:ascii="Times New Roman" w:hAnsi="Times New Roman" w:eastAsia="方正小标宋简体" w:cs="Times New Roman"/>
          <w:color w:val="auto"/>
          <w:sz w:val="52"/>
          <w:szCs w:val="52"/>
        </w:rPr>
        <w:t>第三部分</w:t>
      </w:r>
    </w:p>
    <w:p w14:paraId="35C34CD8">
      <w:pPr>
        <w:pStyle w:val="10"/>
        <w:jc w:val="center"/>
        <w:rPr>
          <w:rFonts w:ascii="Times New Roman" w:hAnsi="Times New Roman" w:eastAsia="方正小标宋简体" w:cs="Times New Roman"/>
          <w:color w:val="auto"/>
          <w:sz w:val="52"/>
          <w:szCs w:val="52"/>
        </w:rPr>
      </w:pPr>
    </w:p>
    <w:p w14:paraId="30BD1B65">
      <w:pPr>
        <w:pStyle w:val="10"/>
        <w:jc w:val="center"/>
        <w:rPr>
          <w:rFonts w:ascii="Times New Roman" w:hAnsi="Times New Roman" w:eastAsia="方正小标宋简体" w:cs="Times New Roman"/>
          <w:color w:val="auto"/>
          <w:sz w:val="52"/>
          <w:szCs w:val="52"/>
        </w:rPr>
      </w:pPr>
      <w:r>
        <w:rPr>
          <w:rFonts w:ascii="Times New Roman" w:hAnsi="Times New Roman" w:eastAsia="方正小标宋简体" w:cs="Times New Roman"/>
          <w:color w:val="auto"/>
          <w:sz w:val="52"/>
          <w:szCs w:val="52"/>
        </w:rPr>
        <w:t>2019年度部门决算情况说明</w:t>
      </w:r>
    </w:p>
    <w:p w14:paraId="5FF64409">
      <w:pPr>
        <w:widowControl/>
        <w:jc w:val="center"/>
        <w:rPr>
          <w:rFonts w:ascii="Times New Roman" w:hAnsi="Times New Roman" w:eastAsia="黑体" w:cs="Times New Roman"/>
          <w:kern w:val="0"/>
          <w:sz w:val="32"/>
          <w:szCs w:val="32"/>
        </w:rPr>
      </w:pPr>
      <w:r>
        <w:rPr>
          <w:rFonts w:ascii="Times New Roman" w:hAnsi="Times New Roman" w:eastAsia="黑体" w:cs="Times New Roman"/>
          <w:sz w:val="32"/>
          <w:szCs w:val="32"/>
        </w:rPr>
        <w:br w:type="page"/>
      </w:r>
    </w:p>
    <w:p w14:paraId="6F9E1849">
      <w:pPr>
        <w:pStyle w:val="10"/>
        <w:spacing w:line="60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一、收入支出决算总体情况说明</w:t>
      </w:r>
    </w:p>
    <w:p w14:paraId="37EBEFF1">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2019年度财政拨款收入1159.9万元，其他收入21.95万元，合计1181.85万元，年初结转315.88万元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支出1276.11万元，年末结转221.62万元。与2018年度相比，拨款收入减少417.14万元，减少26.45%，支出减少327.34万元，减少20.41%，主要是因为合理安排收支预算，减少开支。</w:t>
      </w:r>
    </w:p>
    <w:p w14:paraId="5B51540E">
      <w:pPr>
        <w:pStyle w:val="10"/>
        <w:spacing w:line="60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二、收入决算情况说明</w:t>
      </w:r>
    </w:p>
    <w:p w14:paraId="7FA4B4E2">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2019年度收入合计1181.85万元，其中：财政拨款收入1159.9万元，占98.14%；上级补助收入0万元，占0%；事业收入0万元，占0%；经营收入0万元，占0%；附属单位上缴收入0万元，占0%；其他收入21.95万元，占1.86%。</w:t>
      </w:r>
    </w:p>
    <w:p w14:paraId="778645A8">
      <w:pPr>
        <w:pStyle w:val="10"/>
        <w:spacing w:line="60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三、支出决算情况说明</w:t>
      </w:r>
    </w:p>
    <w:p w14:paraId="3A496B45">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2019年度支出合计1276.11万元，其中：基本支出565.67万元，占44.33%；项目支出710.44万元，占55.67%；上缴上级支出0万元，占0%；经营支出0万元，占0%；对附属单位补助支出0万元，占0%。</w:t>
      </w:r>
    </w:p>
    <w:p w14:paraId="00AA7E98">
      <w:pPr>
        <w:pStyle w:val="10"/>
        <w:spacing w:line="60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四、财政拨款收入支出决算总体情况说明</w:t>
      </w:r>
    </w:p>
    <w:p w14:paraId="51C17510">
      <w:pPr>
        <w:pStyle w:val="10"/>
        <w:spacing w:line="600" w:lineRule="exact"/>
        <w:ind w:firstLine="616" w:firstLineChars="200"/>
        <w:jc w:val="both"/>
        <w:rPr>
          <w:rFonts w:ascii="Times New Roman" w:hAnsi="Times New Roman" w:eastAsia="仿宋_GB2312" w:cs="Times New Roman"/>
          <w:color w:val="auto"/>
          <w:spacing w:val="-6"/>
          <w:sz w:val="32"/>
          <w:szCs w:val="32"/>
        </w:rPr>
      </w:pPr>
      <w:r>
        <w:rPr>
          <w:rFonts w:ascii="Times New Roman" w:hAnsi="Times New Roman" w:eastAsia="仿宋_GB2312" w:cs="Times New Roman"/>
          <w:color w:val="auto"/>
          <w:spacing w:val="-6"/>
          <w:sz w:val="32"/>
          <w:szCs w:val="32"/>
        </w:rPr>
        <w:t>2019年度财政拨款收入</w:t>
      </w:r>
      <w:r>
        <w:rPr>
          <w:rFonts w:ascii="Times New Roman" w:hAnsi="Times New Roman" w:eastAsia="仿宋_GB2312" w:cs="Times New Roman"/>
          <w:color w:val="auto"/>
          <w:sz w:val="32"/>
          <w:szCs w:val="32"/>
        </w:rPr>
        <w:t>1159.9</w:t>
      </w:r>
      <w:r>
        <w:rPr>
          <w:rFonts w:ascii="Times New Roman" w:hAnsi="Times New Roman" w:eastAsia="仿宋_GB2312" w:cs="Times New Roman"/>
          <w:color w:val="auto"/>
          <w:spacing w:val="-6"/>
          <w:sz w:val="32"/>
          <w:szCs w:val="32"/>
        </w:rPr>
        <w:t>万元，与2018年度相比，减少</w:t>
      </w:r>
      <w:r>
        <w:rPr>
          <w:rFonts w:ascii="Times New Roman" w:hAnsi="Times New Roman" w:eastAsia="仿宋_GB2312" w:cs="Times New Roman"/>
          <w:color w:val="auto"/>
          <w:sz w:val="32"/>
          <w:szCs w:val="32"/>
        </w:rPr>
        <w:t>417.14</w:t>
      </w:r>
      <w:r>
        <w:rPr>
          <w:rFonts w:ascii="Times New Roman" w:hAnsi="Times New Roman" w:eastAsia="仿宋_GB2312" w:cs="Times New Roman"/>
          <w:color w:val="auto"/>
          <w:spacing w:val="-6"/>
          <w:sz w:val="32"/>
          <w:szCs w:val="32"/>
        </w:rPr>
        <w:t>万元,减少</w:t>
      </w:r>
      <w:r>
        <w:rPr>
          <w:rFonts w:ascii="Times New Roman" w:hAnsi="Times New Roman" w:eastAsia="仿宋_GB2312" w:cs="Times New Roman"/>
          <w:color w:val="auto"/>
          <w:sz w:val="32"/>
          <w:szCs w:val="32"/>
        </w:rPr>
        <w:t>26.45%</w:t>
      </w:r>
      <w:r>
        <w:rPr>
          <w:rFonts w:ascii="Times New Roman" w:hAnsi="Times New Roman" w:eastAsia="仿宋_GB2312" w:cs="Times New Roman"/>
          <w:color w:val="auto"/>
          <w:spacing w:val="-6"/>
          <w:sz w:val="32"/>
          <w:szCs w:val="32"/>
        </w:rPr>
        <w:t>，支出1251.</w:t>
      </w:r>
      <w:r>
        <w:rPr>
          <w:rFonts w:hint="eastAsia" w:ascii="Times New Roman" w:hAnsi="Times New Roman" w:eastAsia="仿宋_GB2312" w:cs="Times New Roman"/>
          <w:color w:val="auto"/>
          <w:spacing w:val="-6"/>
          <w:sz w:val="32"/>
          <w:szCs w:val="32"/>
          <w:lang w:val="en-US" w:eastAsia="zh-CN"/>
        </w:rPr>
        <w:t>7</w:t>
      </w:r>
      <w:r>
        <w:rPr>
          <w:rFonts w:ascii="Times New Roman" w:hAnsi="Times New Roman" w:eastAsia="仿宋_GB2312" w:cs="Times New Roman"/>
          <w:color w:val="auto"/>
          <w:spacing w:val="-6"/>
          <w:sz w:val="32"/>
          <w:szCs w:val="32"/>
        </w:rPr>
        <w:t>5万元，与2018年度相比，减少322.</w:t>
      </w:r>
      <w:r>
        <w:rPr>
          <w:rFonts w:hint="eastAsia" w:ascii="Times New Roman" w:hAnsi="Times New Roman" w:eastAsia="仿宋_GB2312" w:cs="Times New Roman"/>
          <w:color w:val="auto"/>
          <w:spacing w:val="-6"/>
          <w:sz w:val="32"/>
          <w:szCs w:val="32"/>
          <w:lang w:val="en-US" w:eastAsia="zh-CN"/>
        </w:rPr>
        <w:t>1</w:t>
      </w:r>
      <w:r>
        <w:rPr>
          <w:rFonts w:ascii="Times New Roman" w:hAnsi="Times New Roman" w:eastAsia="仿宋_GB2312" w:cs="Times New Roman"/>
          <w:color w:val="auto"/>
          <w:spacing w:val="-6"/>
          <w:sz w:val="32"/>
          <w:szCs w:val="32"/>
        </w:rPr>
        <w:t>2万元，减少20.50%。主要是因为合理安排收支预算，减少开支。</w:t>
      </w:r>
    </w:p>
    <w:p w14:paraId="3999AC6D">
      <w:pPr>
        <w:pStyle w:val="10"/>
        <w:spacing w:line="60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五、一般公共预算财政拨款支出决算情况说明</w:t>
      </w:r>
    </w:p>
    <w:p w14:paraId="0A9316E2">
      <w:pPr>
        <w:pStyle w:val="10"/>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（一）财政拨款支出决算总体情况</w:t>
      </w:r>
    </w:p>
    <w:p w14:paraId="051944D0">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2019年度财政拨款支出</w:t>
      </w:r>
      <w:r>
        <w:rPr>
          <w:rFonts w:ascii="Times New Roman" w:hAnsi="Times New Roman" w:eastAsia="仿宋_GB2312" w:cs="Times New Roman"/>
          <w:color w:val="auto"/>
          <w:spacing w:val="-6"/>
          <w:sz w:val="32"/>
          <w:szCs w:val="32"/>
        </w:rPr>
        <w:t>1251.</w:t>
      </w:r>
      <w:r>
        <w:rPr>
          <w:rFonts w:hint="eastAsia" w:ascii="Times New Roman" w:hAnsi="Times New Roman" w:eastAsia="仿宋_GB2312" w:cs="Times New Roman"/>
          <w:color w:val="auto"/>
          <w:spacing w:val="-6"/>
          <w:sz w:val="32"/>
          <w:szCs w:val="32"/>
          <w:lang w:val="en-US" w:eastAsia="zh-CN"/>
        </w:rPr>
        <w:t>7</w:t>
      </w:r>
      <w:r>
        <w:rPr>
          <w:rFonts w:ascii="Times New Roman" w:hAnsi="Times New Roman" w:eastAsia="仿宋_GB2312" w:cs="Times New Roman"/>
          <w:color w:val="auto"/>
          <w:spacing w:val="-6"/>
          <w:sz w:val="32"/>
          <w:szCs w:val="32"/>
        </w:rPr>
        <w:t>5</w:t>
      </w:r>
      <w:r>
        <w:rPr>
          <w:rFonts w:ascii="Times New Roman" w:hAnsi="Times New Roman" w:eastAsia="仿宋_GB2312" w:cs="Times New Roman"/>
          <w:color w:val="auto"/>
          <w:sz w:val="32"/>
          <w:szCs w:val="32"/>
        </w:rPr>
        <w:t>万元，占本年支出合计的98.05%，与2018年度相比，财政拨款支出减少32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2万元，减少20.5%，主要是因为合理安排收支预算，减少开支。</w:t>
      </w:r>
    </w:p>
    <w:p w14:paraId="38D31439">
      <w:pPr>
        <w:pStyle w:val="10"/>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（二）财政拨款支出决算结构情况</w:t>
      </w:r>
    </w:p>
    <w:p w14:paraId="67ED7A95">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2019年度财政拨款支出</w:t>
      </w:r>
      <w:r>
        <w:rPr>
          <w:rFonts w:ascii="Times New Roman" w:hAnsi="Times New Roman" w:eastAsia="仿宋_GB2312" w:cs="Times New Roman"/>
          <w:color w:val="auto"/>
          <w:spacing w:val="-6"/>
          <w:sz w:val="32"/>
          <w:szCs w:val="32"/>
        </w:rPr>
        <w:t>1251.</w:t>
      </w:r>
      <w:r>
        <w:rPr>
          <w:rFonts w:hint="eastAsia" w:ascii="Times New Roman" w:hAnsi="Times New Roman" w:eastAsia="仿宋_GB2312" w:cs="Times New Roman"/>
          <w:color w:val="auto"/>
          <w:spacing w:val="-6"/>
          <w:sz w:val="32"/>
          <w:szCs w:val="32"/>
          <w:lang w:val="en-US" w:eastAsia="zh-CN"/>
        </w:rPr>
        <w:t>7</w:t>
      </w:r>
      <w:r>
        <w:rPr>
          <w:rFonts w:ascii="Times New Roman" w:hAnsi="Times New Roman" w:eastAsia="仿宋_GB2312" w:cs="Times New Roman"/>
          <w:color w:val="auto"/>
          <w:spacing w:val="-6"/>
          <w:sz w:val="32"/>
          <w:szCs w:val="32"/>
        </w:rPr>
        <w:t>5</w:t>
      </w:r>
      <w:r>
        <w:rPr>
          <w:rFonts w:ascii="Times New Roman" w:hAnsi="Times New Roman" w:eastAsia="仿宋_GB2312" w:cs="Times New Roman"/>
          <w:color w:val="auto"/>
          <w:sz w:val="32"/>
          <w:szCs w:val="32"/>
        </w:rPr>
        <w:t>万元，主要用于以下方面：一般公共服务（类）支出1209.22万元，占96.6%；教育支出19.39万元，占1.55%；农林水支出13.64万元，占1.09%;卫生健康支出9.5万元，占0.76%。</w:t>
      </w:r>
    </w:p>
    <w:p w14:paraId="3B71C8ED">
      <w:pPr>
        <w:pStyle w:val="10"/>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（三）财政拨款支出决算具体情况</w:t>
      </w:r>
    </w:p>
    <w:p w14:paraId="6CC0E863">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2019年度财政拨款支出年初预算数为797.9万元，支出决算数为1251.25万元，完成年初预算的156.82%，其中：</w:t>
      </w:r>
    </w:p>
    <w:p w14:paraId="6DFFE708">
      <w:pPr>
        <w:pStyle w:val="10"/>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1、组织事务20132</w:t>
      </w:r>
    </w:p>
    <w:p w14:paraId="74ED476B">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年初预算为783.28万元，支出决算为1209.22万元，完成年初预算的100%，决算数大于年初预算数的主要原因是：一是基本工资与社保增加，二是人员数量增加，三是机构改革，老干部局与我单位合并，人社局部分职能</w:t>
      </w:r>
      <w:r>
        <w:rPr>
          <w:rFonts w:hint="eastAsia" w:ascii="Times New Roman" w:hAnsi="Times New Roman" w:eastAsia="仿宋_GB2312" w:cs="Times New Roman"/>
          <w:color w:val="auto"/>
          <w:sz w:val="32"/>
          <w:szCs w:val="32"/>
          <w:lang w:val="en-US" w:eastAsia="zh-CN"/>
        </w:rPr>
        <w:t>划转</w:t>
      </w:r>
      <w:r>
        <w:rPr>
          <w:rFonts w:ascii="Times New Roman" w:hAnsi="Times New Roman" w:eastAsia="仿宋_GB2312" w:cs="Times New Roman"/>
          <w:color w:val="auto"/>
          <w:sz w:val="32"/>
          <w:szCs w:val="32"/>
        </w:rPr>
        <w:t>至我单位。</w:t>
      </w:r>
    </w:p>
    <w:p w14:paraId="1884F445">
      <w:pPr>
        <w:pStyle w:val="10"/>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2、卫生健康支出210</w:t>
      </w:r>
    </w:p>
    <w:p w14:paraId="79D755D7">
      <w:pPr>
        <w:pStyle w:val="10"/>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2019年度年初预算为9.62万元，支出决算为9.5万元，完成年初预算的98.75%，决算数小于年初预算数的主要原因是：</w:t>
      </w:r>
      <w:r>
        <w:rPr>
          <w:rFonts w:hint="eastAsia" w:ascii="Times New Roman" w:hAnsi="Times New Roman" w:eastAsia="仿宋_GB2312" w:cs="Times New Roman"/>
          <w:color w:val="auto"/>
          <w:sz w:val="32"/>
          <w:szCs w:val="32"/>
          <w:lang w:val="en-US" w:eastAsia="zh-CN"/>
        </w:rPr>
        <w:t>预算科学合理，实际支出严格把关。</w:t>
      </w:r>
    </w:p>
    <w:p w14:paraId="008A5E24">
      <w:pPr>
        <w:pStyle w:val="10"/>
        <w:numPr>
          <w:ilvl w:val="0"/>
          <w:numId w:val="1"/>
        </w:numPr>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农林水支出213</w:t>
      </w:r>
    </w:p>
    <w:p w14:paraId="50778CD4">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2019年度年初预算5万元，支出决算13.64万元，完成年初预算的100%，决算数大于年初预算的主要原因是</w:t>
      </w:r>
      <w:r>
        <w:rPr>
          <w:rFonts w:hint="eastAsia" w:ascii="Times New Roman" w:hAnsi="Times New Roman" w:eastAsia="仿宋_GB2312" w:cs="Times New Roman"/>
          <w:color w:val="auto"/>
          <w:sz w:val="32"/>
          <w:szCs w:val="32"/>
          <w:lang w:val="en-US" w:eastAsia="zh-CN"/>
        </w:rPr>
        <w:t>，追加对高校毕业生到基层任职补助</w:t>
      </w:r>
      <w:r>
        <w:rPr>
          <w:rFonts w:ascii="Times New Roman" w:hAnsi="Times New Roman" w:eastAsia="仿宋_GB2312" w:cs="Times New Roman"/>
          <w:color w:val="auto"/>
          <w:sz w:val="32"/>
          <w:szCs w:val="32"/>
        </w:rPr>
        <w:t>。</w:t>
      </w:r>
    </w:p>
    <w:p w14:paraId="7B27F969">
      <w:pPr>
        <w:pStyle w:val="10"/>
        <w:numPr>
          <w:ilvl w:val="0"/>
          <w:numId w:val="1"/>
        </w:numPr>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教育支出205</w:t>
      </w:r>
    </w:p>
    <w:p w14:paraId="044CFC10">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2019年度年初预算0万元，支出决算19.39万元，完成年初预算的100%，决算数大于年初预算数的主要原因是</w:t>
      </w:r>
      <w:r>
        <w:rPr>
          <w:rFonts w:hint="eastAsia" w:ascii="Times New Roman" w:hAnsi="Times New Roman" w:eastAsia="仿宋_GB2312" w:cs="Times New Roman"/>
          <w:color w:val="auto"/>
          <w:sz w:val="32"/>
          <w:szCs w:val="32"/>
          <w:lang w:val="en-US" w:eastAsia="zh-CN"/>
        </w:rPr>
        <w:t>，追加柔性引才用才省级试点工作经费</w:t>
      </w:r>
      <w:r>
        <w:rPr>
          <w:rFonts w:ascii="Times New Roman" w:hAnsi="Times New Roman" w:eastAsia="仿宋_GB2312" w:cs="Times New Roman"/>
          <w:color w:val="auto"/>
          <w:sz w:val="32"/>
          <w:szCs w:val="32"/>
        </w:rPr>
        <w:t>。</w:t>
      </w:r>
    </w:p>
    <w:p w14:paraId="57D8D50D">
      <w:pPr>
        <w:pStyle w:val="10"/>
        <w:spacing w:line="60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六、一般公共预算财政拨款基本支出决算情况说明</w:t>
      </w:r>
    </w:p>
    <w:p w14:paraId="34646936">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财政拨款基本支出541.31万元，其中：人员经费424.02万元，占基本支出的78.33%,主要包括基本工资、津贴补贴、奖金、伙食补助费等；公用经费117.29万元，占基本支出的21.67%主要包括办公费、印刷费、咨询费、手续费等。</w:t>
      </w:r>
    </w:p>
    <w:p w14:paraId="448D9758">
      <w:pPr>
        <w:pStyle w:val="10"/>
        <w:spacing w:line="60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七、一般公共预算财政拨款三公经费支出决算情况说明</w:t>
      </w:r>
    </w:p>
    <w:p w14:paraId="6622FE81">
      <w:pPr>
        <w:pStyle w:val="10"/>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1AE7BBD6">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“三公”经费财政拨款支出预算为12.3万元，支出决算为8.89万元，完成预算的72.28%，其中：</w:t>
      </w:r>
    </w:p>
    <w:p w14:paraId="0FBF8C9D">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因公出国（境）费支出预算为7.3万元，支出决算为7.3万元，完成预算的100%，与上年相比增加7.3万元，增加100%,增加的主要原因是上级组织部门组织出国考察学习。</w:t>
      </w:r>
    </w:p>
    <w:p w14:paraId="05484EE6">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接待费支出预算为5万元，支出决算为1.59万元，完成预算的31.80%，决算数小于年初预算数的主要原因是严格执行中央八项规定，规范接待行为，与上年相比减少7.04万元，减少81.58%,减少的主要原因是公务接待活动减少。</w:t>
      </w:r>
    </w:p>
    <w:p w14:paraId="61C9587E">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公务用车购置费及运行维护费支出预算为0万元，支出决算为0万元。</w:t>
      </w:r>
    </w:p>
    <w:p w14:paraId="357C2A38">
      <w:pPr>
        <w:pStyle w:val="10"/>
        <w:spacing w:line="58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4B46B7FC">
      <w:pPr>
        <w:pStyle w:val="10"/>
        <w:spacing w:line="58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2019年度“三公”经费财政拨款支出决算中，公务接待费支出决算1.59万元，占17.89%,因公出国（境）费支出决算7.3万元，占82.11%,公务用车购置费及运行维护费支出决算0万元，占0。其中：</w:t>
      </w:r>
    </w:p>
    <w:p w14:paraId="712C1546">
      <w:pPr>
        <w:pStyle w:val="10"/>
        <w:spacing w:line="58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eastAsia="仿宋_GB2312" w:cs="Times New Roman"/>
          <w:color w:val="auto"/>
          <w:sz w:val="32"/>
          <w:szCs w:val="32"/>
        </w:rPr>
        <w:t>1、因公出国（境）费支出决算为7.3万元，全年安排因公出国（境）团组1个，累计1人次,开支内容包括：</w:t>
      </w:r>
    </w:p>
    <w:p w14:paraId="46A29EAB">
      <w:pPr>
        <w:pStyle w:val="10"/>
        <w:spacing w:line="580" w:lineRule="exact"/>
        <w:ind w:firstLine="640" w:firstLineChars="200"/>
        <w:jc w:val="both"/>
        <w:rPr>
          <w:rFonts w:ascii="Times New Roman" w:hAnsi="Times New Roman" w:eastAsia="仿宋_GB2312" w:cs="Times New Roman"/>
          <w:color w:val="auto"/>
          <w:spacing w:val="-10"/>
          <w:sz w:val="32"/>
          <w:szCs w:val="32"/>
        </w:rPr>
      </w:pPr>
      <w:r>
        <w:rPr>
          <w:rFonts w:ascii="Times New Roman" w:hAnsi="Times New Roman" w:eastAsia="仿宋_GB2312" w:cs="Times New Roman"/>
          <w:color w:val="auto"/>
          <w:sz w:val="32"/>
          <w:szCs w:val="32"/>
        </w:rPr>
        <w:t>赴</w:t>
      </w:r>
      <w:r>
        <w:rPr>
          <w:rFonts w:ascii="Times New Roman" w:hAnsi="Times New Roman" w:eastAsia="仿宋_GB2312" w:cs="Times New Roman"/>
          <w:color w:val="auto"/>
          <w:spacing w:val="-10"/>
          <w:sz w:val="32"/>
          <w:szCs w:val="32"/>
        </w:rPr>
        <w:t>新加坡团支出7.3万元，主要用于上级部门组织出国考察学习。</w:t>
      </w:r>
    </w:p>
    <w:p w14:paraId="1A4B4E66">
      <w:pPr>
        <w:pStyle w:val="10"/>
        <w:spacing w:line="58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2、公务接待费支出决算为1.59万元，主要是上级与友邻单位县市来醴的公务活动发生的接待支出。</w:t>
      </w:r>
    </w:p>
    <w:p w14:paraId="022AFF40">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3、公务用车购置费及运行维护费支出决算为0万元，截止</w:t>
      </w:r>
      <w:r>
        <w:rPr>
          <w:rFonts w:ascii="Times New Roman" w:hAnsi="Times New Roman" w:eastAsia="仿宋_GB2312" w:cs="Times New Roman"/>
          <w:spacing w:val="-10"/>
          <w:kern w:val="0"/>
          <w:sz w:val="32"/>
          <w:szCs w:val="32"/>
        </w:rPr>
        <w:t>2019年12月31日，我单位开支财政拨款的公务用车保有量为0辆。</w:t>
      </w:r>
    </w:p>
    <w:p w14:paraId="63365BF1">
      <w:pPr>
        <w:pStyle w:val="10"/>
        <w:spacing w:line="58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八、政府性基金预算收入支出决算情况</w:t>
      </w:r>
    </w:p>
    <w:p w14:paraId="4C5931FB">
      <w:pPr>
        <w:pStyle w:val="10"/>
        <w:spacing w:line="580" w:lineRule="exact"/>
        <w:ind w:firstLine="640" w:firstLineChars="200"/>
        <w:jc w:val="both"/>
        <w:rPr>
          <w:rFonts w:ascii="Times New Roman" w:hAnsi="Times New Roman" w:eastAsia="仿宋_GB2312" w:cs="Times New Roman"/>
          <w:i/>
          <w:color w:val="auto"/>
          <w:sz w:val="32"/>
          <w:szCs w:val="32"/>
        </w:rPr>
      </w:pPr>
      <w:r>
        <w:rPr>
          <w:rFonts w:ascii="Times New Roman" w:hAnsi="Times New Roman" w:eastAsia="仿宋_GB2312" w:cs="Times New Roman"/>
          <w:iCs/>
          <w:color w:val="auto"/>
          <w:sz w:val="32"/>
          <w:szCs w:val="32"/>
        </w:rPr>
        <w:t>本单位无政府性基金收支</w:t>
      </w:r>
    </w:p>
    <w:p w14:paraId="44366D7E">
      <w:pPr>
        <w:pStyle w:val="10"/>
        <w:spacing w:line="58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九、关于2019年度预算绩效情况说明</w:t>
      </w:r>
    </w:p>
    <w:p w14:paraId="7432D3C8">
      <w:pPr>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（一）预算绩效管理工作开展情况</w:t>
      </w:r>
    </w:p>
    <w:p w14:paraId="11C6508A">
      <w:pPr>
        <w:pStyle w:val="10"/>
        <w:overflowPunct w:val="0"/>
        <w:spacing w:line="58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根据预算绩效管理要求，本单位组织对2019年度2个项目支出开展了绩效自评，共涉及资金106万元，占项目支出预算总额的22.27%。本单位共组织对2个一级项目和2个专项经费开展了重点绩效自我评价，涉及资金106万元。从评价情况来看，有关项目</w:t>
      </w:r>
      <w:r>
        <w:rPr>
          <w:rFonts w:ascii="Times New Roman" w:hAnsi="Times New Roman" w:eastAsia="仿宋_GB2312" w:cs="Times New Roman"/>
          <w:color w:val="auto"/>
          <w:spacing w:val="-6"/>
          <w:sz w:val="32"/>
          <w:szCs w:val="32"/>
        </w:rPr>
        <w:t>立项程序完整、规范，预算执行及时、有效，绩效目标得到较好实现，绩效管理水平不断提高，绩效指标体系建设逐渐丰富和完善。</w:t>
      </w:r>
    </w:p>
    <w:p w14:paraId="623271A8">
      <w:pPr>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（二）部门决算中项目绩效自评结果</w:t>
      </w:r>
    </w:p>
    <w:p w14:paraId="1813B02F">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 整体绩效评价报告</w:t>
      </w:r>
    </w:p>
    <w:p w14:paraId="7383A4B9">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详见第五部分 其他</w:t>
      </w:r>
    </w:p>
    <w:p w14:paraId="486E16DA">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 项目绩效评价报告</w:t>
      </w:r>
    </w:p>
    <w:p w14:paraId="3E4741D2">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详见第五部分 其他</w:t>
      </w:r>
    </w:p>
    <w:p w14:paraId="6BFAC48D">
      <w:pPr>
        <w:pStyle w:val="10"/>
        <w:spacing w:line="60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十、其他重要事项情况说明</w:t>
      </w:r>
    </w:p>
    <w:p w14:paraId="112E9DCA">
      <w:pPr>
        <w:spacing w:line="600" w:lineRule="exact"/>
        <w:ind w:firstLine="640" w:firstLineChars="20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（一）机关运行经费支出情况</w:t>
      </w:r>
    </w:p>
    <w:p w14:paraId="1C557AD9">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本部门2019年度机关运行经费支出117.29万元，比年初预算数减少29.56万元，降低20.13%。主要原因是严格执行中央规定，严控各项经费支出。</w:t>
      </w:r>
    </w:p>
    <w:p w14:paraId="7E04EA5F">
      <w:pPr>
        <w:spacing w:line="600" w:lineRule="exact"/>
        <w:ind w:firstLine="640" w:firstLineChars="20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（二）一般性支出情况</w:t>
      </w:r>
    </w:p>
    <w:p w14:paraId="71C9D91F">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2019年本部门开支会议费23.44万元，用于：</w:t>
      </w:r>
    </w:p>
    <w:p w14:paraId="55AD4C39">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1、扫黑除恶专项斗争工作汇报会0.2万元，20人。</w:t>
      </w:r>
    </w:p>
    <w:p w14:paraId="0739631B">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2、两新组织党建工作经验交流暨结对共建工作推进会0.4万元，70人。</w:t>
      </w:r>
    </w:p>
    <w:p w14:paraId="10479B6E">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3、镇（街、示范区）市直单位党（工）委书记履职基层和意识形态工作责任述职评议会0.</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万元，128人。</w:t>
      </w:r>
    </w:p>
    <w:p w14:paraId="214843EA">
      <w:pPr>
        <w:pStyle w:val="10"/>
        <w:ind w:firstLine="640" w:firstLineChars="200"/>
        <w:rPr>
          <w:rFonts w:ascii="Times New Roman" w:hAnsi="Times New Roman" w:eastAsia="仿宋_GB2312" w:cs="Times New Roman"/>
          <w:color w:val="auto"/>
          <w:spacing w:val="-10"/>
          <w:sz w:val="32"/>
          <w:szCs w:val="32"/>
        </w:rPr>
      </w:pPr>
      <w:r>
        <w:rPr>
          <w:rFonts w:ascii="Times New Roman" w:hAnsi="Times New Roman" w:eastAsia="仿宋_GB2312" w:cs="Times New Roman"/>
          <w:color w:val="auto"/>
          <w:sz w:val="32"/>
          <w:szCs w:val="32"/>
        </w:rPr>
        <w:t>4、柔</w:t>
      </w:r>
      <w:r>
        <w:rPr>
          <w:rFonts w:ascii="Times New Roman" w:hAnsi="Times New Roman" w:eastAsia="仿宋_GB2312" w:cs="Times New Roman"/>
          <w:color w:val="auto"/>
          <w:spacing w:val="-10"/>
          <w:sz w:val="32"/>
          <w:szCs w:val="32"/>
        </w:rPr>
        <w:t>性引才用才省级试点暨柔性引才用才研讨会0.9万元，80人。</w:t>
      </w:r>
    </w:p>
    <w:p w14:paraId="183D3C15">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5、柔性引才用才省级交流试点工作动员会0.4万元，40人。</w:t>
      </w:r>
    </w:p>
    <w:p w14:paraId="11194C33">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6、新招录公务员分配会0.4万元，90人。</w:t>
      </w:r>
    </w:p>
    <w:p w14:paraId="7B617E94">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7、对照党章找差距及调研指导交流会0.4万元，15人。</w:t>
      </w:r>
    </w:p>
    <w:p w14:paraId="05ACFBC6">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8、主题教育应知应会知识测试0.4万元，47人。</w:t>
      </w:r>
    </w:p>
    <w:p w14:paraId="55744FCB">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9、柔性引才示范基地授牌仪式会0.8万元，210人。</w:t>
      </w:r>
    </w:p>
    <w:p w14:paraId="60351813">
      <w:pPr>
        <w:pStyle w:val="10"/>
        <w:tabs>
          <w:tab w:val="left" w:pos="312"/>
        </w:tabs>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10、其他会议（涉及保密等会议）。</w:t>
      </w:r>
    </w:p>
    <w:p w14:paraId="7E0C3E1A">
      <w:pPr>
        <w:pStyle w:val="10"/>
        <w:overflowPunct w:val="0"/>
        <w:spacing w:line="58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开支培训费116.11万元，用于：</w:t>
      </w:r>
    </w:p>
    <w:p w14:paraId="0D00E4BB">
      <w:pPr>
        <w:pStyle w:val="10"/>
        <w:overflowPunct w:val="0"/>
        <w:spacing w:line="58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1、省党史陈列馆红色故事培训0.25万元。</w:t>
      </w:r>
    </w:p>
    <w:p w14:paraId="5C49B4BA">
      <w:pPr>
        <w:pStyle w:val="10"/>
        <w:overflowPunct w:val="0"/>
        <w:spacing w:line="58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不忘初心、牢记使命</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主题</w:t>
      </w:r>
      <w:r>
        <w:rPr>
          <w:rFonts w:ascii="Times New Roman" w:hAnsi="Times New Roman" w:eastAsia="仿宋_GB2312" w:cs="Times New Roman"/>
          <w:color w:val="auto"/>
          <w:sz w:val="32"/>
          <w:szCs w:val="32"/>
        </w:rPr>
        <w:t>教育基层党组织培训6.6万元。</w:t>
      </w:r>
    </w:p>
    <w:p w14:paraId="44479CE2">
      <w:pPr>
        <w:pStyle w:val="10"/>
        <w:overflowPunct w:val="0"/>
        <w:spacing w:line="580" w:lineRule="exact"/>
        <w:ind w:firstLine="640" w:firstLineChars="200"/>
        <w:jc w:val="both"/>
        <w:rPr>
          <w:rFonts w:ascii="Times New Roman" w:hAnsi="Times New Roman" w:eastAsia="仿宋_GB2312" w:cs="Times New Roman"/>
          <w:color w:val="auto"/>
          <w:spacing w:val="-6"/>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、株</w:t>
      </w:r>
      <w:r>
        <w:rPr>
          <w:rFonts w:ascii="Times New Roman" w:hAnsi="Times New Roman" w:eastAsia="仿宋_GB2312" w:cs="Times New Roman"/>
          <w:color w:val="auto"/>
          <w:spacing w:val="-6"/>
          <w:sz w:val="32"/>
          <w:szCs w:val="32"/>
        </w:rPr>
        <w:t>洲市党员教育培训讲师竞赛和精品党课评选培训2.25万元。</w:t>
      </w:r>
    </w:p>
    <w:p w14:paraId="46655B40">
      <w:pPr>
        <w:pStyle w:val="10"/>
        <w:overflowPunct w:val="0"/>
        <w:spacing w:line="58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、醴陵红色微党课创作12万元。</w:t>
      </w:r>
    </w:p>
    <w:p w14:paraId="5C41CAB5">
      <w:pPr>
        <w:pStyle w:val="10"/>
        <w:overflowPunct w:val="0"/>
        <w:spacing w:line="58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、省党史陈列馆讲解艺术培训0.76万元。</w:t>
      </w:r>
    </w:p>
    <w:p w14:paraId="7C9229D8">
      <w:pPr>
        <w:pStyle w:val="10"/>
        <w:overflowPunct w:val="0"/>
        <w:spacing w:line="58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、青年创业精英故事培训0.9万元。</w:t>
      </w:r>
    </w:p>
    <w:p w14:paraId="4EFBEBDA">
      <w:pPr>
        <w:pStyle w:val="10"/>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、陶瓷烟花学院干部教育网络基地经费5万元。</w:t>
      </w:r>
    </w:p>
    <w:p w14:paraId="04E21960">
      <w:pPr>
        <w:pStyle w:val="10"/>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、市委党校干训经费12万元。</w:t>
      </w:r>
    </w:p>
    <w:p w14:paraId="0573F569">
      <w:pPr>
        <w:pStyle w:val="10"/>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rPr>
        <w:t>、株洲市乡村振兴双创人才集训营培训10万元。</w:t>
      </w:r>
    </w:p>
    <w:p w14:paraId="0CA9B83A">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、村书记培训班培训16.87万元。</w:t>
      </w:r>
    </w:p>
    <w:p w14:paraId="507C7CF5">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、主题教育宣讲活动1.24万元。</w:t>
      </w:r>
    </w:p>
    <w:p w14:paraId="3077408F">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、2019年两新组织党组织书记培训班6.67万元。</w:t>
      </w:r>
    </w:p>
    <w:p w14:paraId="7428CD98">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、农民大学生培养计划26万元。</w:t>
      </w:r>
    </w:p>
    <w:p w14:paraId="2BACE38E">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、主题教育花鼓戏剧团宣讲5万元。</w:t>
      </w:r>
    </w:p>
    <w:p w14:paraId="2C944FBF">
      <w:pPr>
        <w:pStyle w:val="1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5、其他培训（涉及保密等培训）</w:t>
      </w:r>
    </w:p>
    <w:p w14:paraId="5C294BB1">
      <w:pPr>
        <w:spacing w:line="600" w:lineRule="exact"/>
        <w:ind w:firstLine="640" w:firstLineChars="20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（三）政府采购支出情况</w:t>
      </w:r>
    </w:p>
    <w:p w14:paraId="172451CB">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本部门2019年度政府采购支出总额63.54万元，其中：政府采购货物支出63.54万元、政府采购工程支出0万元、政府采购服务支出0万元。</w:t>
      </w:r>
    </w:p>
    <w:p w14:paraId="54ADBD04">
      <w:pPr>
        <w:spacing w:line="600" w:lineRule="exact"/>
        <w:ind w:firstLine="640" w:firstLineChars="20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（四）国有资产占用情况</w:t>
      </w:r>
    </w:p>
    <w:p w14:paraId="5FA779D3">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2019年12月31日，本单位共有车辆0辆，其中，领导干部用车0辆、机要通信用车0辆、应急保障用车0辆、执法执勤用车0辆、特种专业技术用车0辆、其他用车0辆；单位价值50万元以上通用设备0台（套）；单位价值100万元以上专用设备0台（套）。</w:t>
      </w:r>
    </w:p>
    <w:p w14:paraId="55FC1F36">
      <w:pPr>
        <w:spacing w:line="600" w:lineRule="exact"/>
        <w:ind w:firstLine="640" w:firstLineChars="20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（五）其他</w:t>
      </w:r>
    </w:p>
    <w:p w14:paraId="3E14B527">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本单位没有独立网站，因此只在财政局部门决算公开专栏中公开。</w:t>
      </w:r>
    </w:p>
    <w:p w14:paraId="3F73F8E1">
      <w:pPr>
        <w:ind w:firstLine="640" w:firstLineChars="200"/>
        <w:rPr>
          <w:rFonts w:ascii="Times New Roman" w:hAnsi="Times New Roman" w:eastAsia="仿宋" w:cs="Times New Roman"/>
          <w:kern w:val="0"/>
          <w:sz w:val="32"/>
          <w:szCs w:val="32"/>
        </w:rPr>
      </w:pPr>
    </w:p>
    <w:p w14:paraId="15DC79F3">
      <w:pPr>
        <w:widowControl/>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br w:type="page"/>
      </w:r>
    </w:p>
    <w:p w14:paraId="62B9F6DE">
      <w:pPr>
        <w:ind w:firstLine="640" w:firstLineChars="200"/>
        <w:rPr>
          <w:rFonts w:ascii="Times New Roman" w:hAnsi="Times New Roman" w:cs="Times New Roman"/>
          <w:kern w:val="0"/>
          <w:sz w:val="32"/>
          <w:szCs w:val="32"/>
        </w:rPr>
      </w:pPr>
    </w:p>
    <w:p w14:paraId="14CE8C4F">
      <w:pPr>
        <w:pStyle w:val="10"/>
        <w:jc w:val="center"/>
        <w:rPr>
          <w:rFonts w:ascii="Times New Roman" w:hAnsi="Times New Roman" w:cs="Times New Roman"/>
          <w:color w:val="auto"/>
          <w:sz w:val="72"/>
          <w:szCs w:val="72"/>
        </w:rPr>
      </w:pPr>
    </w:p>
    <w:p w14:paraId="5687F14A">
      <w:pPr>
        <w:pStyle w:val="10"/>
        <w:jc w:val="center"/>
        <w:rPr>
          <w:rFonts w:ascii="Times New Roman" w:hAnsi="Times New Roman" w:cs="Times New Roman"/>
          <w:color w:val="auto"/>
          <w:sz w:val="72"/>
          <w:szCs w:val="72"/>
        </w:rPr>
      </w:pPr>
    </w:p>
    <w:p w14:paraId="211C5330">
      <w:pPr>
        <w:pStyle w:val="10"/>
        <w:jc w:val="center"/>
        <w:rPr>
          <w:rFonts w:ascii="Times New Roman" w:hAnsi="Times New Roman" w:cs="Times New Roman"/>
          <w:color w:val="auto"/>
          <w:sz w:val="72"/>
          <w:szCs w:val="72"/>
        </w:rPr>
      </w:pPr>
    </w:p>
    <w:p w14:paraId="763D8533">
      <w:pPr>
        <w:pStyle w:val="10"/>
        <w:jc w:val="center"/>
        <w:rPr>
          <w:rFonts w:ascii="Times New Roman" w:hAnsi="Times New Roman" w:eastAsia="方正小标宋简体" w:cs="Times New Roman"/>
          <w:color w:val="auto"/>
          <w:sz w:val="52"/>
          <w:szCs w:val="52"/>
        </w:rPr>
      </w:pPr>
      <w:r>
        <w:rPr>
          <w:rFonts w:ascii="Times New Roman" w:hAnsi="Times New Roman" w:eastAsia="方正小标宋简体" w:cs="Times New Roman"/>
          <w:color w:val="auto"/>
          <w:sz w:val="52"/>
          <w:szCs w:val="52"/>
        </w:rPr>
        <w:t>第四部分</w:t>
      </w:r>
    </w:p>
    <w:p w14:paraId="4A6BCCB8">
      <w:pPr>
        <w:jc w:val="center"/>
        <w:rPr>
          <w:rFonts w:ascii="Times New Roman" w:hAnsi="Times New Roman" w:eastAsia="方正小标宋简体" w:cs="Times New Roman"/>
          <w:kern w:val="0"/>
          <w:sz w:val="52"/>
          <w:szCs w:val="52"/>
        </w:rPr>
      </w:pPr>
    </w:p>
    <w:p w14:paraId="29D28A1F">
      <w:pPr>
        <w:jc w:val="center"/>
        <w:rPr>
          <w:rFonts w:ascii="Times New Roman" w:hAnsi="Times New Roman" w:eastAsia="方正小标宋简体" w:cs="Times New Roman"/>
          <w:kern w:val="0"/>
          <w:sz w:val="52"/>
          <w:szCs w:val="52"/>
        </w:rPr>
      </w:pPr>
      <w:r>
        <w:rPr>
          <w:rFonts w:ascii="Times New Roman" w:hAnsi="Times New Roman" w:eastAsia="方正小标宋简体" w:cs="Times New Roman"/>
          <w:kern w:val="0"/>
          <w:sz w:val="52"/>
          <w:szCs w:val="52"/>
        </w:rPr>
        <w:t>名词解释</w:t>
      </w:r>
    </w:p>
    <w:p w14:paraId="51835FAB">
      <w:pPr>
        <w:widowControl/>
        <w:jc w:val="left"/>
        <w:rPr>
          <w:rFonts w:ascii="Times New Roman" w:hAnsi="Times New Roman" w:eastAsia="黑体" w:cs="Times New Roman"/>
          <w:kern w:val="0"/>
          <w:sz w:val="52"/>
          <w:szCs w:val="52"/>
        </w:rPr>
      </w:pPr>
      <w:r>
        <w:rPr>
          <w:rFonts w:ascii="Times New Roman" w:hAnsi="Times New Roman" w:eastAsia="黑体" w:cs="Times New Roman"/>
          <w:kern w:val="0"/>
          <w:sz w:val="52"/>
          <w:szCs w:val="52"/>
        </w:rPr>
        <w:br w:type="page"/>
      </w:r>
    </w:p>
    <w:p w14:paraId="43D5729D">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 财政拨款收入：指单位从同级财政部门取得的财政预算资金。</w:t>
      </w:r>
    </w:p>
    <w:p w14:paraId="15D0FF64">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二、事业收入：指事业单位开展专业业务活动及辅助活动取得的收入。</w:t>
      </w:r>
    </w:p>
    <w:p w14:paraId="5AD55BF3">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三、经营收入：指事业单位在专业业务活动及其辅助活动之外开展非独立核算经营活动取得的收入。</w:t>
      </w:r>
    </w:p>
    <w:p w14:paraId="494F76D0">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四、其他收入：指单位取得的除上述收入以外的各项收入。</w:t>
      </w:r>
    </w:p>
    <w:p w14:paraId="44157751">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6786A1D9">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六、年初结转和结余：指单位以前年度尚未完成、结转到本年按有关规定继续使用的资金。</w:t>
      </w:r>
    </w:p>
    <w:p w14:paraId="1454307F">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七、“三公经费”支出：指通过财政拨款资金安排的因公出国（境）费、公务用车购置及运行费和公务接待费支出。</w:t>
      </w:r>
    </w:p>
    <w:p w14:paraId="1F268ED4">
      <w:pPr>
        <w:spacing w:line="600" w:lineRule="exact"/>
        <w:jc w:val="left"/>
        <w:rPr>
          <w:rFonts w:ascii="Times New Roman" w:hAnsi="Times New Roman" w:eastAsia="仿宋_GB2312" w:cs="Times New Roman"/>
          <w:i/>
          <w:sz w:val="32"/>
          <w:szCs w:val="32"/>
        </w:rPr>
      </w:pPr>
      <w:r>
        <w:rPr>
          <w:rFonts w:ascii="Times New Roman" w:hAnsi="Times New Roman" w:eastAsia="仿宋_GB2312" w:cs="Times New Roman"/>
          <w:i/>
          <w:sz w:val="32"/>
          <w:szCs w:val="32"/>
        </w:rPr>
        <w:br w:type="page"/>
      </w:r>
    </w:p>
    <w:p w14:paraId="2C09D20C">
      <w:pPr>
        <w:pStyle w:val="10"/>
        <w:jc w:val="center"/>
        <w:rPr>
          <w:rFonts w:ascii="Times New Roman" w:hAnsi="Times New Roman" w:cs="Times New Roman"/>
          <w:color w:val="auto"/>
          <w:sz w:val="72"/>
          <w:szCs w:val="72"/>
        </w:rPr>
      </w:pPr>
    </w:p>
    <w:p w14:paraId="6B285968">
      <w:pPr>
        <w:pStyle w:val="10"/>
        <w:jc w:val="center"/>
        <w:rPr>
          <w:rFonts w:ascii="Times New Roman" w:hAnsi="Times New Roman" w:cs="Times New Roman"/>
          <w:color w:val="auto"/>
          <w:sz w:val="72"/>
          <w:szCs w:val="72"/>
        </w:rPr>
      </w:pPr>
    </w:p>
    <w:p w14:paraId="3BE41F50">
      <w:pPr>
        <w:pStyle w:val="10"/>
        <w:rPr>
          <w:rFonts w:ascii="Times New Roman" w:hAnsi="Times New Roman" w:cs="Times New Roman"/>
          <w:color w:val="auto"/>
          <w:sz w:val="72"/>
          <w:szCs w:val="72"/>
        </w:rPr>
      </w:pPr>
    </w:p>
    <w:p w14:paraId="7FE5B46D">
      <w:pPr>
        <w:pStyle w:val="10"/>
        <w:rPr>
          <w:rFonts w:ascii="Times New Roman" w:hAnsi="Times New Roman" w:cs="Times New Roman"/>
          <w:color w:val="auto"/>
          <w:sz w:val="72"/>
          <w:szCs w:val="72"/>
        </w:rPr>
      </w:pPr>
    </w:p>
    <w:p w14:paraId="77C7BB90">
      <w:pPr>
        <w:pStyle w:val="10"/>
        <w:jc w:val="center"/>
        <w:rPr>
          <w:rFonts w:ascii="Times New Roman" w:hAnsi="Times New Roman" w:eastAsia="方正小标宋简体" w:cs="Times New Roman"/>
          <w:color w:val="auto"/>
          <w:sz w:val="52"/>
          <w:szCs w:val="52"/>
        </w:rPr>
      </w:pPr>
      <w:r>
        <w:rPr>
          <w:rFonts w:ascii="Times New Roman" w:hAnsi="Times New Roman" w:eastAsia="方正小标宋简体" w:cs="Times New Roman"/>
          <w:color w:val="auto"/>
          <w:sz w:val="52"/>
          <w:szCs w:val="52"/>
        </w:rPr>
        <w:t>第五部分</w:t>
      </w:r>
    </w:p>
    <w:p w14:paraId="7A18B8C7">
      <w:pPr>
        <w:pStyle w:val="10"/>
        <w:jc w:val="center"/>
        <w:rPr>
          <w:rFonts w:ascii="Times New Roman" w:hAnsi="Times New Roman" w:eastAsia="方正小标宋简体" w:cs="Times New Roman"/>
          <w:color w:val="auto"/>
          <w:sz w:val="52"/>
          <w:szCs w:val="52"/>
        </w:rPr>
      </w:pPr>
    </w:p>
    <w:p w14:paraId="06E57E3B">
      <w:pPr>
        <w:spacing w:line="600" w:lineRule="exact"/>
        <w:jc w:val="center"/>
        <w:rPr>
          <w:rFonts w:ascii="Times New Roman" w:hAnsi="Times New Roman" w:eastAsia="仿宋" w:cs="Times New Roman"/>
          <w:kern w:val="0"/>
          <w:sz w:val="32"/>
          <w:szCs w:val="32"/>
        </w:rPr>
      </w:pPr>
      <w:r>
        <w:rPr>
          <w:rFonts w:ascii="Times New Roman" w:hAnsi="Times New Roman" w:eastAsia="方正小标宋简体" w:cs="Times New Roman"/>
          <w:sz w:val="52"/>
          <w:szCs w:val="52"/>
        </w:rPr>
        <w:t>其  他</w:t>
      </w:r>
      <w:r>
        <w:rPr>
          <w:rFonts w:ascii="Times New Roman" w:hAnsi="Times New Roman" w:eastAsia="方正小标宋简体" w:cs="Times New Roman"/>
          <w:sz w:val="52"/>
          <w:szCs w:val="52"/>
        </w:rPr>
        <w:br w:type="page"/>
      </w:r>
    </w:p>
    <w:p w14:paraId="0AE44409">
      <w:pPr>
        <w:spacing w:line="64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2019年度部门整体支出绩效评价报告</w:t>
      </w:r>
    </w:p>
    <w:p w14:paraId="65B1CC7F">
      <w:pPr>
        <w:spacing w:line="640" w:lineRule="exact"/>
        <w:ind w:firstLine="640" w:firstLineChars="200"/>
        <w:rPr>
          <w:rFonts w:ascii="Times New Roman" w:hAnsi="Times New Roman" w:eastAsia="仿宋" w:cs="Times New Roman"/>
          <w:kern w:val="0"/>
          <w:sz w:val="32"/>
          <w:szCs w:val="32"/>
        </w:rPr>
      </w:pPr>
    </w:p>
    <w:p w14:paraId="2B16DB94">
      <w:pPr>
        <w:spacing w:line="64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一、项目概况</w:t>
      </w:r>
    </w:p>
    <w:p w14:paraId="4B6D2D41">
      <w:pPr>
        <w:overflowPunct w:val="0"/>
        <w:spacing w:line="600" w:lineRule="exact"/>
        <w:ind w:firstLine="640" w:firstLineChars="20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（一）部门基本情况</w:t>
      </w:r>
    </w:p>
    <w:p w14:paraId="3FAC83C9">
      <w:pPr>
        <w:overflowPunct w:val="0"/>
        <w:snapToGrid w:val="0"/>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1．主要职能</w:t>
      </w:r>
    </w:p>
    <w:p w14:paraId="57250E62">
      <w:pPr>
        <w:pStyle w:val="5"/>
        <w:widowControl/>
        <w:spacing w:before="0" w:beforeAutospacing="0" w:after="0" w:afterAutospacing="0" w:line="600" w:lineRule="atLeast"/>
        <w:ind w:firstLine="645"/>
        <w:rPr>
          <w:rFonts w:ascii="Times New Roman" w:hAnsi="Times New Roman" w:eastAsia="微软雅黑"/>
          <w:sz w:val="32"/>
          <w:szCs w:val="32"/>
        </w:rPr>
      </w:pPr>
      <w:r>
        <w:rPr>
          <w:rFonts w:ascii="Times New Roman" w:hAnsi="Times New Roman" w:eastAsia="仿宋_GB2312"/>
          <w:sz w:val="32"/>
          <w:szCs w:val="32"/>
        </w:rPr>
        <w:t>醴陵市委组织部为全额拨款党群单位，主管组织、干部和人才工作。本部门主要职责是：</w:t>
      </w:r>
    </w:p>
    <w:p w14:paraId="39E2AB63">
      <w:pPr>
        <w:pStyle w:val="5"/>
        <w:widowControl/>
        <w:spacing w:before="0" w:beforeAutospacing="0" w:after="0" w:afterAutospacing="0" w:line="600" w:lineRule="atLeast"/>
        <w:ind w:firstLine="645"/>
        <w:rPr>
          <w:rFonts w:ascii="Times New Roman" w:hAnsi="Times New Roman" w:eastAsia="微软雅黑"/>
          <w:sz w:val="32"/>
          <w:szCs w:val="32"/>
        </w:rPr>
      </w:pPr>
      <w:r>
        <w:rPr>
          <w:rFonts w:ascii="Times New Roman" w:hAnsi="Times New Roman" w:eastAsia="仿宋_GB2312"/>
          <w:sz w:val="32"/>
          <w:szCs w:val="32"/>
        </w:rPr>
        <w:t>（一）负责研究和指导全市党组织建设，探索党组织的设置形式和工作方式等有关问题；研究新时期党建工作；组织开展党的建设理论研究；负责党代表的联络，服务，指导工作。组织党代表开展培训，调研，视察等工作；负责党员管理和发展工作，做好党员培训工作规划落实、远教站点学用管理、农民大学生培养计划实施等工作；负责全市村级活动场所和社区建设，做好村级干部教育培训工作，负责离任村干部生活补贴的审批工作</w:t>
      </w:r>
      <w:r>
        <w:rPr>
          <w:rFonts w:ascii="Times New Roman" w:hAnsi="Times New Roman" w:eastAsia="微软雅黑"/>
          <w:sz w:val="32"/>
          <w:szCs w:val="32"/>
        </w:rPr>
        <w:t>.</w:t>
      </w:r>
    </w:p>
    <w:p w14:paraId="28A304BF">
      <w:pPr>
        <w:pStyle w:val="5"/>
        <w:widowControl/>
        <w:spacing w:before="0" w:beforeAutospacing="0" w:after="0" w:afterAutospacing="0" w:line="600" w:lineRule="atLeast"/>
        <w:ind w:firstLine="645"/>
        <w:rPr>
          <w:rFonts w:ascii="Times New Roman" w:hAnsi="Times New Roman" w:eastAsia="微软雅黑"/>
          <w:sz w:val="32"/>
          <w:szCs w:val="32"/>
        </w:rPr>
      </w:pPr>
      <w:r>
        <w:rPr>
          <w:rFonts w:ascii="Times New Roman" w:hAnsi="Times New Roman" w:eastAsia="仿宋_GB2312"/>
          <w:sz w:val="32"/>
          <w:szCs w:val="32"/>
        </w:rPr>
        <w:t>（二）负责全市干部队伍建设的宏观管理，制订全市干部、人事工作的重要政策和制度；负责市委管理的干部的考察、任免、出国（境）、离（退）休审批手续的办理；承办市委管理干部的调配、交流及转业军官安置工作；承办株洲市管干部的工资、待遇、离（退）休呈报手续；负责全市干部公开选拔工作宏观指导，承办副科级以上干部公开选拔的具体工作；负责全市党委、人大、政协、群众团体和民主党派等机关参照国家公务员制度管理的组织实施和宏观指导。组织落实培养选拔中青年干部、妇女干部、少数民族干部、党外干部的有关工作。</w:t>
      </w:r>
    </w:p>
    <w:p w14:paraId="66601D2A">
      <w:pPr>
        <w:pStyle w:val="5"/>
        <w:widowControl/>
        <w:spacing w:before="0" w:beforeAutospacing="0" w:after="0" w:afterAutospacing="0" w:line="600" w:lineRule="atLeast"/>
        <w:ind w:firstLine="645"/>
        <w:rPr>
          <w:rFonts w:ascii="Times New Roman" w:hAnsi="Times New Roman" w:eastAsia="微软雅黑"/>
          <w:sz w:val="32"/>
          <w:szCs w:val="32"/>
        </w:rPr>
      </w:pPr>
      <w:r>
        <w:rPr>
          <w:rFonts w:ascii="Times New Roman" w:hAnsi="Times New Roman" w:eastAsia="仿宋_GB2312"/>
          <w:sz w:val="32"/>
          <w:szCs w:val="32"/>
        </w:rPr>
        <w:t>（三）研究全市组织系统信息网络建设；负责党内统计和干部统计的工作；负责市管干部人事档案管理工作，指导全市档案管理工作。</w:t>
      </w:r>
    </w:p>
    <w:p w14:paraId="26737327">
      <w:pPr>
        <w:pStyle w:val="5"/>
        <w:widowControl/>
        <w:spacing w:before="0" w:beforeAutospacing="0" w:after="0" w:afterAutospacing="0" w:line="600" w:lineRule="atLeast"/>
        <w:ind w:firstLine="645"/>
        <w:rPr>
          <w:rFonts w:ascii="Times New Roman" w:hAnsi="Times New Roman" w:eastAsia="微软雅黑"/>
          <w:sz w:val="32"/>
          <w:szCs w:val="32"/>
        </w:rPr>
      </w:pPr>
      <w:r>
        <w:rPr>
          <w:rFonts w:ascii="Times New Roman" w:hAnsi="Times New Roman" w:eastAsia="仿宋_GB2312"/>
          <w:sz w:val="32"/>
          <w:szCs w:val="32"/>
        </w:rPr>
        <w:t>（四）负责干部监督工作的指导和实施，负责全市组织工作和干部工作的督促检查，及时向省委组织部、株洲市委组织部和醴陵市委反映重要情况，对反映领导班子和领导干部的重要问题进行调查了解和督办；负责有关干部监督制度落实情况的督查和历史遗留问题的审查。</w:t>
      </w:r>
    </w:p>
    <w:p w14:paraId="66B1F60B">
      <w:pPr>
        <w:pStyle w:val="5"/>
        <w:widowControl/>
        <w:spacing w:before="0" w:beforeAutospacing="0" w:after="0" w:afterAutospacing="0" w:line="600" w:lineRule="atLeast"/>
        <w:ind w:firstLine="645"/>
        <w:rPr>
          <w:rFonts w:ascii="Times New Roman" w:hAnsi="Times New Roman" w:eastAsia="微软雅黑"/>
          <w:sz w:val="32"/>
          <w:szCs w:val="32"/>
        </w:rPr>
      </w:pPr>
      <w:r>
        <w:rPr>
          <w:rFonts w:ascii="Times New Roman" w:hAnsi="Times New Roman" w:eastAsia="仿宋_GB2312"/>
          <w:sz w:val="32"/>
          <w:szCs w:val="32"/>
        </w:rPr>
        <w:t>（五）负责制订全市干部教育培训计划。指导、协调、检查全市干部教育工作；组织市委管理的干部和中青年干部以及组织（政工、人事）部门负责人等各级培训工作；负责上级调训干部的组织和协调。</w:t>
      </w:r>
    </w:p>
    <w:p w14:paraId="28EF3C9A">
      <w:pPr>
        <w:pStyle w:val="5"/>
        <w:widowControl/>
        <w:spacing w:before="0" w:beforeAutospacing="0" w:after="0" w:afterAutospacing="0" w:line="600" w:lineRule="atLeast"/>
        <w:ind w:firstLine="645"/>
        <w:rPr>
          <w:rFonts w:ascii="Times New Roman" w:hAnsi="Times New Roman" w:eastAsia="仿宋_GB2312"/>
          <w:sz w:val="32"/>
          <w:szCs w:val="32"/>
        </w:rPr>
      </w:pPr>
      <w:r>
        <w:rPr>
          <w:rFonts w:ascii="Times New Roman" w:hAnsi="Times New Roman" w:eastAsia="仿宋_GB2312"/>
          <w:sz w:val="32"/>
          <w:szCs w:val="32"/>
        </w:rPr>
        <w:t>（六）调查了解全市人才工作情况，制订或参与制订有关专业人才工作的政策；指导、协调、检查人才工作；负责市级有突出贡献专家的上报和评选工作，组织指导开展有关人才引进活动。</w:t>
      </w:r>
    </w:p>
    <w:p w14:paraId="6B68B3E4">
      <w:pPr>
        <w:pStyle w:val="5"/>
        <w:widowControl/>
        <w:spacing w:before="0" w:beforeAutospacing="0" w:after="0" w:afterAutospacing="0" w:line="600" w:lineRule="atLeast"/>
        <w:ind w:firstLine="645"/>
        <w:rPr>
          <w:rFonts w:ascii="Times New Roman" w:hAnsi="Times New Roman" w:eastAsia="仿宋_GB2312"/>
          <w:sz w:val="32"/>
          <w:szCs w:val="32"/>
        </w:rPr>
      </w:pPr>
      <w:r>
        <w:rPr>
          <w:rFonts w:ascii="Times New Roman" w:hAnsi="Times New Roman" w:eastAsia="仿宋_GB2312"/>
          <w:sz w:val="32"/>
          <w:szCs w:val="32"/>
        </w:rPr>
        <w:t>（七）管理全市老干部工作。</w:t>
      </w:r>
    </w:p>
    <w:p w14:paraId="4C1EDEDD">
      <w:pPr>
        <w:pStyle w:val="5"/>
        <w:widowControl/>
        <w:spacing w:before="0" w:beforeAutospacing="0" w:after="0" w:afterAutospacing="0" w:line="600" w:lineRule="atLeast"/>
        <w:ind w:firstLine="645"/>
        <w:rPr>
          <w:rFonts w:ascii="Times New Roman" w:hAnsi="Times New Roman" w:eastAsia="仿宋_GB2312"/>
          <w:b/>
          <w:sz w:val="32"/>
          <w:szCs w:val="32"/>
        </w:rPr>
      </w:pPr>
      <w:r>
        <w:rPr>
          <w:rFonts w:ascii="Times New Roman" w:hAnsi="Times New Roman" w:eastAsia="仿宋_GB2312"/>
          <w:sz w:val="32"/>
          <w:szCs w:val="32"/>
        </w:rPr>
        <w:t>（八）指导、管理和协调党校。</w:t>
      </w:r>
    </w:p>
    <w:p w14:paraId="248AA2C5">
      <w:pPr>
        <w:overflowPunct w:val="0"/>
        <w:spacing w:line="600" w:lineRule="exact"/>
        <w:ind w:firstLine="640" w:firstLineChars="200"/>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2．机构情况</w:t>
      </w:r>
    </w:p>
    <w:p w14:paraId="273C407E">
      <w:pPr>
        <w:pStyle w:val="10"/>
        <w:overflowPunct w:val="0"/>
        <w:spacing w:line="58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醴陵市组织部含一个所属参公单位、一个所属事业单位：党员教育中心、人才服务中心。</w:t>
      </w:r>
    </w:p>
    <w:p w14:paraId="3EC2C6C3">
      <w:pPr>
        <w:overflowPunct w:val="0"/>
        <w:spacing w:line="600" w:lineRule="exact"/>
        <w:ind w:firstLine="640" w:firstLineChars="200"/>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3. 人员情况</w:t>
      </w:r>
    </w:p>
    <w:p w14:paraId="0432FA28">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行政编制24人、事业编制6人，聘用制人员2人。</w:t>
      </w:r>
    </w:p>
    <w:p w14:paraId="5192517D">
      <w:pPr>
        <w:overflowPunct w:val="0"/>
        <w:spacing w:line="600" w:lineRule="exact"/>
        <w:ind w:firstLine="616" w:firstLineChars="200"/>
        <w:rPr>
          <w:rFonts w:ascii="Times New Roman" w:hAnsi="Times New Roman" w:eastAsia="楷体_GB2312" w:cs="Times New Roman"/>
          <w:b/>
          <w:spacing w:val="-6"/>
          <w:kern w:val="0"/>
          <w:sz w:val="32"/>
          <w:szCs w:val="32"/>
        </w:rPr>
      </w:pPr>
      <w:r>
        <w:rPr>
          <w:rFonts w:ascii="Times New Roman" w:hAnsi="Times New Roman" w:eastAsia="楷体_GB2312" w:cs="Times New Roman"/>
          <w:b/>
          <w:spacing w:val="-6"/>
          <w:kern w:val="0"/>
          <w:sz w:val="32"/>
          <w:szCs w:val="32"/>
        </w:rPr>
        <w:t>（二）部门整体支出规模、使用方向和主要内容、涉及范围等</w:t>
      </w:r>
    </w:p>
    <w:p w14:paraId="33D21425">
      <w:pPr>
        <w:pStyle w:val="10"/>
        <w:overflowPunct w:val="0"/>
        <w:spacing w:line="580" w:lineRule="exact"/>
        <w:ind w:firstLine="640" w:firstLineChars="200"/>
        <w:jc w:val="both"/>
        <w:rPr>
          <w:rFonts w:ascii="Times New Roman" w:hAnsi="Times New Roman" w:eastAsia="楷体" w:cs="Times New Roman"/>
          <w:color w:val="auto"/>
          <w:sz w:val="32"/>
          <w:szCs w:val="32"/>
        </w:rPr>
      </w:pPr>
      <w:r>
        <w:rPr>
          <w:rFonts w:ascii="Times New Roman" w:hAnsi="Times New Roman" w:eastAsia="仿宋_GB2312" w:cs="Times New Roman"/>
          <w:color w:val="auto"/>
          <w:sz w:val="32"/>
          <w:szCs w:val="32"/>
        </w:rPr>
        <w:t>2019年度全年总体支出1276.11万元，其中基本支出565.67万元，包括工资福利性支出、一般商品和服务支出、对个人和家庭的补助支出以及工作性项目支出；预算内重点项目支出710.44万元，包括远程教育、党内专题学习教育、党代表活动、干部大组工公务员网及信息网维护、干部外出培训、人才战略、干部集中培训、柔性引才用才、农民大学生培养计划、党员干部慰问、党内关怀基金、高校毕业生到基层任职补助、株洲市选派退出领导岗位干部到村任职工作、机关“五化”建设、机关支部党建活动十三个项目。</w:t>
      </w:r>
    </w:p>
    <w:p w14:paraId="2FB23D1A">
      <w:pPr>
        <w:spacing w:line="64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二、项目资金使用及管理情况</w:t>
      </w:r>
    </w:p>
    <w:p w14:paraId="1F03878D">
      <w:pPr>
        <w:spacing w:line="600" w:lineRule="exact"/>
        <w:ind w:firstLine="640" w:firstLineChars="200"/>
        <w:rPr>
          <w:rFonts w:ascii="Times New Roman" w:hAnsi="Times New Roman" w:eastAsia="楷体" w:cs="Times New Roman"/>
          <w:b/>
          <w:color w:val="000000" w:themeColor="text1"/>
          <w:kern w:val="0"/>
          <w:sz w:val="32"/>
          <w:szCs w:val="32"/>
          <w14:textFill>
            <w14:solidFill>
              <w14:schemeClr w14:val="tx1"/>
            </w14:solidFill>
          </w14:textFill>
        </w:rPr>
      </w:pPr>
      <w:r>
        <w:rPr>
          <w:rFonts w:ascii="Times New Roman" w:hAnsi="Times New Roman" w:eastAsia="楷体" w:cs="Times New Roman"/>
          <w:b/>
          <w:color w:val="000000" w:themeColor="text1"/>
          <w:kern w:val="0"/>
          <w:sz w:val="32"/>
          <w:szCs w:val="32"/>
          <w14:textFill>
            <w14:solidFill>
              <w14:schemeClr w14:val="tx1"/>
            </w14:solidFill>
          </w14:textFill>
        </w:rPr>
        <w:t>（一）基本支出</w:t>
      </w:r>
    </w:p>
    <w:p w14:paraId="6462204F">
      <w:pPr>
        <w:spacing w:line="600" w:lineRule="exact"/>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仿宋" w:cs="Times New Roman"/>
          <w:color w:val="000000" w:themeColor="text1"/>
          <w:kern w:val="0"/>
          <w:sz w:val="32"/>
          <w:szCs w:val="32"/>
          <w14:textFill>
            <w14:solidFill>
              <w14:schemeClr w14:val="tx1"/>
            </w14:solidFill>
          </w14:textFill>
        </w:rPr>
        <w:t>基本支出565.67万元，主要用于日常开支，其中按经济科目分类：工资福利支出365.73.万元 、商品和服务支出125.18万元、对个人和家庭的补助74.76万元。三公经费支出情况：2019年度部门预算安排“三公”经费12.3万元，实际支出8.89万元。其中公务接待费1.59万元，因公出国（境）支出7.3万元。</w:t>
      </w:r>
    </w:p>
    <w:p w14:paraId="4760E869">
      <w:pPr>
        <w:spacing w:line="600" w:lineRule="exact"/>
        <w:ind w:firstLine="640" w:firstLineChars="200"/>
        <w:rPr>
          <w:rFonts w:ascii="Times New Roman" w:hAnsi="Times New Roman" w:eastAsia="楷体" w:cs="Times New Roman"/>
          <w:b/>
          <w:color w:val="000000" w:themeColor="text1"/>
          <w:kern w:val="0"/>
          <w:sz w:val="32"/>
          <w:szCs w:val="32"/>
          <w14:textFill>
            <w14:solidFill>
              <w14:schemeClr w14:val="tx1"/>
            </w14:solidFill>
          </w14:textFill>
        </w:rPr>
      </w:pPr>
      <w:r>
        <w:rPr>
          <w:rFonts w:ascii="Times New Roman" w:hAnsi="Times New Roman" w:eastAsia="楷体" w:cs="Times New Roman"/>
          <w:b/>
          <w:color w:val="000000" w:themeColor="text1"/>
          <w:kern w:val="0"/>
          <w:sz w:val="32"/>
          <w:szCs w:val="32"/>
          <w14:textFill>
            <w14:solidFill>
              <w14:schemeClr w14:val="tx1"/>
            </w14:solidFill>
          </w14:textFill>
        </w:rPr>
        <w:t>（二）专项支出</w:t>
      </w:r>
    </w:p>
    <w:p w14:paraId="378BEAF5">
      <w:pPr>
        <w:spacing w:line="600" w:lineRule="exact"/>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仿宋" w:cs="Times New Roman"/>
          <w:color w:val="000000" w:themeColor="text1"/>
          <w:kern w:val="0"/>
          <w:sz w:val="32"/>
          <w:szCs w:val="32"/>
          <w14:textFill>
            <w14:solidFill>
              <w14:schemeClr w14:val="tx1"/>
            </w14:solidFill>
          </w14:textFill>
        </w:rPr>
        <w:t>专项资金财政预算拨款4</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76.32</w:t>
      </w:r>
      <w:r>
        <w:rPr>
          <w:rFonts w:ascii="Times New Roman" w:hAnsi="Times New Roman" w:eastAsia="仿宋" w:cs="Times New Roman"/>
          <w:color w:val="000000" w:themeColor="text1"/>
          <w:kern w:val="0"/>
          <w:sz w:val="32"/>
          <w:szCs w:val="32"/>
          <w14:textFill>
            <w14:solidFill>
              <w14:schemeClr w14:val="tx1"/>
            </w14:solidFill>
          </w14:textFill>
        </w:rPr>
        <w:t>万元，2019年度项目支出710.44万元(含上年结转）。</w:t>
      </w:r>
    </w:p>
    <w:p w14:paraId="1CAB04B3">
      <w:pPr>
        <w:spacing w:line="600" w:lineRule="exact"/>
        <w:ind w:firstLine="616" w:firstLineChars="200"/>
        <w:rPr>
          <w:rFonts w:ascii="Times New Roman" w:hAnsi="Times New Roman" w:eastAsia="仿宋" w:cs="Times New Roman"/>
          <w:color w:val="000000" w:themeColor="text1"/>
          <w:spacing w:val="-6"/>
          <w:kern w:val="0"/>
          <w:sz w:val="32"/>
          <w:szCs w:val="32"/>
          <w14:textFill>
            <w14:solidFill>
              <w14:schemeClr w14:val="tx1"/>
            </w14:solidFill>
          </w14:textFill>
        </w:rPr>
      </w:pPr>
      <w:r>
        <w:rPr>
          <w:rFonts w:ascii="Times New Roman" w:hAnsi="Times New Roman" w:eastAsia="仿宋" w:cs="Times New Roman"/>
          <w:color w:val="000000" w:themeColor="text1"/>
          <w:spacing w:val="-6"/>
          <w:kern w:val="0"/>
          <w:sz w:val="32"/>
          <w:szCs w:val="32"/>
          <w14:textFill>
            <w14:solidFill>
              <w14:schemeClr w14:val="tx1"/>
            </w14:solidFill>
          </w14:textFill>
        </w:rPr>
        <w:t>3. 按照要求，制定了市委组织部专项资金管理制度、严格执行到位。</w:t>
      </w:r>
    </w:p>
    <w:p w14:paraId="4FCD2A1A">
      <w:pPr>
        <w:spacing w:line="64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三、项目组织实施情况</w:t>
      </w:r>
    </w:p>
    <w:p w14:paraId="22722177">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（一）按照文件要求，办理项目竣工验收手续，确保专项资金用到实处。</w:t>
      </w:r>
    </w:p>
    <w:p w14:paraId="3BA7585E">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（二）制定了市委组织部项目资金管理制度、加强了日常检查监督管理，确保专项资金安全。</w:t>
      </w:r>
    </w:p>
    <w:p w14:paraId="7A1343E0">
      <w:pPr>
        <w:spacing w:line="64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四、项目绩效情况</w:t>
      </w:r>
    </w:p>
    <w:p w14:paraId="2626C7C8">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本着经济节约为主的原则，从严控制市委组织部专项经费开支，按照预算科目和项目资金的规定使用财政资金，保障部门整体支出的规范化、制度化。</w:t>
      </w:r>
    </w:p>
    <w:p w14:paraId="4B57FFBF">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项目支出完成后，后续政策、资金、人员机构安排和管理措施等都可以继续跟进，不会影响项目的可持续性。</w:t>
      </w:r>
    </w:p>
    <w:p w14:paraId="0E2B7460">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五、存在的主要问题</w:t>
      </w:r>
    </w:p>
    <w:p w14:paraId="7B56CC8F">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预算编制与实际支出项目有的存在差异。</w:t>
      </w:r>
    </w:p>
    <w:p w14:paraId="19303E78">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六、改进措施和有关建议</w:t>
      </w:r>
    </w:p>
    <w:p w14:paraId="11AF070F">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按照预算规定的项目和用途严格财务审核，经费支出严格按照预算规定项目的财务支出内容进行财务核算，在预算金额内严格控制费用的支出。</w:t>
      </w:r>
    </w:p>
    <w:p w14:paraId="1E182765">
      <w:pPr>
        <w:spacing w:line="600" w:lineRule="exact"/>
        <w:ind w:firstLine="640" w:firstLineChars="200"/>
        <w:rPr>
          <w:rFonts w:ascii="Times New Roman" w:hAnsi="Times New Roman" w:eastAsia="仿宋" w:cs="Times New Roman"/>
          <w:kern w:val="0"/>
          <w:sz w:val="32"/>
          <w:szCs w:val="32"/>
        </w:rPr>
      </w:pPr>
    </w:p>
    <w:p w14:paraId="65712CDE">
      <w:pPr>
        <w:spacing w:line="600" w:lineRule="exact"/>
        <w:ind w:firstLine="640" w:firstLineChars="200"/>
        <w:rPr>
          <w:rFonts w:ascii="Times New Roman" w:hAnsi="Times New Roman" w:eastAsia="仿宋" w:cs="Times New Roman"/>
          <w:kern w:val="0"/>
          <w:sz w:val="32"/>
          <w:szCs w:val="32"/>
        </w:rPr>
      </w:pPr>
    </w:p>
    <w:p w14:paraId="535BC3C0">
      <w:pPr>
        <w:spacing w:line="600" w:lineRule="exact"/>
        <w:rPr>
          <w:rFonts w:ascii="Times New Roman" w:hAnsi="Times New Roman" w:eastAsia="仿宋" w:cs="Times New Roman"/>
          <w:kern w:val="0"/>
          <w:sz w:val="32"/>
          <w:szCs w:val="32"/>
        </w:rPr>
      </w:pPr>
    </w:p>
    <w:p w14:paraId="0C823DAE">
      <w:pPr>
        <w:spacing w:line="600" w:lineRule="exact"/>
        <w:jc w:val="center"/>
        <w:rPr>
          <w:rFonts w:ascii="Times New Roman" w:hAnsi="Times New Roman" w:eastAsia="方正小标宋简体" w:cs="Times New Roman"/>
          <w:bCs/>
          <w:kern w:val="0"/>
          <w:sz w:val="44"/>
          <w:szCs w:val="44"/>
        </w:rPr>
      </w:pPr>
    </w:p>
    <w:p w14:paraId="1BE301EE">
      <w:pPr>
        <w:spacing w:line="60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2019年度市委组织部干部集中培训专项资金</w:t>
      </w:r>
    </w:p>
    <w:p w14:paraId="6EF50778">
      <w:pPr>
        <w:spacing w:line="60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bCs/>
          <w:kern w:val="0"/>
          <w:sz w:val="44"/>
          <w:szCs w:val="44"/>
        </w:rPr>
        <w:t>绩效自评报告</w:t>
      </w:r>
    </w:p>
    <w:p w14:paraId="5BCE21E7">
      <w:pPr>
        <w:spacing w:line="600" w:lineRule="exact"/>
        <w:ind w:firstLine="640" w:firstLineChars="200"/>
        <w:rPr>
          <w:rFonts w:ascii="Times New Roman" w:hAnsi="Times New Roman" w:eastAsia="仿宋" w:cs="Times New Roman"/>
          <w:kern w:val="0"/>
          <w:sz w:val="32"/>
          <w:szCs w:val="32"/>
        </w:rPr>
      </w:pPr>
    </w:p>
    <w:p w14:paraId="4167804D">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一、项目概况</w:t>
      </w:r>
    </w:p>
    <w:p w14:paraId="79E597AE">
      <w:pPr>
        <w:spacing w:line="600" w:lineRule="exact"/>
        <w:ind w:firstLine="640" w:firstLineChars="200"/>
        <w:rPr>
          <w:rFonts w:ascii="Times New Roman" w:hAnsi="Times New Roman" w:eastAsia="楷体" w:cs="Times New Roman"/>
          <w:b/>
          <w:kern w:val="0"/>
          <w:sz w:val="32"/>
          <w:szCs w:val="32"/>
        </w:rPr>
      </w:pPr>
      <w:r>
        <w:rPr>
          <w:rFonts w:ascii="Times New Roman" w:hAnsi="Times New Roman" w:eastAsia="楷体" w:cs="Times New Roman"/>
          <w:b/>
          <w:kern w:val="0"/>
          <w:sz w:val="32"/>
          <w:szCs w:val="32"/>
        </w:rPr>
        <w:t>（一）项目单位基本情况。</w:t>
      </w:r>
    </w:p>
    <w:p w14:paraId="21CEEAB3">
      <w:pPr>
        <w:pStyle w:val="5"/>
        <w:widowControl/>
        <w:spacing w:before="0" w:beforeAutospacing="0" w:after="0" w:afterAutospacing="0" w:line="600" w:lineRule="atLeast"/>
        <w:ind w:firstLine="645"/>
        <w:rPr>
          <w:rFonts w:ascii="Times New Roman" w:hAnsi="Times New Roman" w:eastAsia="微软雅黑"/>
          <w:szCs w:val="24"/>
        </w:rPr>
      </w:pPr>
      <w:r>
        <w:rPr>
          <w:rFonts w:ascii="Times New Roman" w:hAnsi="Times New Roman" w:eastAsia="仿宋_GB2312"/>
          <w:sz w:val="31"/>
          <w:szCs w:val="31"/>
        </w:rPr>
        <w:t>醴陵市委组织部为全额拨款党群单位，主管组织、干部和人才工作。本部门主要职责是：</w:t>
      </w:r>
    </w:p>
    <w:p w14:paraId="72F4A7A1">
      <w:pPr>
        <w:pStyle w:val="5"/>
        <w:widowControl/>
        <w:spacing w:before="0" w:beforeAutospacing="0" w:after="0" w:afterAutospacing="0" w:line="600" w:lineRule="atLeast"/>
        <w:ind w:firstLine="645"/>
        <w:rPr>
          <w:rFonts w:ascii="Times New Roman" w:hAnsi="Times New Roman" w:eastAsia="微软雅黑"/>
          <w:szCs w:val="24"/>
        </w:rPr>
      </w:pPr>
      <w:r>
        <w:rPr>
          <w:rFonts w:ascii="Times New Roman" w:hAnsi="Times New Roman" w:eastAsia="仿宋_GB2312"/>
          <w:sz w:val="31"/>
          <w:szCs w:val="31"/>
        </w:rPr>
        <w:t>（一）负责研究和指导全市党组织建设，探索党组织的设置形式和工作方式等有关问题；研究新时期党建工作；组织开展党的建设理论研究；负责党代表的联络，服务，指导工作。组织党代表开展培训，调研，视察等工作；负责党员管理和发展工作，做好党员培训工作规划落实、远教站点学用管理、农民大学生培养计划实施等工作；负责全市村级活动场所和社区建设，做好村级干部教育培训工作，负责离任村干部生活补贴的审批工作</w:t>
      </w:r>
      <w:r>
        <w:rPr>
          <w:rFonts w:ascii="Times New Roman" w:hAnsi="Times New Roman" w:eastAsia="微软雅黑"/>
          <w:sz w:val="31"/>
          <w:szCs w:val="31"/>
        </w:rPr>
        <w:t>.</w:t>
      </w:r>
    </w:p>
    <w:p w14:paraId="0924BC0A">
      <w:pPr>
        <w:pStyle w:val="5"/>
        <w:widowControl/>
        <w:spacing w:before="0" w:beforeAutospacing="0" w:after="0" w:afterAutospacing="0" w:line="600" w:lineRule="atLeast"/>
        <w:ind w:firstLine="645"/>
        <w:rPr>
          <w:rFonts w:ascii="Times New Roman" w:hAnsi="Times New Roman" w:eastAsia="微软雅黑"/>
          <w:szCs w:val="24"/>
        </w:rPr>
      </w:pPr>
      <w:r>
        <w:rPr>
          <w:rFonts w:ascii="Times New Roman" w:hAnsi="Times New Roman" w:eastAsia="仿宋_GB2312"/>
          <w:sz w:val="31"/>
          <w:szCs w:val="31"/>
        </w:rPr>
        <w:t>（二）负责全市干部队伍建设的宏观管理，制订全市干部、人事工作的重要政策和制度；负责市委管理的干部的考察、任免、出国（境）、离（退）休审批手续的办理；承办市委管理干部的调配、交流及转业军官安置工作；承办株洲市管干部的工资、待遇、离（退）休呈报手续；负责全市干部公开选拔工作宏观指导，承办副科级以上干部公开选拔的具体工作；负责全市党委、人大、政协、群众团体和民主党派等机关参照国家公务员制度管理的组织实施和宏观指导。组织落实培养选拔中青年干部、妇女干部、少数民族干部、党外干部的有关工作。</w:t>
      </w:r>
    </w:p>
    <w:p w14:paraId="72645FF8">
      <w:pPr>
        <w:pStyle w:val="5"/>
        <w:widowControl/>
        <w:spacing w:before="0" w:beforeAutospacing="0" w:after="0" w:afterAutospacing="0" w:line="600" w:lineRule="atLeast"/>
        <w:ind w:firstLine="645"/>
        <w:rPr>
          <w:rFonts w:ascii="Times New Roman" w:hAnsi="Times New Roman" w:eastAsia="微软雅黑"/>
          <w:szCs w:val="24"/>
        </w:rPr>
      </w:pPr>
      <w:r>
        <w:rPr>
          <w:rFonts w:ascii="Times New Roman" w:hAnsi="Times New Roman" w:eastAsia="仿宋_GB2312"/>
          <w:sz w:val="31"/>
          <w:szCs w:val="31"/>
        </w:rPr>
        <w:t>（三）研究全市组织系统信息网络建设；负责党内统计和干部统计的工作；负责市管干部人事档案管理工作，指导全市档案管理工作。</w:t>
      </w:r>
    </w:p>
    <w:p w14:paraId="197D7075">
      <w:pPr>
        <w:pStyle w:val="5"/>
        <w:widowControl/>
        <w:spacing w:before="0" w:beforeAutospacing="0" w:after="0" w:afterAutospacing="0" w:line="600" w:lineRule="atLeast"/>
        <w:ind w:firstLine="645"/>
        <w:rPr>
          <w:rFonts w:ascii="Times New Roman" w:hAnsi="Times New Roman" w:eastAsia="微软雅黑"/>
          <w:szCs w:val="24"/>
        </w:rPr>
      </w:pPr>
      <w:r>
        <w:rPr>
          <w:rFonts w:ascii="Times New Roman" w:hAnsi="Times New Roman" w:eastAsia="仿宋_GB2312"/>
          <w:sz w:val="31"/>
          <w:szCs w:val="31"/>
        </w:rPr>
        <w:t>（四）负责干部监督工作的指导和实施，负责全市组织工作和干部工作的督促检查，及时向省委组织部、株洲市委组织部和醴陵市委反映重要情况，对反映领导班子和领导干部的重要问题进行调查了解和督办；负责有关干部监督制度落实情况的督查和历史遗留问题的审查。</w:t>
      </w:r>
    </w:p>
    <w:p w14:paraId="162FE7A9">
      <w:pPr>
        <w:pStyle w:val="5"/>
        <w:widowControl/>
        <w:spacing w:before="0" w:beforeAutospacing="0" w:after="0" w:afterAutospacing="0" w:line="600" w:lineRule="atLeast"/>
        <w:ind w:firstLine="645"/>
        <w:rPr>
          <w:rFonts w:ascii="Times New Roman" w:hAnsi="Times New Roman" w:eastAsia="微软雅黑"/>
          <w:szCs w:val="24"/>
        </w:rPr>
      </w:pPr>
      <w:r>
        <w:rPr>
          <w:rFonts w:ascii="Times New Roman" w:hAnsi="Times New Roman" w:eastAsia="仿宋_GB2312"/>
          <w:sz w:val="31"/>
          <w:szCs w:val="31"/>
        </w:rPr>
        <w:t>（五）负责制订全市干部教育培训计划。指导、协调、检查全市干部教育工作；组织市委管理的干部和中青年干部以及组织（政工、人事）部门负责人等各级培训工作；负责上级调训干部的组织和协调。</w:t>
      </w:r>
    </w:p>
    <w:p w14:paraId="79F179CF">
      <w:pPr>
        <w:pStyle w:val="5"/>
        <w:widowControl/>
        <w:spacing w:before="0" w:beforeAutospacing="0" w:after="0" w:afterAutospacing="0" w:line="600" w:lineRule="atLeast"/>
        <w:ind w:firstLine="645"/>
        <w:rPr>
          <w:rFonts w:ascii="Times New Roman" w:hAnsi="Times New Roman" w:eastAsia="仿宋_GB2312"/>
          <w:sz w:val="31"/>
          <w:szCs w:val="31"/>
        </w:rPr>
      </w:pPr>
      <w:r>
        <w:rPr>
          <w:rFonts w:ascii="Times New Roman" w:hAnsi="Times New Roman" w:eastAsia="仿宋_GB2312"/>
          <w:sz w:val="31"/>
          <w:szCs w:val="31"/>
        </w:rPr>
        <w:t>（六）调查了解全市人才工作情况，制订或参与制订有关专业人才工作的政策；指导、协调、检查人才工作；负责市级有突出贡献专家的上报和评选工作，组织指导开展有关人才引进活动。</w:t>
      </w:r>
    </w:p>
    <w:p w14:paraId="4A0A17D4">
      <w:pPr>
        <w:pStyle w:val="5"/>
        <w:widowControl/>
        <w:spacing w:before="0" w:beforeAutospacing="0" w:after="0" w:afterAutospacing="0" w:line="600" w:lineRule="atLeast"/>
        <w:ind w:firstLine="645"/>
        <w:rPr>
          <w:rFonts w:ascii="Times New Roman" w:hAnsi="Times New Roman" w:eastAsia="仿宋_GB2312"/>
          <w:sz w:val="31"/>
          <w:szCs w:val="31"/>
        </w:rPr>
      </w:pPr>
      <w:r>
        <w:rPr>
          <w:rFonts w:ascii="Times New Roman" w:hAnsi="Times New Roman" w:eastAsia="仿宋_GB2312"/>
          <w:sz w:val="31"/>
          <w:szCs w:val="31"/>
        </w:rPr>
        <w:t>（七）管理全市老干部工作。</w:t>
      </w:r>
    </w:p>
    <w:p w14:paraId="1B7A0384">
      <w:pPr>
        <w:pStyle w:val="5"/>
        <w:widowControl/>
        <w:spacing w:before="0" w:beforeAutospacing="0" w:after="0" w:afterAutospacing="0" w:line="600" w:lineRule="atLeast"/>
        <w:ind w:firstLine="645"/>
        <w:rPr>
          <w:rFonts w:ascii="Times New Roman" w:hAnsi="Times New Roman" w:eastAsia="仿宋_GB2312"/>
          <w:b/>
          <w:sz w:val="32"/>
          <w:szCs w:val="32"/>
        </w:rPr>
      </w:pPr>
      <w:r>
        <w:rPr>
          <w:rFonts w:ascii="Times New Roman" w:hAnsi="Times New Roman" w:eastAsia="仿宋_GB2312"/>
          <w:sz w:val="31"/>
          <w:szCs w:val="31"/>
        </w:rPr>
        <w:t>（八）指导、管理和协调党校。</w:t>
      </w:r>
    </w:p>
    <w:p w14:paraId="52EA9196">
      <w:pPr>
        <w:spacing w:line="600" w:lineRule="exact"/>
        <w:ind w:firstLine="616" w:firstLineChars="200"/>
        <w:rPr>
          <w:rFonts w:ascii="Times New Roman" w:hAnsi="Times New Roman" w:eastAsia="楷体_GB2312" w:cs="Times New Roman"/>
          <w:b/>
          <w:spacing w:val="-6"/>
          <w:kern w:val="0"/>
          <w:sz w:val="32"/>
          <w:szCs w:val="32"/>
        </w:rPr>
      </w:pPr>
      <w:r>
        <w:rPr>
          <w:rFonts w:ascii="Times New Roman" w:hAnsi="Times New Roman" w:eastAsia="楷体_GB2312" w:cs="Times New Roman"/>
          <w:b w:val="0"/>
          <w:bCs/>
          <w:spacing w:val="-6"/>
          <w:kern w:val="0"/>
          <w:sz w:val="32"/>
          <w:szCs w:val="32"/>
        </w:rPr>
        <w:t>（二）干部集中培训工作经费主要用于在市内开展的培训工作</w:t>
      </w:r>
      <w:r>
        <w:rPr>
          <w:rFonts w:ascii="Times New Roman" w:hAnsi="Times New Roman" w:eastAsia="楷体_GB2312" w:cs="Times New Roman"/>
          <w:b/>
          <w:spacing w:val="-6"/>
          <w:kern w:val="0"/>
          <w:sz w:val="32"/>
          <w:szCs w:val="32"/>
        </w:rPr>
        <w:t>。</w:t>
      </w:r>
    </w:p>
    <w:p w14:paraId="2EE8D801">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二、项目资金使用及管理情况</w:t>
      </w:r>
    </w:p>
    <w:p w14:paraId="1BC15850">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（一）2019年度年初预算数为56万元，实际使用48万元。</w:t>
      </w:r>
    </w:p>
    <w:p w14:paraId="1A5B677E">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（二）按照要求，制定了干部集中培训工作经费管理制度、严格执行到位。</w:t>
      </w:r>
    </w:p>
    <w:p w14:paraId="63F54AF4">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三、项目组织实施情况</w:t>
      </w:r>
    </w:p>
    <w:p w14:paraId="7C8F9778">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（一）该专项不涉及项目招投标、调整、竣工验收等情况。</w:t>
      </w:r>
    </w:p>
    <w:p w14:paraId="02FAA941">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（二）制定了干部集中培训工作经费管理制度、加强了日常检查监督管理，确保专项资金安全。</w:t>
      </w:r>
    </w:p>
    <w:p w14:paraId="104056A4">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四、项目绩效情况</w:t>
      </w:r>
    </w:p>
    <w:p w14:paraId="64AEA8E1">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本着经济节约为主的原则，从严控制经费开支，按照预算科目和项目资金的规定使用财政资金，保障部门整体支出的规范化、制度化。</w:t>
      </w:r>
    </w:p>
    <w:p w14:paraId="4FE7B8FA">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各项培训工作高效完成。项目支出完成后，后续政策、资金、人员机构安排和管理措施等都可以继续跟进，不会影响项目的可持续性。</w:t>
      </w:r>
    </w:p>
    <w:p w14:paraId="47356043">
      <w:pPr>
        <w:spacing w:line="600" w:lineRule="exact"/>
        <w:ind w:firstLine="640" w:firstLineChars="200"/>
        <w:rPr>
          <w:rFonts w:ascii="Times New Roman" w:hAnsi="Times New Roman" w:eastAsia="仿宋" w:cs="Times New Roman"/>
          <w:kern w:val="0"/>
          <w:sz w:val="32"/>
          <w:szCs w:val="32"/>
        </w:rPr>
      </w:pPr>
    </w:p>
    <w:p w14:paraId="1D89F78F">
      <w:pPr>
        <w:spacing w:line="600" w:lineRule="exact"/>
        <w:ind w:firstLine="640" w:firstLineChars="200"/>
        <w:rPr>
          <w:rFonts w:ascii="Times New Roman" w:hAnsi="Times New Roman" w:eastAsia="仿宋" w:cs="Times New Roman"/>
          <w:kern w:val="0"/>
          <w:sz w:val="32"/>
          <w:szCs w:val="32"/>
        </w:rPr>
      </w:pPr>
    </w:p>
    <w:p w14:paraId="64C3061A">
      <w:pPr>
        <w:spacing w:line="600" w:lineRule="exact"/>
        <w:ind w:firstLine="640" w:firstLineChars="200"/>
        <w:rPr>
          <w:rFonts w:ascii="Times New Roman" w:hAnsi="Times New Roman" w:eastAsia="仿宋" w:cs="Times New Roman"/>
          <w:kern w:val="0"/>
          <w:sz w:val="32"/>
          <w:szCs w:val="32"/>
        </w:rPr>
      </w:pPr>
    </w:p>
    <w:p w14:paraId="36729C59">
      <w:pPr>
        <w:ind w:firstLine="640" w:firstLineChars="200"/>
        <w:jc w:val="left"/>
        <w:rPr>
          <w:rFonts w:ascii="Times New Roman" w:hAnsi="Times New Roman" w:eastAsia="仿宋" w:cs="Times New Roman"/>
          <w:kern w:val="0"/>
          <w:sz w:val="32"/>
          <w:szCs w:val="32"/>
        </w:rPr>
      </w:pPr>
    </w:p>
    <w:p w14:paraId="0045BB13">
      <w:pPr>
        <w:ind w:firstLine="640" w:firstLineChars="200"/>
        <w:jc w:val="left"/>
        <w:rPr>
          <w:rFonts w:ascii="Times New Roman" w:hAnsi="Times New Roman" w:eastAsia="仿宋" w:cs="Times New Roman"/>
          <w:kern w:val="0"/>
          <w:sz w:val="32"/>
          <w:szCs w:val="32"/>
        </w:rPr>
      </w:pPr>
    </w:p>
    <w:p w14:paraId="680B0CA1">
      <w:pPr>
        <w:ind w:firstLine="640" w:firstLineChars="200"/>
        <w:jc w:val="left"/>
        <w:rPr>
          <w:rFonts w:ascii="Times New Roman" w:hAnsi="Times New Roman" w:eastAsia="仿宋" w:cs="Times New Roman"/>
          <w:kern w:val="0"/>
          <w:sz w:val="32"/>
          <w:szCs w:val="32"/>
        </w:rPr>
      </w:pPr>
    </w:p>
    <w:p w14:paraId="2D2F54E7">
      <w:pPr>
        <w:ind w:firstLine="640" w:firstLineChars="200"/>
        <w:jc w:val="left"/>
        <w:rPr>
          <w:rFonts w:ascii="Times New Roman" w:hAnsi="Times New Roman" w:eastAsia="仿宋" w:cs="Times New Roman"/>
          <w:kern w:val="0"/>
          <w:sz w:val="32"/>
          <w:szCs w:val="32"/>
        </w:rPr>
      </w:pPr>
    </w:p>
    <w:p w14:paraId="40D635CC">
      <w:pPr>
        <w:rPr>
          <w:rFonts w:ascii="Times New Roman" w:hAnsi="Times New Roman" w:cs="Times New Roman"/>
          <w:b/>
          <w:kern w:val="0"/>
          <w:sz w:val="32"/>
          <w:szCs w:val="32"/>
        </w:rPr>
      </w:pPr>
    </w:p>
    <w:p w14:paraId="1B92E57F">
      <w:pPr>
        <w:spacing w:line="600" w:lineRule="exact"/>
        <w:jc w:val="center"/>
        <w:rPr>
          <w:rFonts w:ascii="Times New Roman" w:hAnsi="Times New Roman" w:eastAsia="方正小标宋简体" w:cs="Times New Roman"/>
          <w:bCs/>
          <w:kern w:val="0"/>
          <w:sz w:val="44"/>
          <w:szCs w:val="44"/>
        </w:rPr>
      </w:pPr>
    </w:p>
    <w:p w14:paraId="68A861FC">
      <w:pPr>
        <w:spacing w:line="60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2019年度市委组织部干部外出培训专项资金</w:t>
      </w:r>
    </w:p>
    <w:p w14:paraId="21277086">
      <w:pPr>
        <w:spacing w:line="60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bCs/>
          <w:kern w:val="0"/>
          <w:sz w:val="44"/>
          <w:szCs w:val="44"/>
        </w:rPr>
        <w:t>绩效自评报告</w:t>
      </w:r>
    </w:p>
    <w:p w14:paraId="22F8A3C2">
      <w:pPr>
        <w:spacing w:line="600" w:lineRule="exact"/>
        <w:ind w:firstLine="640" w:firstLineChars="200"/>
        <w:rPr>
          <w:rFonts w:ascii="Times New Roman" w:hAnsi="Times New Roman" w:eastAsia="仿宋" w:cs="Times New Roman"/>
          <w:kern w:val="0"/>
          <w:sz w:val="32"/>
          <w:szCs w:val="32"/>
        </w:rPr>
      </w:pPr>
    </w:p>
    <w:p w14:paraId="11235848">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一、项目概况</w:t>
      </w:r>
    </w:p>
    <w:p w14:paraId="17B573E5">
      <w:pPr>
        <w:spacing w:line="600" w:lineRule="exact"/>
        <w:ind w:firstLine="640" w:firstLineChars="20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（一）项目单位基本情况。</w:t>
      </w:r>
    </w:p>
    <w:p w14:paraId="78C0AC0B">
      <w:pPr>
        <w:pStyle w:val="5"/>
        <w:widowControl/>
        <w:spacing w:before="0" w:beforeAutospacing="0" w:after="0" w:afterAutospacing="0" w:line="600" w:lineRule="atLeast"/>
        <w:ind w:firstLine="645"/>
        <w:rPr>
          <w:rFonts w:ascii="Times New Roman" w:hAnsi="Times New Roman" w:eastAsia="仿宋_GB2312"/>
          <w:sz w:val="32"/>
          <w:szCs w:val="32"/>
        </w:rPr>
      </w:pPr>
      <w:r>
        <w:rPr>
          <w:rFonts w:ascii="Times New Roman" w:hAnsi="Times New Roman" w:eastAsia="仿宋_GB2312"/>
          <w:sz w:val="32"/>
          <w:szCs w:val="32"/>
        </w:rPr>
        <w:t>醴陵市委组织部为全额拨款党群单位，主管组织、干部和人才工作。本部门主要职责是：</w:t>
      </w:r>
    </w:p>
    <w:p w14:paraId="0F37A85D">
      <w:pPr>
        <w:pStyle w:val="5"/>
        <w:widowControl/>
        <w:spacing w:before="0" w:beforeAutospacing="0" w:after="0" w:afterAutospacing="0" w:line="600" w:lineRule="atLeast"/>
        <w:ind w:firstLine="645"/>
        <w:rPr>
          <w:rFonts w:ascii="Times New Roman" w:hAnsi="Times New Roman" w:eastAsia="仿宋_GB2312"/>
          <w:sz w:val="32"/>
          <w:szCs w:val="32"/>
        </w:rPr>
      </w:pPr>
      <w:r>
        <w:rPr>
          <w:rFonts w:ascii="Times New Roman" w:hAnsi="Times New Roman" w:eastAsia="仿宋_GB2312"/>
          <w:sz w:val="32"/>
          <w:szCs w:val="32"/>
        </w:rPr>
        <w:t>（一）负责研究和指导全市党组织建设，探索党组织的设置形式和工作方式等有关问题；研究新时期党建工作；组织开展党的建设理论研究；负责党代表的联络，服务，指导工作。组织党代表开展培训，调研，视察等工作；负责党员管理和发展工作，做好党员培训工作规划落实、远教站点学用管理、农民大学生培养计划实施等工作；负责全市村级活动场所和社区建设，做好村级干部教育培训工作，负责离任村干部生活补贴的审批工作.</w:t>
      </w:r>
    </w:p>
    <w:p w14:paraId="5B857191">
      <w:pPr>
        <w:spacing w:line="600" w:lineRule="exact"/>
        <w:ind w:firstLine="640" w:firstLineChars="200"/>
        <w:rPr>
          <w:rFonts w:ascii="Times New Roman" w:hAnsi="Times New Roman" w:eastAsia="仿宋_GB2312" w:cs="Times New Roman"/>
          <w:spacing w:val="-6"/>
          <w:kern w:val="0"/>
          <w:sz w:val="32"/>
          <w:szCs w:val="32"/>
        </w:rPr>
      </w:pPr>
      <w:r>
        <w:rPr>
          <w:rFonts w:ascii="Times New Roman" w:hAnsi="Times New Roman" w:eastAsia="仿宋_GB2312" w:cs="Times New Roman"/>
          <w:sz w:val="32"/>
          <w:szCs w:val="32"/>
        </w:rPr>
        <w:t>（二）负责全市干部队伍建设的宏观管理，制订全市干部、人事工作的重要政策和制度；负责市委管理的干部的考察、任免、出国（境）、离（退）休审批手续的办理；承办市委管理干部的调配、交流及转业军官安置工作；承办株洲市管干部的工资、待遇、离（退）休呈报手续；负责全市干部公开选拔工作宏观指导，承办副科级以上干部公开选拔的具体工作；负责全市党委、人大、政协、群众团体和民主党派等机关参照国家公务员制度管理的组织实施和宏观指</w:t>
      </w:r>
      <w:r>
        <w:rPr>
          <w:rFonts w:ascii="Times New Roman" w:hAnsi="Times New Roman" w:eastAsia="仿宋_GB2312" w:cs="Times New Roman"/>
          <w:spacing w:val="-6"/>
          <w:kern w:val="0"/>
          <w:sz w:val="32"/>
          <w:szCs w:val="32"/>
        </w:rPr>
        <w:t>导。组织落实培养选拔中青年干部、妇女干部、少数民族干部、党外干部的有关工作。</w:t>
      </w:r>
    </w:p>
    <w:p w14:paraId="5587CA3F">
      <w:pPr>
        <w:spacing w:line="600" w:lineRule="exact"/>
        <w:ind w:firstLine="616" w:firstLineChars="200"/>
        <w:rPr>
          <w:rFonts w:ascii="Times New Roman" w:hAnsi="Times New Roman" w:eastAsia="仿宋_GB2312" w:cs="Times New Roman"/>
          <w:spacing w:val="-6"/>
          <w:kern w:val="0"/>
          <w:sz w:val="32"/>
          <w:szCs w:val="32"/>
        </w:rPr>
      </w:pPr>
      <w:r>
        <w:rPr>
          <w:rFonts w:ascii="Times New Roman" w:hAnsi="Times New Roman" w:eastAsia="仿宋_GB2312" w:cs="Times New Roman"/>
          <w:spacing w:val="-6"/>
          <w:kern w:val="0"/>
          <w:sz w:val="32"/>
          <w:szCs w:val="32"/>
        </w:rPr>
        <w:t>（三）研究全市组织系统信息网络建设；负责党内统计和干部统计的工作；负责市管干部人事档案管理工作，指导全市档案管理工作。</w:t>
      </w:r>
    </w:p>
    <w:p w14:paraId="3C50EC34">
      <w:pPr>
        <w:spacing w:line="600" w:lineRule="exact"/>
        <w:ind w:firstLine="616" w:firstLineChars="200"/>
        <w:rPr>
          <w:rFonts w:ascii="Times New Roman" w:hAnsi="Times New Roman" w:eastAsia="仿宋_GB2312" w:cs="Times New Roman"/>
          <w:spacing w:val="-6"/>
          <w:kern w:val="0"/>
          <w:sz w:val="32"/>
          <w:szCs w:val="32"/>
        </w:rPr>
      </w:pPr>
      <w:r>
        <w:rPr>
          <w:rFonts w:ascii="Times New Roman" w:hAnsi="Times New Roman" w:eastAsia="仿宋_GB2312" w:cs="Times New Roman"/>
          <w:spacing w:val="-6"/>
          <w:kern w:val="0"/>
          <w:sz w:val="32"/>
          <w:szCs w:val="32"/>
        </w:rPr>
        <w:t>（四）负责干部监督工作的指导和实施，负责全市组织工作和干部工作的督促检查，及时向省委组织部、株洲市委组织部和醴陵市委反映重要情况，对反映领导班子和领导干部的重要问题进行调查了解和督办；负责有关干部监督制度落实情况的督查和历史遗留问题的审查。</w:t>
      </w:r>
    </w:p>
    <w:p w14:paraId="2F007B4C">
      <w:pPr>
        <w:spacing w:line="600" w:lineRule="exact"/>
        <w:ind w:firstLine="616" w:firstLineChars="200"/>
        <w:rPr>
          <w:rFonts w:ascii="Times New Roman" w:hAnsi="Times New Roman" w:eastAsia="仿宋_GB2312" w:cs="Times New Roman"/>
          <w:spacing w:val="-6"/>
          <w:kern w:val="0"/>
          <w:sz w:val="32"/>
          <w:szCs w:val="32"/>
        </w:rPr>
      </w:pPr>
      <w:r>
        <w:rPr>
          <w:rFonts w:ascii="Times New Roman" w:hAnsi="Times New Roman" w:eastAsia="仿宋_GB2312" w:cs="Times New Roman"/>
          <w:spacing w:val="-6"/>
          <w:kern w:val="0"/>
          <w:sz w:val="32"/>
          <w:szCs w:val="32"/>
        </w:rPr>
        <w:t>（五）负责制订全市干部教育培训计划。指导、协调、检查全市干部教育工作；组织市委管理的干部和中青年干部以及组织（政工、人事）部门负责人等各级培训工作；负责上级调训干部的组织和协调。</w:t>
      </w:r>
    </w:p>
    <w:p w14:paraId="377AA25B">
      <w:pPr>
        <w:spacing w:line="600" w:lineRule="exact"/>
        <w:ind w:firstLine="616" w:firstLineChars="200"/>
        <w:rPr>
          <w:rFonts w:ascii="Times New Roman" w:hAnsi="Times New Roman" w:eastAsia="仿宋_GB2312" w:cs="Times New Roman"/>
          <w:spacing w:val="-6"/>
          <w:kern w:val="0"/>
          <w:sz w:val="32"/>
          <w:szCs w:val="32"/>
        </w:rPr>
      </w:pPr>
      <w:r>
        <w:rPr>
          <w:rFonts w:ascii="Times New Roman" w:hAnsi="Times New Roman" w:eastAsia="仿宋_GB2312" w:cs="Times New Roman"/>
          <w:spacing w:val="-6"/>
          <w:kern w:val="0"/>
          <w:sz w:val="32"/>
          <w:szCs w:val="32"/>
        </w:rPr>
        <w:t>（六）调查了解全市人才工作情况，制订或参与制订有关专业人才工作的政策；指导、协调、检查人才工作；负责市级有突出贡献专家的上报和评选工作，组织指导开展有关人才引进活动。</w:t>
      </w:r>
    </w:p>
    <w:p w14:paraId="71D584FB">
      <w:pPr>
        <w:spacing w:line="600" w:lineRule="exact"/>
        <w:ind w:firstLine="616" w:firstLineChars="200"/>
        <w:rPr>
          <w:rFonts w:ascii="Times New Roman" w:hAnsi="Times New Roman" w:eastAsia="仿宋_GB2312" w:cs="Times New Roman"/>
          <w:spacing w:val="-6"/>
          <w:kern w:val="0"/>
          <w:sz w:val="32"/>
          <w:szCs w:val="32"/>
        </w:rPr>
      </w:pPr>
      <w:r>
        <w:rPr>
          <w:rFonts w:ascii="Times New Roman" w:hAnsi="Times New Roman" w:eastAsia="仿宋_GB2312" w:cs="Times New Roman"/>
          <w:spacing w:val="-6"/>
          <w:kern w:val="0"/>
          <w:sz w:val="32"/>
          <w:szCs w:val="32"/>
        </w:rPr>
        <w:t>（七）管理全市老干部工作。</w:t>
      </w:r>
    </w:p>
    <w:p w14:paraId="1903CB01">
      <w:pPr>
        <w:spacing w:line="600" w:lineRule="exact"/>
        <w:ind w:firstLine="616" w:firstLineChars="200"/>
        <w:rPr>
          <w:rFonts w:ascii="Times New Roman" w:hAnsi="Times New Roman" w:eastAsia="仿宋_GB2312" w:cs="Times New Roman"/>
          <w:spacing w:val="-6"/>
          <w:kern w:val="0"/>
          <w:sz w:val="32"/>
          <w:szCs w:val="32"/>
        </w:rPr>
      </w:pPr>
      <w:r>
        <w:rPr>
          <w:rFonts w:ascii="Times New Roman" w:hAnsi="Times New Roman" w:eastAsia="仿宋_GB2312" w:cs="Times New Roman"/>
          <w:spacing w:val="-6"/>
          <w:kern w:val="0"/>
          <w:sz w:val="32"/>
          <w:szCs w:val="32"/>
        </w:rPr>
        <w:t>（八）指导、管理和协调党校。</w:t>
      </w:r>
    </w:p>
    <w:p w14:paraId="487DC1C1">
      <w:pPr>
        <w:spacing w:line="600" w:lineRule="exact"/>
        <w:ind w:firstLine="616" w:firstLineChars="200"/>
        <w:rPr>
          <w:rFonts w:ascii="Times New Roman" w:hAnsi="Times New Roman" w:eastAsia="楷体_GB2312" w:cs="Times New Roman"/>
          <w:b w:val="0"/>
          <w:bCs/>
          <w:spacing w:val="-6"/>
          <w:kern w:val="0"/>
          <w:sz w:val="32"/>
          <w:szCs w:val="32"/>
        </w:rPr>
      </w:pPr>
      <w:r>
        <w:rPr>
          <w:rFonts w:ascii="Times New Roman" w:hAnsi="Times New Roman" w:eastAsia="楷体_GB2312" w:cs="Times New Roman"/>
          <w:b w:val="0"/>
          <w:bCs/>
          <w:spacing w:val="-6"/>
          <w:kern w:val="0"/>
          <w:sz w:val="32"/>
          <w:szCs w:val="32"/>
        </w:rPr>
        <w:t>（二）干部外出培训工作经费主要用于在市外开展的培训工作。</w:t>
      </w:r>
    </w:p>
    <w:p w14:paraId="361F9426">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二、项目资金使用及管理情况</w:t>
      </w:r>
    </w:p>
    <w:p w14:paraId="3B8817C0">
      <w:pPr>
        <w:spacing w:line="600" w:lineRule="exact"/>
        <w:ind w:firstLine="640" w:firstLineChars="200"/>
        <w:rPr>
          <w:rFonts w:ascii="Times New Roman" w:hAnsi="Times New Roman" w:eastAsia="仿宋_GB2312" w:cs="Times New Roman"/>
          <w:spacing w:val="-6"/>
          <w:kern w:val="0"/>
          <w:sz w:val="32"/>
          <w:szCs w:val="32"/>
        </w:rPr>
      </w:pPr>
      <w:r>
        <w:rPr>
          <w:rFonts w:ascii="Times New Roman" w:hAnsi="Times New Roman" w:eastAsia="仿宋_GB2312" w:cs="Times New Roman"/>
          <w:kern w:val="0"/>
          <w:sz w:val="32"/>
          <w:szCs w:val="32"/>
        </w:rPr>
        <w:t>（一）</w:t>
      </w:r>
      <w:r>
        <w:rPr>
          <w:rFonts w:ascii="Times New Roman" w:hAnsi="Times New Roman" w:eastAsia="仿宋_GB2312" w:cs="Times New Roman"/>
          <w:spacing w:val="-6"/>
          <w:kern w:val="0"/>
          <w:sz w:val="32"/>
          <w:szCs w:val="32"/>
        </w:rPr>
        <w:t>2019年度年初预算数为50万元，实际使用14.38万元。</w:t>
      </w:r>
    </w:p>
    <w:p w14:paraId="7540C3B4">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（二）按照要求，制定了干部外出培训工作经费管理制度、严格执行到位。</w:t>
      </w:r>
    </w:p>
    <w:p w14:paraId="01B0CD9C">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三、项目组织实施情况</w:t>
      </w:r>
    </w:p>
    <w:p w14:paraId="4BCB4874">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（一）该专项不涉及项目招投标、调整、竣工验收等情况。</w:t>
      </w:r>
    </w:p>
    <w:p w14:paraId="1348C4AA">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（二）制定了干部外出培训工作经费管理制度、加强了日常检查监督管理，确保专项资金安全。</w:t>
      </w:r>
    </w:p>
    <w:p w14:paraId="711D3799">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四、项目绩效情况</w:t>
      </w:r>
    </w:p>
    <w:p w14:paraId="76C39515">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本着经济节约为主的原则，从严控制经费开支，按照预算科目和项目资金的规定使用财政资金，保障部门整体支出的规范化、制度化。</w:t>
      </w:r>
    </w:p>
    <w:p w14:paraId="32710D80">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各项培训工作高效完成。项目支出完成后，后续政策、资金、人员机构安排和管理措施等都可以继续跟进，不会影响项目的可持续性。</w:t>
      </w:r>
    </w:p>
    <w:p w14:paraId="6E9C3453">
      <w:pPr>
        <w:rPr>
          <w:rFonts w:ascii="Times New Roman" w:hAnsi="Times New Roman" w:cs="Times New Roman"/>
          <w:b/>
          <w:kern w:val="0"/>
          <w:sz w:val="32"/>
          <w:szCs w:val="32"/>
        </w:rPr>
      </w:pPr>
    </w:p>
    <w:sectPr>
      <w:pgSz w:w="11906" w:h="16838"/>
      <w:pgMar w:top="1701" w:right="1418" w:bottom="1418"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82282"/>
      <w:docPartObj>
        <w:docPartGallery w:val="autotext"/>
      </w:docPartObj>
    </w:sdtPr>
    <w:sdtContent>
      <w:p w14:paraId="369C7AB2">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EC9D1"/>
    <w:multiLevelType w:val="singleLevel"/>
    <w:tmpl w:val="A34EC9D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9B"/>
    <w:rsid w:val="000273BD"/>
    <w:rsid w:val="000415B7"/>
    <w:rsid w:val="00041885"/>
    <w:rsid w:val="0006155F"/>
    <w:rsid w:val="000658A3"/>
    <w:rsid w:val="00074155"/>
    <w:rsid w:val="000A3F69"/>
    <w:rsid w:val="00152C6D"/>
    <w:rsid w:val="00161DBA"/>
    <w:rsid w:val="00162D39"/>
    <w:rsid w:val="00172A27"/>
    <w:rsid w:val="001A67DB"/>
    <w:rsid w:val="001D51E5"/>
    <w:rsid w:val="001F0C3B"/>
    <w:rsid w:val="00214427"/>
    <w:rsid w:val="00257CE3"/>
    <w:rsid w:val="002647E4"/>
    <w:rsid w:val="00265724"/>
    <w:rsid w:val="0027426B"/>
    <w:rsid w:val="002A26AD"/>
    <w:rsid w:val="00327B6B"/>
    <w:rsid w:val="003479BD"/>
    <w:rsid w:val="003768D5"/>
    <w:rsid w:val="0039786C"/>
    <w:rsid w:val="00416464"/>
    <w:rsid w:val="00442BAE"/>
    <w:rsid w:val="004506F9"/>
    <w:rsid w:val="004717A2"/>
    <w:rsid w:val="00477CBF"/>
    <w:rsid w:val="00491741"/>
    <w:rsid w:val="00500E5F"/>
    <w:rsid w:val="005122EF"/>
    <w:rsid w:val="00512F3F"/>
    <w:rsid w:val="00517C33"/>
    <w:rsid w:val="00523644"/>
    <w:rsid w:val="0054069E"/>
    <w:rsid w:val="005767CC"/>
    <w:rsid w:val="00590D9F"/>
    <w:rsid w:val="00595D26"/>
    <w:rsid w:val="005A74E6"/>
    <w:rsid w:val="005C6BB9"/>
    <w:rsid w:val="005D4D55"/>
    <w:rsid w:val="005E2CFB"/>
    <w:rsid w:val="0062378F"/>
    <w:rsid w:val="00651EEC"/>
    <w:rsid w:val="006A351B"/>
    <w:rsid w:val="006B0422"/>
    <w:rsid w:val="006B4379"/>
    <w:rsid w:val="006B750C"/>
    <w:rsid w:val="006C0B0E"/>
    <w:rsid w:val="006C1B53"/>
    <w:rsid w:val="006C21A7"/>
    <w:rsid w:val="006C6398"/>
    <w:rsid w:val="006D7730"/>
    <w:rsid w:val="006E5284"/>
    <w:rsid w:val="006F3EB5"/>
    <w:rsid w:val="00702E34"/>
    <w:rsid w:val="00704395"/>
    <w:rsid w:val="00720FF1"/>
    <w:rsid w:val="00796319"/>
    <w:rsid w:val="007F441D"/>
    <w:rsid w:val="00811A03"/>
    <w:rsid w:val="00812ED5"/>
    <w:rsid w:val="00821336"/>
    <w:rsid w:val="008277D9"/>
    <w:rsid w:val="00827A13"/>
    <w:rsid w:val="0086088A"/>
    <w:rsid w:val="00877A08"/>
    <w:rsid w:val="008A3E8D"/>
    <w:rsid w:val="008E48AD"/>
    <w:rsid w:val="009237C4"/>
    <w:rsid w:val="00950252"/>
    <w:rsid w:val="00967F5D"/>
    <w:rsid w:val="00993D1B"/>
    <w:rsid w:val="00996269"/>
    <w:rsid w:val="009A0F95"/>
    <w:rsid w:val="009A62CE"/>
    <w:rsid w:val="009B3ADF"/>
    <w:rsid w:val="009C3B52"/>
    <w:rsid w:val="009E0FAD"/>
    <w:rsid w:val="00A42218"/>
    <w:rsid w:val="00A64E59"/>
    <w:rsid w:val="00A70249"/>
    <w:rsid w:val="00A7776E"/>
    <w:rsid w:val="00B022AE"/>
    <w:rsid w:val="00B21204"/>
    <w:rsid w:val="00B33BEA"/>
    <w:rsid w:val="00B55464"/>
    <w:rsid w:val="00B57C9F"/>
    <w:rsid w:val="00B75F30"/>
    <w:rsid w:val="00B845B3"/>
    <w:rsid w:val="00B85D8B"/>
    <w:rsid w:val="00B9552D"/>
    <w:rsid w:val="00BC1E2F"/>
    <w:rsid w:val="00BE3674"/>
    <w:rsid w:val="00BF18BE"/>
    <w:rsid w:val="00C3049A"/>
    <w:rsid w:val="00C31B1E"/>
    <w:rsid w:val="00C77645"/>
    <w:rsid w:val="00CE04C3"/>
    <w:rsid w:val="00CE76A0"/>
    <w:rsid w:val="00D148C6"/>
    <w:rsid w:val="00D3727E"/>
    <w:rsid w:val="00DB6E50"/>
    <w:rsid w:val="00DC1771"/>
    <w:rsid w:val="00DD06FF"/>
    <w:rsid w:val="00DD5FE9"/>
    <w:rsid w:val="00E00C7A"/>
    <w:rsid w:val="00E1509D"/>
    <w:rsid w:val="00E55B68"/>
    <w:rsid w:val="00EF0590"/>
    <w:rsid w:val="00F74360"/>
    <w:rsid w:val="00FB462F"/>
    <w:rsid w:val="00FC3C00"/>
    <w:rsid w:val="00FC53B3"/>
    <w:rsid w:val="00FE16FA"/>
    <w:rsid w:val="00FE328A"/>
    <w:rsid w:val="027D074F"/>
    <w:rsid w:val="02D02898"/>
    <w:rsid w:val="084314BA"/>
    <w:rsid w:val="14724F9C"/>
    <w:rsid w:val="18FB55C5"/>
    <w:rsid w:val="192758E4"/>
    <w:rsid w:val="1BC44C19"/>
    <w:rsid w:val="22F75630"/>
    <w:rsid w:val="281240C7"/>
    <w:rsid w:val="298B3C14"/>
    <w:rsid w:val="35890D16"/>
    <w:rsid w:val="382573D3"/>
    <w:rsid w:val="38F83148"/>
    <w:rsid w:val="3C267CC9"/>
    <w:rsid w:val="44C810B3"/>
    <w:rsid w:val="467B3654"/>
    <w:rsid w:val="46FE2DDC"/>
    <w:rsid w:val="49C65EF5"/>
    <w:rsid w:val="4EDB7780"/>
    <w:rsid w:val="525B169D"/>
    <w:rsid w:val="56E84F41"/>
    <w:rsid w:val="57367750"/>
    <w:rsid w:val="5CB8490C"/>
    <w:rsid w:val="5E9634AB"/>
    <w:rsid w:val="60C518EE"/>
    <w:rsid w:val="62121ABE"/>
    <w:rsid w:val="66012B27"/>
    <w:rsid w:val="6F477EED"/>
    <w:rsid w:val="724176BF"/>
    <w:rsid w:val="787709EF"/>
    <w:rsid w:val="7E3E4C14"/>
    <w:rsid w:val="7E7673E2"/>
    <w:rsid w:val="7F6D4C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E0314-E7B0-447A-96A1-FE2B2D8A56B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2448</Words>
  <Characters>3131</Characters>
  <Lines>127</Lines>
  <Paragraphs>35</Paragraphs>
  <TotalTime>51</TotalTime>
  <ScaleCrop>false</ScaleCrop>
  <LinksUpToDate>false</LinksUpToDate>
  <CharactersWithSpaces>3688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2020-08-31T07:54:00Z</dcterms:created>
  <dc:creator>李航 null</dc:creator>
  <cp:lastModifiedBy>响客</cp:lastModifiedBy>
  <cp:lastPrinted>2020-07-15T07:25:00Z</cp:lastPrinted>
  <dcterms:modified xsi:type="dcterms:W3CDTF">2026-01-23T06:09:55Z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eyJoZGlkIjoiMjZkNzcwYjk4MDkyMWI1NzI2ZDNjZTFiMDgxMjJlYWIiLCJ1c2VySWQiOiI4MzcwMjA2NjYifQ==</vt:lpwstr>
  </property>
  <property fmtid="{D5CDD505-2E9C-101B-9397-08002B2CF9AE}" pid="4" name="ICV">
    <vt:lpwstr>D63DFB13A94E4F13ADD05CB486F3A1F4_13</vt:lpwstr>
  </property>
</Properties>
</file>