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95395">
      <w:pPr>
        <w:jc w:val="center"/>
        <w:rPr>
          <w:rFonts w:hint="eastAsia" w:ascii="宋体" w:hAnsi="宋体" w:eastAsia="宋体" w:cs="宋体"/>
          <w:b/>
          <w:bCs/>
          <w:sz w:val="48"/>
          <w:szCs w:val="48"/>
        </w:rPr>
      </w:pPr>
      <w:bookmarkStart w:id="0" w:name="_GoBack"/>
      <w:r>
        <w:rPr>
          <w:rFonts w:hint="eastAsia" w:ascii="宋体" w:hAnsi="宋体" w:eastAsia="宋体" w:cs="宋体"/>
          <w:b/>
          <w:bCs/>
          <w:sz w:val="48"/>
          <w:szCs w:val="48"/>
          <w:lang w:val="en-US" w:eastAsia="zh-CN"/>
        </w:rPr>
        <w:t>2024</w:t>
      </w:r>
      <w:r>
        <w:rPr>
          <w:rFonts w:hint="eastAsia" w:ascii="宋体" w:hAnsi="宋体" w:eastAsia="宋体" w:cs="宋体"/>
          <w:b/>
          <w:bCs/>
          <w:sz w:val="48"/>
          <w:szCs w:val="48"/>
        </w:rPr>
        <w:t>年度株洲市芦淞区</w:t>
      </w:r>
      <w:r>
        <w:rPr>
          <w:rFonts w:hint="eastAsia" w:ascii="宋体" w:hAnsi="宋体" w:eastAsia="宋体" w:cs="宋体"/>
          <w:b/>
          <w:bCs/>
          <w:sz w:val="48"/>
          <w:szCs w:val="48"/>
          <w:lang w:eastAsia="zh-CN"/>
        </w:rPr>
        <w:t>归国华侨联合会整体</w:t>
      </w:r>
      <w:r>
        <w:rPr>
          <w:rFonts w:hint="eastAsia" w:ascii="宋体" w:hAnsi="宋体" w:eastAsia="宋体" w:cs="宋体"/>
          <w:b/>
          <w:bCs/>
          <w:sz w:val="48"/>
          <w:szCs w:val="48"/>
        </w:rPr>
        <w:t>支出</w:t>
      </w:r>
    </w:p>
    <w:p w14:paraId="4AEFCA23">
      <w:pPr>
        <w:jc w:val="center"/>
        <w:rPr>
          <w:rFonts w:hint="eastAsia" w:ascii="宋体" w:hAnsi="宋体" w:eastAsia="宋体" w:cs="宋体"/>
          <w:b/>
          <w:bCs/>
          <w:sz w:val="48"/>
          <w:szCs w:val="48"/>
        </w:rPr>
      </w:pPr>
      <w:r>
        <w:rPr>
          <w:rFonts w:hint="eastAsia" w:ascii="宋体" w:hAnsi="宋体" w:eastAsia="宋体" w:cs="宋体"/>
          <w:b/>
          <w:bCs/>
          <w:sz w:val="48"/>
          <w:szCs w:val="48"/>
        </w:rPr>
        <w:t>绩效自评报告</w:t>
      </w:r>
    </w:p>
    <w:bookmarkEnd w:id="0"/>
    <w:p w14:paraId="1FF51D33">
      <w:pPr>
        <w:jc w:val="center"/>
        <w:rPr>
          <w:rFonts w:hint="eastAsia" w:ascii="宋体" w:hAnsi="宋体" w:eastAsia="宋体" w:cs="宋体"/>
          <w:b/>
          <w:bCs/>
          <w:sz w:val="32"/>
          <w:szCs w:val="32"/>
        </w:rPr>
      </w:pPr>
    </w:p>
    <w:p w14:paraId="34602D4D">
      <w:pPr>
        <w:jc w:val="center"/>
        <w:rPr>
          <w:rFonts w:hint="eastAsia" w:ascii="宋体" w:hAnsi="宋体" w:eastAsia="宋体" w:cs="宋体"/>
          <w:sz w:val="32"/>
          <w:szCs w:val="32"/>
        </w:rPr>
      </w:pPr>
    </w:p>
    <w:p w14:paraId="170576A0">
      <w:pPr>
        <w:jc w:val="center"/>
        <w:rPr>
          <w:rFonts w:hint="eastAsia" w:ascii="宋体" w:hAnsi="宋体" w:eastAsia="宋体" w:cs="宋体"/>
          <w:sz w:val="32"/>
          <w:szCs w:val="32"/>
        </w:rPr>
      </w:pPr>
    </w:p>
    <w:p w14:paraId="6EEBC5E2">
      <w:pPr>
        <w:jc w:val="center"/>
        <w:rPr>
          <w:rFonts w:hint="eastAsia" w:ascii="宋体" w:hAnsi="宋体" w:eastAsia="宋体" w:cs="宋体"/>
          <w:sz w:val="32"/>
          <w:szCs w:val="32"/>
        </w:rPr>
      </w:pPr>
    </w:p>
    <w:p w14:paraId="411D9652">
      <w:pPr>
        <w:jc w:val="center"/>
        <w:rPr>
          <w:rFonts w:hint="eastAsia" w:ascii="宋体" w:hAnsi="宋体" w:eastAsia="宋体" w:cs="宋体"/>
          <w:sz w:val="32"/>
          <w:szCs w:val="32"/>
        </w:rPr>
      </w:pPr>
    </w:p>
    <w:p w14:paraId="5393FCDA">
      <w:pPr>
        <w:jc w:val="center"/>
        <w:rPr>
          <w:rFonts w:hint="eastAsia" w:ascii="宋体" w:hAnsi="宋体" w:eastAsia="宋体" w:cs="宋体"/>
          <w:sz w:val="32"/>
          <w:szCs w:val="32"/>
        </w:rPr>
      </w:pPr>
    </w:p>
    <w:p w14:paraId="708417F4">
      <w:pPr>
        <w:jc w:val="center"/>
        <w:rPr>
          <w:rFonts w:hint="eastAsia" w:ascii="宋体" w:hAnsi="宋体" w:eastAsia="宋体" w:cs="宋体"/>
          <w:sz w:val="32"/>
          <w:szCs w:val="32"/>
        </w:rPr>
      </w:pPr>
    </w:p>
    <w:p w14:paraId="383C3734">
      <w:pPr>
        <w:ind w:firstLine="880" w:firstLineChars="200"/>
        <w:jc w:val="center"/>
        <w:rPr>
          <w:rFonts w:hint="eastAsia" w:ascii="宋体" w:hAnsi="宋体" w:eastAsia="宋体" w:cs="宋体"/>
          <w:sz w:val="44"/>
          <w:szCs w:val="44"/>
        </w:rPr>
      </w:pPr>
    </w:p>
    <w:p w14:paraId="0CA0EA13">
      <w:pPr>
        <w:ind w:firstLine="880" w:firstLineChars="200"/>
        <w:jc w:val="center"/>
        <w:rPr>
          <w:rFonts w:hint="eastAsia" w:ascii="宋体" w:hAnsi="宋体" w:eastAsia="宋体" w:cs="宋体"/>
          <w:sz w:val="44"/>
          <w:szCs w:val="44"/>
        </w:rPr>
      </w:pPr>
    </w:p>
    <w:p w14:paraId="71577878">
      <w:pPr>
        <w:ind w:firstLine="880" w:firstLineChars="200"/>
        <w:jc w:val="center"/>
        <w:rPr>
          <w:rFonts w:hint="eastAsia" w:ascii="宋体" w:hAnsi="宋体" w:eastAsia="宋体" w:cs="宋体"/>
          <w:sz w:val="44"/>
          <w:szCs w:val="44"/>
        </w:rPr>
      </w:pPr>
    </w:p>
    <w:p w14:paraId="4D33E2FA">
      <w:pPr>
        <w:ind w:firstLine="723" w:firstLineChars="200"/>
        <w:jc w:val="center"/>
        <w:rPr>
          <w:rFonts w:hint="eastAsia" w:ascii="宋体" w:hAnsi="宋体" w:eastAsia="宋体" w:cs="宋体"/>
          <w:b/>
          <w:bCs/>
          <w:sz w:val="36"/>
          <w:szCs w:val="36"/>
        </w:rPr>
      </w:pPr>
      <w:r>
        <w:rPr>
          <w:rFonts w:hint="eastAsia" w:ascii="宋体" w:hAnsi="宋体" w:eastAsia="宋体" w:cs="宋体"/>
          <w:b/>
          <w:bCs/>
          <w:sz w:val="36"/>
          <w:szCs w:val="36"/>
        </w:rPr>
        <w:t>单位名称（盖章）：</w:t>
      </w:r>
    </w:p>
    <w:p w14:paraId="17BA4A1E">
      <w:pPr>
        <w:jc w:val="center"/>
        <w:rPr>
          <w:rFonts w:hint="eastAsia" w:ascii="宋体" w:hAnsi="宋体" w:eastAsia="宋体" w:cs="宋体"/>
          <w:b/>
          <w:bCs/>
          <w:sz w:val="36"/>
          <w:szCs w:val="36"/>
        </w:rPr>
      </w:pPr>
    </w:p>
    <w:p w14:paraId="5BFA7AE5">
      <w:pPr>
        <w:jc w:val="center"/>
        <w:rPr>
          <w:rFonts w:hint="eastAsia" w:ascii="宋体" w:hAnsi="宋体" w:eastAsia="宋体" w:cs="宋体"/>
          <w:sz w:val="32"/>
          <w:szCs w:val="32"/>
        </w:rPr>
      </w:pPr>
    </w:p>
    <w:p w14:paraId="3CB71882">
      <w:pPr>
        <w:jc w:val="center"/>
        <w:rPr>
          <w:rFonts w:hint="eastAsia" w:ascii="宋体" w:hAnsi="宋体" w:eastAsia="宋体" w:cs="宋体"/>
          <w:sz w:val="32"/>
          <w:szCs w:val="32"/>
        </w:rPr>
      </w:pPr>
    </w:p>
    <w:p w14:paraId="43EACC5D">
      <w:pPr>
        <w:jc w:val="center"/>
        <w:rPr>
          <w:rFonts w:hint="eastAsia" w:ascii="宋体" w:hAnsi="宋体" w:eastAsia="宋体" w:cs="宋体"/>
          <w:sz w:val="32"/>
          <w:szCs w:val="32"/>
        </w:rPr>
      </w:pPr>
    </w:p>
    <w:p w14:paraId="2C1A2CAD">
      <w:pPr>
        <w:jc w:val="center"/>
        <w:rPr>
          <w:rFonts w:hint="eastAsia" w:ascii="宋体" w:hAnsi="宋体" w:eastAsia="宋体" w:cs="宋体"/>
          <w:sz w:val="32"/>
          <w:szCs w:val="32"/>
        </w:rPr>
      </w:pPr>
    </w:p>
    <w:p w14:paraId="16745D58">
      <w:pPr>
        <w:jc w:val="center"/>
        <w:rPr>
          <w:rFonts w:hint="eastAsia" w:ascii="宋体" w:hAnsi="宋体" w:eastAsia="宋体" w:cs="宋体"/>
          <w:sz w:val="32"/>
          <w:szCs w:val="32"/>
        </w:rPr>
      </w:pPr>
    </w:p>
    <w:p w14:paraId="3D02B778">
      <w:pPr>
        <w:jc w:val="center"/>
        <w:rPr>
          <w:rFonts w:hint="eastAsia" w:ascii="宋体" w:hAnsi="宋体" w:eastAsia="宋体" w:cs="宋体"/>
          <w:sz w:val="32"/>
          <w:szCs w:val="32"/>
        </w:rPr>
      </w:pPr>
    </w:p>
    <w:p w14:paraId="76C6EBE8">
      <w:pPr>
        <w:jc w:val="center"/>
        <w:rPr>
          <w:rFonts w:hint="eastAsia" w:ascii="宋体" w:hAnsi="宋体" w:eastAsia="宋体" w:cs="宋体"/>
          <w:sz w:val="32"/>
          <w:szCs w:val="32"/>
        </w:rPr>
      </w:pPr>
      <w:r>
        <w:rPr>
          <w:rFonts w:hint="eastAsia" w:ascii="宋体" w:hAnsi="宋体" w:eastAsia="宋体" w:cs="宋体"/>
          <w:sz w:val="32"/>
          <w:szCs w:val="32"/>
        </w:rPr>
        <w:t>（此页为封面）</w:t>
      </w:r>
    </w:p>
    <w:p w14:paraId="148068CF">
      <w:pPr>
        <w:jc w:val="center"/>
        <w:rPr>
          <w:rFonts w:hint="eastAsia" w:ascii="宋体" w:hAnsi="宋体" w:eastAsia="宋体" w:cs="宋体"/>
          <w:sz w:val="32"/>
          <w:szCs w:val="32"/>
        </w:rPr>
      </w:pPr>
    </w:p>
    <w:p w14:paraId="45C25BBF">
      <w:pPr>
        <w:spacing w:line="600" w:lineRule="exact"/>
        <w:rPr>
          <w:rFonts w:hint="eastAsia" w:ascii="宋体" w:hAnsi="宋体" w:eastAsia="宋体" w:cs="宋体"/>
          <w:b/>
          <w:bCs/>
          <w:sz w:val="32"/>
          <w:szCs w:val="32"/>
        </w:rPr>
      </w:pPr>
      <w:r>
        <w:rPr>
          <w:rFonts w:hint="eastAsia" w:ascii="宋体" w:hAnsi="宋体" w:eastAsia="宋体" w:cs="宋体"/>
          <w:sz w:val="32"/>
          <w:szCs w:val="32"/>
        </w:rPr>
        <w:br w:type="page"/>
      </w:r>
      <w:r>
        <w:rPr>
          <w:rFonts w:hint="eastAsia" w:ascii="宋体" w:hAnsi="宋体" w:eastAsia="宋体" w:cs="宋体"/>
          <w:b/>
          <w:bCs/>
          <w:sz w:val="32"/>
          <w:szCs w:val="32"/>
        </w:rPr>
        <w:t>一、基本情况</w:t>
      </w:r>
    </w:p>
    <w:p w14:paraId="6BCE35D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（一）单位基本情况</w:t>
      </w:r>
    </w:p>
    <w:p w14:paraId="69F8A62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t>株洲市</w:t>
      </w:r>
      <w:r>
        <w:rPr>
          <w:rFonts w:hint="eastAsia" w:ascii="宋体" w:hAnsi="宋体" w:eastAsia="宋体" w:cs="宋体"/>
          <w:sz w:val="32"/>
          <w:szCs w:val="32"/>
        </w:rPr>
        <w:t xml:space="preserve">芦淞区归国华侨联合会成立于2017年12月26日，是由全区归侨侨眷组成的人民团体，列入芦淞区群团管理序列，核定全额拨款事业编制2名，科级领导职数1名。 </w:t>
      </w:r>
    </w:p>
    <w:p w14:paraId="3D5251D3">
      <w:pPr>
        <w:keepNext w:val="0"/>
        <w:keepLines w:val="0"/>
        <w:pageBreakBefore w:val="0"/>
        <w:tabs>
          <w:tab w:val="left" w:pos="7560"/>
        </w:tabs>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sz w:val="32"/>
          <w:szCs w:val="32"/>
        </w:rPr>
      </w:pPr>
      <w:r>
        <w:rPr>
          <w:rFonts w:hint="eastAsia" w:ascii="宋体" w:hAnsi="宋体" w:eastAsia="宋体" w:cs="宋体"/>
          <w:sz w:val="32"/>
          <w:szCs w:val="32"/>
        </w:rPr>
        <w:t>主要职责是：</w:t>
      </w:r>
    </w:p>
    <w:p w14:paraId="0025D25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1.引导和组织归侨侨眷努力学习马克思列宁主义、毛泽东思想、邓小平理论、“三个代表”重要思想、科学发展观、习近平新时代中国特色社会主义思想，做好归侨侨眷的思想政治工作，最大限度把广大归侨侨眷和海外侨胞团结起来，最大限度把他们爱国爱乡的积极性调动起来，最大限度把他们促进改革开放和社会主义现代化建设的独特优势发挥出来，奋力推进中国特色社会主义伟大事业。</w:t>
      </w:r>
    </w:p>
    <w:p w14:paraId="25F595F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2.广泛团结和动员归侨侨眷和海外侨胞投身改革开放和社会主义现代化建设。</w:t>
      </w:r>
    </w:p>
    <w:p w14:paraId="4BA8849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3.参与政治、经济文化和社会事务活动，参与社会管理和公共服务，反映归侨侨眷和海外侨胞的意愿和要求。</w:t>
      </w:r>
    </w:p>
    <w:p w14:paraId="61F01F9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4.宣传贯彻党和国家关于侨务工作的方针、政策和法律、法规。</w:t>
      </w:r>
    </w:p>
    <w:p w14:paraId="717B2F6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5.密切与海外侨胞、留学人员及其社团的联系，履行海外侨胞社团联谊等职责，促进海外侨胞关系及社团和谐健康发展。</w:t>
      </w:r>
    </w:p>
    <w:p w14:paraId="42CC4FD8">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6.完成区委、区政府交办的其他任务。</w:t>
      </w:r>
    </w:p>
    <w:p w14:paraId="6C656ADE">
      <w:pPr>
        <w:keepNext w:val="0"/>
        <w:keepLines w:val="0"/>
        <w:pageBreakBefore w:val="0"/>
        <w:numPr>
          <w:ilvl w:val="0"/>
          <w:numId w:val="0"/>
        </w:numPr>
        <w:kinsoku/>
        <w:wordWrap/>
        <w:overflowPunct/>
        <w:topLinePunct w:val="0"/>
        <w:autoSpaceDE/>
        <w:autoSpaceDN/>
        <w:bidi w:val="0"/>
        <w:spacing w:line="600" w:lineRule="exact"/>
        <w:ind w:firstLine="320" w:firstLineChars="100"/>
        <w:textAlignment w:val="auto"/>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（二）</w:t>
      </w:r>
      <w:r>
        <w:rPr>
          <w:rFonts w:hint="eastAsia" w:ascii="宋体" w:hAnsi="宋体" w:eastAsia="宋体" w:cs="宋体"/>
          <w:b w:val="0"/>
          <w:bCs/>
          <w:sz w:val="32"/>
          <w:szCs w:val="32"/>
        </w:rPr>
        <w:t>单位年度整体支出绩效目标</w:t>
      </w:r>
    </w:p>
    <w:p w14:paraId="4C1BCF3D">
      <w:pPr>
        <w:pStyle w:val="2"/>
        <w:keepNext w:val="0"/>
        <w:keepLines w:val="0"/>
        <w:pageBreakBefore w:val="0"/>
        <w:kinsoku/>
        <w:wordWrap/>
        <w:overflowPunct/>
        <w:topLinePunct w:val="0"/>
        <w:autoSpaceDE/>
        <w:autoSpaceDN/>
        <w:bidi w:val="0"/>
        <w:ind w:firstLine="640" w:firstLineChars="200"/>
        <w:textAlignment w:val="auto"/>
        <w:rPr>
          <w:rFonts w:hint="eastAsia" w:ascii="宋体" w:hAnsi="宋体" w:eastAsia="宋体" w:cs="宋体"/>
          <w:lang w:eastAsia="zh-CN"/>
        </w:rPr>
      </w:pPr>
      <w:r>
        <w:rPr>
          <w:rFonts w:hint="eastAsia" w:ascii="宋体" w:hAnsi="宋体" w:eastAsia="宋体" w:cs="宋体"/>
          <w:sz w:val="32"/>
          <w:szCs w:val="32"/>
          <w:lang w:eastAsia="zh-CN"/>
        </w:rPr>
        <w:t>通过开展侨界联络联谊活动进一步凝聚侨心，将侨界群众紧紧团结在党的领导下。</w:t>
      </w:r>
      <w:r>
        <w:rPr>
          <w:rFonts w:hint="eastAsia" w:ascii="宋体" w:hAnsi="宋体" w:cs="宋体"/>
          <w:sz w:val="32"/>
          <w:szCs w:val="32"/>
          <w:lang w:val="en-US" w:eastAsia="zh-CN"/>
        </w:rPr>
        <w:t>抓好</w:t>
      </w:r>
      <w:r>
        <w:rPr>
          <w:rFonts w:hint="eastAsia" w:ascii="宋体" w:hAnsi="宋体" w:eastAsia="宋体" w:cs="宋体"/>
          <w:sz w:val="32"/>
          <w:szCs w:val="32"/>
          <w:lang w:eastAsia="zh-CN"/>
        </w:rPr>
        <w:t>3家“侨胞之家”的</w:t>
      </w:r>
      <w:r>
        <w:rPr>
          <w:rFonts w:hint="eastAsia" w:ascii="宋体" w:hAnsi="宋体" w:cs="宋体"/>
          <w:sz w:val="32"/>
          <w:szCs w:val="32"/>
          <w:lang w:val="en-US" w:eastAsia="zh-CN"/>
        </w:rPr>
        <w:t>运行工作</w:t>
      </w:r>
      <w:r>
        <w:rPr>
          <w:rFonts w:hint="eastAsia" w:ascii="宋体" w:hAnsi="宋体" w:eastAsia="宋体" w:cs="宋体"/>
          <w:sz w:val="32"/>
          <w:szCs w:val="32"/>
          <w:lang w:eastAsia="zh-CN"/>
        </w:rPr>
        <w:t>，构建侨界群众能走进来，当成自己家的公共空间，进一步发挥凝聚侨心侨力侨智的新载体作用，密切联系服务引领侨界群众，为社会发展建设，维护社会稳定做贡献。进一步摸清全区侨情底子，为进一步凝聚侨心、汇集侨智、维护侨益、发挥侨力奠定坚实工作基础。</w:t>
      </w:r>
    </w:p>
    <w:p w14:paraId="40DAD07D">
      <w:pPr>
        <w:pStyle w:val="2"/>
        <w:keepNext w:val="0"/>
        <w:keepLines w:val="0"/>
        <w:pageBreakBefore w:val="0"/>
        <w:numPr>
          <w:ilvl w:val="0"/>
          <w:numId w:val="1"/>
        </w:numPr>
        <w:kinsoku/>
        <w:wordWrap/>
        <w:overflowPunct/>
        <w:topLinePunct w:val="0"/>
        <w:autoSpaceDE/>
        <w:autoSpaceDN/>
        <w:bidi w:val="0"/>
        <w:textAlignment w:val="auto"/>
        <w:rPr>
          <w:rFonts w:hint="eastAsia" w:ascii="宋体" w:hAnsi="宋体" w:eastAsia="宋体" w:cs="宋体"/>
          <w:b w:val="0"/>
          <w:bCs/>
          <w:sz w:val="32"/>
          <w:szCs w:val="32"/>
        </w:rPr>
      </w:pPr>
      <w:r>
        <w:rPr>
          <w:rFonts w:hint="eastAsia" w:ascii="宋体" w:hAnsi="宋体" w:eastAsia="宋体" w:cs="宋体"/>
          <w:b w:val="0"/>
          <w:bCs/>
          <w:sz w:val="32"/>
          <w:szCs w:val="32"/>
          <w:lang w:eastAsia="zh-CN"/>
        </w:rPr>
        <w:t>部门</w:t>
      </w:r>
      <w:r>
        <w:rPr>
          <w:rFonts w:hint="eastAsia" w:ascii="宋体" w:hAnsi="宋体" w:eastAsia="宋体" w:cs="宋体"/>
          <w:b w:val="0"/>
          <w:bCs/>
          <w:sz w:val="32"/>
          <w:szCs w:val="32"/>
        </w:rPr>
        <w:t>专项资金绩效目标</w:t>
      </w:r>
    </w:p>
    <w:p w14:paraId="1FED3FD9">
      <w:pPr>
        <w:pStyle w:val="2"/>
        <w:keepNext w:val="0"/>
        <w:keepLines w:val="0"/>
        <w:pageBreakBefore w:val="0"/>
        <w:numPr>
          <w:ilvl w:val="0"/>
          <w:numId w:val="0"/>
        </w:numPr>
        <w:kinsoku/>
        <w:wordWrap/>
        <w:overflowPunct/>
        <w:topLinePunct w:val="0"/>
        <w:autoSpaceDE/>
        <w:autoSpaceDN/>
        <w:bidi w:val="0"/>
        <w:ind w:firstLine="640" w:firstLineChars="200"/>
        <w:textAlignment w:val="auto"/>
        <w:rPr>
          <w:rFonts w:hint="eastAsia" w:ascii="宋体" w:hAnsi="宋体" w:eastAsia="宋体" w:cs="宋体"/>
          <w:lang w:eastAsia="zh-CN"/>
        </w:rPr>
      </w:pPr>
      <w:r>
        <w:rPr>
          <w:rFonts w:hint="eastAsia" w:ascii="宋体" w:hAnsi="宋体" w:eastAsia="宋体" w:cs="宋体"/>
          <w:sz w:val="32"/>
          <w:szCs w:val="32"/>
          <w:lang w:eastAsia="zh-CN"/>
        </w:rPr>
        <w:t>按照“以人为本、为侨服务”的根本宗旨，支持省华侨文化交流基地和“侨胞之家”平台运行，组织开展1次侨界</w:t>
      </w:r>
      <w:r>
        <w:rPr>
          <w:rFonts w:hint="eastAsia" w:ascii="宋体" w:hAnsi="宋体" w:cs="宋体"/>
          <w:sz w:val="32"/>
          <w:szCs w:val="32"/>
          <w:lang w:val="en-US" w:eastAsia="zh-CN"/>
        </w:rPr>
        <w:t>系列</w:t>
      </w:r>
      <w:r>
        <w:rPr>
          <w:rFonts w:hint="eastAsia" w:ascii="宋体" w:hAnsi="宋体" w:eastAsia="宋体" w:cs="宋体"/>
          <w:sz w:val="32"/>
          <w:szCs w:val="32"/>
          <w:lang w:eastAsia="zh-CN"/>
        </w:rPr>
        <w:t>活动。支持华侨文化交流基地建设运行，通过开展活动、搭建平台、创新方法，把中央、省委和市委、区委对侨工作的决策部署逐一落到实处</w:t>
      </w:r>
      <w:r>
        <w:rPr>
          <w:rFonts w:hint="eastAsia" w:ascii="宋体" w:hAnsi="宋体" w:eastAsia="宋体" w:cs="宋体"/>
          <w:lang w:eastAsia="zh-CN"/>
        </w:rPr>
        <w:t>。</w:t>
      </w:r>
    </w:p>
    <w:p w14:paraId="7E5529F5">
      <w:pPr>
        <w:pStyle w:val="2"/>
        <w:keepNext w:val="0"/>
        <w:keepLines w:val="0"/>
        <w:pageBreakBefore w:val="0"/>
        <w:numPr>
          <w:ilvl w:val="0"/>
          <w:numId w:val="0"/>
        </w:numPr>
        <w:kinsoku/>
        <w:wordWrap/>
        <w:overflowPunct/>
        <w:topLinePunct w:val="0"/>
        <w:autoSpaceDE/>
        <w:autoSpaceDN/>
        <w:bidi w:val="0"/>
        <w:textAlignment w:val="auto"/>
        <w:rPr>
          <w:rFonts w:hint="eastAsia" w:ascii="宋体" w:hAnsi="宋体" w:eastAsia="宋体" w:cs="宋体"/>
          <w:b/>
          <w:bCs/>
          <w:sz w:val="32"/>
          <w:szCs w:val="32"/>
        </w:rPr>
      </w:pPr>
      <w:r>
        <w:rPr>
          <w:rFonts w:hint="eastAsia" w:ascii="宋体" w:hAnsi="宋体" w:eastAsia="宋体" w:cs="宋体"/>
          <w:b/>
          <w:bCs/>
          <w:sz w:val="32"/>
          <w:szCs w:val="32"/>
        </w:rPr>
        <w:t>二、一般公共预算支出情况</w:t>
      </w:r>
    </w:p>
    <w:p w14:paraId="43263A3C">
      <w:pPr>
        <w:pStyle w:val="6"/>
        <w:keepNext w:val="0"/>
        <w:keepLines w:val="0"/>
        <w:pageBreakBefore w:val="0"/>
        <w:kinsoku/>
        <w:wordWrap/>
        <w:overflowPunct/>
        <w:topLinePunct w:val="0"/>
        <w:autoSpaceDE/>
        <w:autoSpaceDN/>
        <w:bidi w:val="0"/>
        <w:spacing w:line="600" w:lineRule="exact"/>
        <w:ind w:left="0" w:leftChars="0" w:firstLine="320" w:firstLineChars="1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（一）基本支出情况</w:t>
      </w:r>
    </w:p>
    <w:p w14:paraId="7DDF3507">
      <w:pPr>
        <w:pStyle w:val="6"/>
        <w:keepNext w:val="0"/>
        <w:keepLines w:val="0"/>
        <w:pageBreakBefore w:val="0"/>
        <w:kinsoku/>
        <w:wordWrap/>
        <w:overflowPunct/>
        <w:topLinePunct w:val="0"/>
        <w:autoSpaceDE/>
        <w:autoSpaceDN/>
        <w:bidi w:val="0"/>
        <w:spacing w:line="600" w:lineRule="exact"/>
        <w:ind w:firstLine="643"/>
        <w:textAlignment w:val="auto"/>
        <w:rPr>
          <w:rFonts w:hint="eastAsia" w:ascii="宋体" w:hAnsi="宋体" w:eastAsia="宋体" w:cs="宋体"/>
          <w:b w:val="0"/>
          <w:bCs/>
          <w:color w:val="000000"/>
          <w:sz w:val="32"/>
          <w:szCs w:val="32"/>
          <w:lang w:val="en-US" w:eastAsia="zh-CN"/>
        </w:rPr>
      </w:pPr>
      <w:r>
        <w:rPr>
          <w:rFonts w:hint="eastAsia" w:ascii="宋体" w:hAnsi="宋体" w:eastAsia="宋体" w:cs="宋体"/>
          <w:b w:val="0"/>
          <w:bCs/>
          <w:sz w:val="32"/>
          <w:szCs w:val="32"/>
          <w:lang w:val="en-US" w:eastAsia="zh-CN"/>
        </w:rPr>
        <w:t>1、</w:t>
      </w:r>
      <w:r>
        <w:rPr>
          <w:rFonts w:hint="eastAsia" w:ascii="宋体" w:hAnsi="宋体" w:eastAsia="宋体" w:cs="宋体"/>
          <w:b w:val="0"/>
          <w:bCs/>
          <w:color w:val="000000"/>
          <w:sz w:val="32"/>
          <w:szCs w:val="32"/>
        </w:rPr>
        <w:t>202</w:t>
      </w:r>
      <w:r>
        <w:rPr>
          <w:rFonts w:hint="eastAsia" w:ascii="宋体" w:hAnsi="宋体" w:eastAsia="宋体" w:cs="宋体"/>
          <w:b w:val="0"/>
          <w:bCs/>
          <w:color w:val="000000"/>
          <w:sz w:val="32"/>
          <w:szCs w:val="32"/>
          <w:lang w:val="en-US" w:eastAsia="zh-CN"/>
        </w:rPr>
        <w:t>4</w:t>
      </w:r>
      <w:r>
        <w:rPr>
          <w:rFonts w:hint="eastAsia" w:ascii="宋体" w:hAnsi="宋体" w:eastAsia="宋体" w:cs="宋体"/>
          <w:b w:val="0"/>
          <w:bCs/>
          <w:color w:val="000000"/>
          <w:sz w:val="32"/>
          <w:szCs w:val="32"/>
        </w:rPr>
        <w:t>年预算资金</w:t>
      </w:r>
      <w:r>
        <w:rPr>
          <w:rFonts w:hint="eastAsia" w:ascii="宋体" w:hAnsi="宋体" w:eastAsia="宋体" w:cs="宋体"/>
          <w:b w:val="0"/>
          <w:bCs/>
          <w:color w:val="000000"/>
          <w:sz w:val="32"/>
          <w:szCs w:val="32"/>
          <w:lang w:eastAsia="zh-CN"/>
        </w:rPr>
        <w:t>为</w:t>
      </w:r>
      <w:r>
        <w:rPr>
          <w:rFonts w:hint="eastAsia" w:ascii="宋体" w:hAnsi="宋体" w:eastAsia="宋体" w:cs="宋体"/>
          <w:b w:val="0"/>
          <w:bCs/>
          <w:color w:val="000000"/>
          <w:sz w:val="32"/>
          <w:szCs w:val="32"/>
          <w:lang w:val="en-US" w:eastAsia="zh-CN"/>
        </w:rPr>
        <w:t>53.25万元</w:t>
      </w:r>
    </w:p>
    <w:p w14:paraId="613B0D39">
      <w:pPr>
        <w:pStyle w:val="6"/>
        <w:keepNext w:val="0"/>
        <w:keepLines w:val="0"/>
        <w:pageBreakBefore w:val="0"/>
        <w:kinsoku/>
        <w:wordWrap/>
        <w:overflowPunct/>
        <w:topLinePunct w:val="0"/>
        <w:autoSpaceDE/>
        <w:autoSpaceDN/>
        <w:bidi w:val="0"/>
        <w:spacing w:line="600" w:lineRule="exact"/>
        <w:ind w:firstLine="643"/>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2、2024年度</w:t>
      </w:r>
      <w:r>
        <w:rPr>
          <w:rFonts w:hint="eastAsia" w:ascii="宋体" w:hAnsi="宋体" w:eastAsia="宋体" w:cs="宋体"/>
          <w:b w:val="0"/>
          <w:bCs/>
          <w:color w:val="auto"/>
          <w:sz w:val="32"/>
          <w:szCs w:val="32"/>
        </w:rPr>
        <w:t>单位一般公共预算财政拨款收入</w:t>
      </w:r>
      <w:r>
        <w:rPr>
          <w:rFonts w:hint="eastAsia" w:ascii="宋体" w:hAnsi="宋体" w:eastAsia="宋体" w:cs="宋体"/>
          <w:b w:val="0"/>
          <w:bCs/>
          <w:color w:val="auto"/>
          <w:sz w:val="32"/>
          <w:szCs w:val="32"/>
          <w:lang w:val="en-US" w:eastAsia="zh-CN"/>
        </w:rPr>
        <w:t>57.1万元</w:t>
      </w:r>
    </w:p>
    <w:p w14:paraId="0B818614">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宋体" w:hAnsi="宋体" w:eastAsia="宋体" w:cs="宋体"/>
          <w:color w:val="0000FF"/>
          <w:sz w:val="32"/>
          <w:szCs w:val="32"/>
          <w:lang w:val="en-US" w:eastAsia="zh-CN"/>
        </w:rPr>
      </w:pPr>
      <w:r>
        <w:rPr>
          <w:rFonts w:hint="eastAsia" w:ascii="宋体" w:hAnsi="宋体" w:eastAsia="宋体" w:cs="宋体"/>
          <w:b w:val="0"/>
          <w:bCs/>
          <w:color w:val="auto"/>
          <w:sz w:val="32"/>
          <w:szCs w:val="32"/>
        </w:rPr>
        <w:t>3</w:t>
      </w:r>
      <w:r>
        <w:rPr>
          <w:rFonts w:hint="eastAsia" w:ascii="宋体" w:hAnsi="宋体" w:eastAsia="宋体" w:cs="宋体"/>
          <w:b w:val="0"/>
          <w:bCs/>
          <w:color w:val="auto"/>
          <w:sz w:val="32"/>
          <w:szCs w:val="32"/>
          <w:lang w:eastAsia="zh-CN"/>
        </w:rPr>
        <w:t>、</w:t>
      </w:r>
      <w:r>
        <w:rPr>
          <w:rFonts w:hint="eastAsia" w:ascii="宋体" w:hAnsi="宋体" w:eastAsia="宋体" w:cs="宋体"/>
          <w:b w:val="0"/>
          <w:bCs/>
          <w:color w:val="auto"/>
          <w:sz w:val="32"/>
          <w:szCs w:val="32"/>
          <w:lang w:val="en-US" w:eastAsia="zh-CN"/>
        </w:rPr>
        <w:t>2024年度</w:t>
      </w:r>
      <w:r>
        <w:rPr>
          <w:rFonts w:hint="eastAsia" w:ascii="宋体" w:hAnsi="宋体" w:eastAsia="宋体" w:cs="宋体"/>
          <w:b w:val="0"/>
          <w:bCs/>
          <w:color w:val="auto"/>
          <w:sz w:val="32"/>
          <w:szCs w:val="32"/>
        </w:rPr>
        <w:t>单位一般公共预算财政拨款</w:t>
      </w:r>
      <w:r>
        <w:rPr>
          <w:rFonts w:hint="eastAsia" w:ascii="宋体" w:hAnsi="宋体" w:eastAsia="宋体" w:cs="宋体"/>
          <w:b w:val="0"/>
          <w:bCs/>
          <w:color w:val="auto"/>
          <w:sz w:val="32"/>
          <w:szCs w:val="32"/>
          <w:lang w:eastAsia="zh-CN"/>
        </w:rPr>
        <w:t>支出</w:t>
      </w:r>
      <w:r>
        <w:rPr>
          <w:rFonts w:hint="eastAsia" w:ascii="宋体" w:hAnsi="宋体" w:eastAsia="宋体" w:cs="宋体"/>
          <w:b w:val="0"/>
          <w:bCs/>
          <w:color w:val="auto"/>
          <w:sz w:val="32"/>
          <w:szCs w:val="32"/>
          <w:lang w:val="en-US" w:eastAsia="zh-CN"/>
        </w:rPr>
        <w:t>57.1万元</w:t>
      </w:r>
      <w:r>
        <w:rPr>
          <w:rFonts w:hint="eastAsia" w:ascii="宋体" w:hAnsi="宋体" w:eastAsia="宋体" w:cs="宋体"/>
          <w:b w:val="0"/>
          <w:bCs/>
          <w:color w:val="auto"/>
          <w:sz w:val="32"/>
          <w:szCs w:val="32"/>
        </w:rPr>
        <w:t>其中：项目支出</w:t>
      </w:r>
      <w:r>
        <w:rPr>
          <w:rFonts w:hint="eastAsia" w:ascii="宋体" w:hAnsi="宋体" w:eastAsia="宋体" w:cs="宋体"/>
          <w:b w:val="0"/>
          <w:bCs/>
          <w:color w:val="auto"/>
          <w:sz w:val="32"/>
          <w:szCs w:val="32"/>
          <w:lang w:val="en-US" w:eastAsia="zh-CN"/>
        </w:rPr>
        <w:t>6</w:t>
      </w:r>
      <w:r>
        <w:rPr>
          <w:rFonts w:hint="eastAsia" w:ascii="宋体" w:hAnsi="宋体" w:eastAsia="宋体" w:cs="宋体"/>
          <w:b w:val="0"/>
          <w:bCs/>
          <w:color w:val="auto"/>
          <w:sz w:val="32"/>
          <w:szCs w:val="32"/>
        </w:rPr>
        <w:t>万元，基本支出</w:t>
      </w:r>
      <w:r>
        <w:rPr>
          <w:rFonts w:hint="eastAsia" w:ascii="宋体" w:hAnsi="宋体" w:eastAsia="宋体" w:cs="宋体"/>
          <w:b w:val="0"/>
          <w:bCs/>
          <w:color w:val="auto"/>
          <w:sz w:val="32"/>
          <w:szCs w:val="32"/>
          <w:lang w:val="en-US" w:eastAsia="zh-CN"/>
        </w:rPr>
        <w:t>51.1</w:t>
      </w:r>
      <w:r>
        <w:rPr>
          <w:rFonts w:hint="eastAsia" w:ascii="宋体" w:hAnsi="宋体" w:eastAsia="宋体" w:cs="宋体"/>
          <w:b w:val="0"/>
          <w:bCs/>
          <w:color w:val="auto"/>
          <w:sz w:val="32"/>
          <w:szCs w:val="32"/>
        </w:rPr>
        <w:t>万元，其中：人员经费</w:t>
      </w:r>
      <w:r>
        <w:rPr>
          <w:rFonts w:hint="eastAsia" w:ascii="宋体" w:hAnsi="宋体" w:eastAsia="宋体" w:cs="宋体"/>
          <w:b w:val="0"/>
          <w:bCs/>
          <w:color w:val="auto"/>
          <w:sz w:val="32"/>
          <w:szCs w:val="32"/>
          <w:lang w:val="en-US" w:eastAsia="zh-CN"/>
        </w:rPr>
        <w:t>44.29</w:t>
      </w:r>
      <w:r>
        <w:rPr>
          <w:rFonts w:hint="eastAsia" w:ascii="宋体" w:hAnsi="宋体" w:eastAsia="宋体" w:cs="宋体"/>
          <w:b w:val="0"/>
          <w:bCs/>
          <w:color w:val="auto"/>
          <w:sz w:val="32"/>
          <w:szCs w:val="32"/>
        </w:rPr>
        <w:t>万元，公用经费</w:t>
      </w:r>
      <w:r>
        <w:rPr>
          <w:rFonts w:hint="eastAsia" w:ascii="宋体" w:hAnsi="宋体" w:eastAsia="宋体" w:cs="宋体"/>
          <w:b w:val="0"/>
          <w:bCs/>
          <w:color w:val="auto"/>
          <w:sz w:val="32"/>
          <w:szCs w:val="32"/>
          <w:lang w:val="en-US" w:eastAsia="zh-CN"/>
        </w:rPr>
        <w:t>6.81万</w:t>
      </w:r>
      <w:r>
        <w:rPr>
          <w:rFonts w:hint="eastAsia" w:ascii="宋体" w:hAnsi="宋体" w:eastAsia="宋体" w:cs="宋体"/>
          <w:b w:val="0"/>
          <w:bCs/>
          <w:color w:val="auto"/>
          <w:sz w:val="32"/>
          <w:szCs w:val="32"/>
        </w:rPr>
        <w:t>元</w:t>
      </w:r>
      <w:r>
        <w:rPr>
          <w:rFonts w:hint="eastAsia" w:ascii="宋体" w:hAnsi="宋体" w:eastAsia="宋体" w:cs="宋体"/>
          <w:color w:val="auto"/>
          <w:sz w:val="32"/>
          <w:szCs w:val="32"/>
        </w:rPr>
        <w:t>。</w:t>
      </w:r>
    </w:p>
    <w:p w14:paraId="0B82BDF0">
      <w:pPr>
        <w:pStyle w:val="6"/>
        <w:keepNext w:val="0"/>
        <w:keepLines w:val="0"/>
        <w:pageBreakBefore w:val="0"/>
        <w:numPr>
          <w:ilvl w:val="0"/>
          <w:numId w:val="0"/>
        </w:numPr>
        <w:kinsoku/>
        <w:wordWrap/>
        <w:overflowPunct/>
        <w:topLinePunct w:val="0"/>
        <w:autoSpaceDE/>
        <w:autoSpaceDN/>
        <w:bidi w:val="0"/>
        <w:spacing w:line="600" w:lineRule="exact"/>
        <w:ind w:firstLine="320" w:firstLineChars="100"/>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（二）项目支出情况</w:t>
      </w:r>
    </w:p>
    <w:p w14:paraId="35ABF928">
      <w:pPr>
        <w:pStyle w:val="6"/>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宋体" w:hAnsi="宋体" w:eastAsia="宋体" w:cs="宋体"/>
          <w:color w:val="FF0000"/>
          <w:kern w:val="2"/>
          <w:sz w:val="32"/>
          <w:szCs w:val="32"/>
          <w:lang w:val="en-US" w:eastAsia="zh-CN" w:bidi="ar-SA"/>
        </w:rPr>
      </w:pPr>
      <w:r>
        <w:rPr>
          <w:rFonts w:hint="eastAsia" w:ascii="宋体" w:hAnsi="宋体" w:eastAsia="宋体" w:cs="宋体"/>
          <w:color w:val="auto"/>
          <w:sz w:val="32"/>
          <w:szCs w:val="32"/>
          <w:lang w:val="en-US" w:eastAsia="zh-CN"/>
        </w:rPr>
        <w:t>1、侨联工作专项经费</w:t>
      </w:r>
      <w:r>
        <w:rPr>
          <w:rFonts w:hint="eastAsia" w:ascii="宋体" w:hAnsi="宋体" w:eastAsia="宋体" w:cs="宋体"/>
          <w:color w:val="auto"/>
          <w:kern w:val="2"/>
          <w:sz w:val="32"/>
          <w:szCs w:val="32"/>
          <w:lang w:val="en-US" w:eastAsia="zh-CN" w:bidi="ar-SA"/>
        </w:rPr>
        <w:t>项目支出6万元。</w:t>
      </w:r>
    </w:p>
    <w:p w14:paraId="20D9FE76">
      <w:pPr>
        <w:pStyle w:val="6"/>
        <w:keepNext w:val="0"/>
        <w:keepLines w:val="0"/>
        <w:pageBreakBefore w:val="0"/>
        <w:kinsoku/>
        <w:wordWrap/>
        <w:overflowPunct/>
        <w:topLinePunct w:val="0"/>
        <w:autoSpaceDE/>
        <w:autoSpaceDN/>
        <w:bidi w:val="0"/>
        <w:spacing w:line="600" w:lineRule="exact"/>
        <w:ind w:left="0" w:leftChars="0" w:firstLine="0" w:firstLineChars="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三、政府性基金预算支出情况</w:t>
      </w:r>
    </w:p>
    <w:p w14:paraId="24B77694">
      <w:pPr>
        <w:pStyle w:val="6"/>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宋体" w:hAnsi="宋体" w:eastAsia="宋体" w:cs="宋体"/>
        </w:rPr>
      </w:pPr>
      <w:r>
        <w:rPr>
          <w:rFonts w:hint="eastAsia" w:ascii="宋体" w:hAnsi="宋体" w:eastAsia="宋体" w:cs="宋体"/>
          <w:kern w:val="2"/>
          <w:sz w:val="32"/>
          <w:szCs w:val="32"/>
          <w:highlight w:val="none"/>
          <w:lang w:val="en-US" w:eastAsia="zh-CN" w:bidi="ar-SA"/>
        </w:rPr>
        <w:t>本单位2024年决算无政府性基金预算财政拨款支出。</w:t>
      </w:r>
    </w:p>
    <w:p w14:paraId="07360480">
      <w:pPr>
        <w:pStyle w:val="6"/>
        <w:keepNext w:val="0"/>
        <w:keepLines w:val="0"/>
        <w:pageBreakBefore w:val="0"/>
        <w:kinsoku/>
        <w:wordWrap/>
        <w:overflowPunct/>
        <w:topLinePunct w:val="0"/>
        <w:autoSpaceDE/>
        <w:autoSpaceDN/>
        <w:bidi w:val="0"/>
        <w:spacing w:line="600" w:lineRule="exact"/>
        <w:ind w:left="0" w:leftChars="0" w:firstLine="0" w:firstLineChars="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四、国有资本经营预算支出情况</w:t>
      </w:r>
    </w:p>
    <w:p w14:paraId="2FCB208B">
      <w:pPr>
        <w:pStyle w:val="6"/>
        <w:keepNext w:val="0"/>
        <w:keepLines w:val="0"/>
        <w:pageBreakBefore w:val="0"/>
        <w:kinsoku/>
        <w:wordWrap/>
        <w:overflowPunct/>
        <w:topLinePunct w:val="0"/>
        <w:autoSpaceDE/>
        <w:autoSpaceDN/>
        <w:bidi w:val="0"/>
        <w:spacing w:line="600" w:lineRule="exact"/>
        <w:ind w:firstLine="640"/>
        <w:textAlignment w:val="auto"/>
        <w:rPr>
          <w:rFonts w:hint="eastAsia" w:ascii="宋体" w:hAnsi="宋体" w:eastAsia="宋体" w:cs="宋体"/>
          <w:sz w:val="32"/>
          <w:szCs w:val="32"/>
          <w:lang w:eastAsia="zh-CN"/>
        </w:rPr>
      </w:pPr>
      <w:r>
        <w:rPr>
          <w:rFonts w:hint="eastAsia" w:ascii="宋体" w:hAnsi="宋体" w:eastAsia="宋体" w:cs="宋体"/>
          <w:color w:val="000000"/>
          <w:kern w:val="2"/>
          <w:sz w:val="32"/>
          <w:szCs w:val="32"/>
          <w:lang w:val="en-US" w:eastAsia="zh-CN" w:bidi="ar-SA"/>
        </w:rPr>
        <w:t>本单位2024年决算无国有资本经营预算财政拨款支出。</w:t>
      </w:r>
    </w:p>
    <w:p w14:paraId="4120AB1E">
      <w:pPr>
        <w:pStyle w:val="6"/>
        <w:keepNext w:val="0"/>
        <w:keepLines w:val="0"/>
        <w:pageBreakBefore w:val="0"/>
        <w:numPr>
          <w:ilvl w:val="0"/>
          <w:numId w:val="0"/>
        </w:numPr>
        <w:kinsoku/>
        <w:wordWrap/>
        <w:overflowPunct/>
        <w:topLinePunct w:val="0"/>
        <w:autoSpaceDE/>
        <w:autoSpaceDN/>
        <w:bidi w:val="0"/>
        <w:spacing w:line="600" w:lineRule="exact"/>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五、</w:t>
      </w:r>
      <w:r>
        <w:rPr>
          <w:rFonts w:hint="eastAsia" w:ascii="宋体" w:hAnsi="宋体" w:eastAsia="宋体" w:cs="宋体"/>
          <w:b/>
          <w:bCs/>
          <w:sz w:val="32"/>
          <w:szCs w:val="32"/>
        </w:rPr>
        <w:t>社会保险基金预算支出情况</w:t>
      </w:r>
    </w:p>
    <w:p w14:paraId="690E839F">
      <w:pPr>
        <w:pStyle w:val="6"/>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color w:val="000000"/>
          <w:kern w:val="2"/>
          <w:sz w:val="32"/>
          <w:szCs w:val="32"/>
          <w:lang w:val="en-US" w:eastAsia="zh-CN" w:bidi="ar-SA"/>
        </w:rPr>
        <w:t>本单位2024年决算无社会保险基金财政拨款支出。</w:t>
      </w:r>
    </w:p>
    <w:p w14:paraId="0024A6FB">
      <w:pPr>
        <w:keepNext w:val="0"/>
        <w:keepLines w:val="0"/>
        <w:pageBreakBefore w:val="0"/>
        <w:kinsoku/>
        <w:wordWrap/>
        <w:overflowPunct/>
        <w:topLinePunct w:val="0"/>
        <w:autoSpaceDE/>
        <w:autoSpaceDN/>
        <w:bidi w:val="0"/>
        <w:spacing w:line="600" w:lineRule="exact"/>
        <w:textAlignment w:val="auto"/>
        <w:rPr>
          <w:rFonts w:hint="eastAsia" w:ascii="宋体" w:hAnsi="宋体" w:eastAsia="宋体" w:cs="宋体"/>
          <w:b/>
          <w:bCs/>
          <w:sz w:val="32"/>
          <w:szCs w:val="32"/>
        </w:rPr>
      </w:pPr>
      <w:r>
        <w:rPr>
          <w:rFonts w:hint="eastAsia" w:ascii="宋体" w:hAnsi="宋体" w:eastAsia="宋体" w:cs="宋体"/>
          <w:b/>
          <w:bCs/>
          <w:sz w:val="32"/>
          <w:szCs w:val="32"/>
        </w:rPr>
        <w:t>六、</w:t>
      </w:r>
      <w:r>
        <w:rPr>
          <w:rFonts w:hint="eastAsia" w:ascii="宋体" w:hAnsi="宋体" w:eastAsia="宋体" w:cs="宋体"/>
          <w:b/>
          <w:bCs/>
          <w:sz w:val="32"/>
          <w:szCs w:val="32"/>
          <w:lang w:eastAsia="zh-CN"/>
        </w:rPr>
        <w:t>资金使用及</w:t>
      </w:r>
      <w:r>
        <w:rPr>
          <w:rFonts w:hint="eastAsia" w:ascii="宋体" w:hAnsi="宋体" w:eastAsia="宋体" w:cs="宋体"/>
          <w:b/>
          <w:bCs/>
          <w:sz w:val="32"/>
          <w:szCs w:val="32"/>
        </w:rPr>
        <w:t>绩效情况</w:t>
      </w:r>
    </w:p>
    <w:p w14:paraId="7025F7A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b w:val="0"/>
          <w:bCs/>
          <w:kern w:val="2"/>
          <w:sz w:val="32"/>
          <w:szCs w:val="32"/>
          <w:lang w:val="en-US" w:eastAsia="zh-CN" w:bidi="ar-SA"/>
        </w:rPr>
      </w:pPr>
      <w:r>
        <w:rPr>
          <w:rFonts w:hint="eastAsia" w:ascii="宋体" w:hAnsi="宋体" w:eastAsia="宋体" w:cs="宋体"/>
          <w:b w:val="0"/>
          <w:bCs/>
          <w:kern w:val="2"/>
          <w:sz w:val="32"/>
          <w:szCs w:val="32"/>
          <w:lang w:val="en-US" w:eastAsia="zh-CN" w:bidi="ar-SA"/>
        </w:rPr>
        <w:t>(一）部门整体支出绩效情况</w:t>
      </w:r>
    </w:p>
    <w:p w14:paraId="10A46065">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本单位202</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lang w:eastAsia="zh-CN"/>
        </w:rPr>
        <w:t>年年初预算资金总计</w:t>
      </w:r>
      <w:r>
        <w:rPr>
          <w:rFonts w:hint="eastAsia" w:ascii="宋体" w:hAnsi="宋体" w:eastAsia="宋体" w:cs="宋体"/>
          <w:color w:val="auto"/>
          <w:sz w:val="32"/>
          <w:szCs w:val="32"/>
          <w:lang w:val="en-US" w:eastAsia="zh-CN"/>
        </w:rPr>
        <w:t>53.25</w:t>
      </w:r>
      <w:r>
        <w:rPr>
          <w:rFonts w:hint="eastAsia" w:ascii="宋体" w:hAnsi="宋体" w:eastAsia="宋体" w:cs="宋体"/>
          <w:color w:val="000000"/>
          <w:sz w:val="32"/>
          <w:szCs w:val="32"/>
          <w:lang w:val="en-US" w:eastAsia="zh-CN"/>
        </w:rPr>
        <w:t>万元，实际单位年度总支出57.1万元，预算执行率为107.23%。积极履职，强化管理，按照“以人为本、为侨服务”的根本宗旨，支持华侨文化交流基地建设运行，通过开展活动、搭建平台、创新方法，把中央、省委和市委、区委对侨工作的决策部署逐一落到实处。较好的完成了年度工作目标。</w:t>
      </w:r>
    </w:p>
    <w:p w14:paraId="7A052550">
      <w:pPr>
        <w:pStyle w:val="6"/>
        <w:numPr>
          <w:ilvl w:val="0"/>
          <w:numId w:val="2"/>
        </w:numPr>
        <w:spacing w:line="600" w:lineRule="exact"/>
        <w:ind w:firstLine="640"/>
        <w:rPr>
          <w:rFonts w:hint="eastAsia" w:ascii="宋体" w:hAnsi="宋体" w:eastAsia="宋体" w:cs="宋体"/>
          <w:b w:val="0"/>
          <w:bCs/>
          <w:kern w:val="2"/>
          <w:sz w:val="32"/>
          <w:szCs w:val="32"/>
          <w:lang w:val="en-US" w:eastAsia="zh-CN" w:bidi="ar-SA"/>
        </w:rPr>
      </w:pPr>
      <w:r>
        <w:rPr>
          <w:rFonts w:hint="eastAsia" w:ascii="宋体" w:hAnsi="宋体" w:eastAsia="宋体" w:cs="宋体"/>
          <w:b w:val="0"/>
          <w:bCs/>
          <w:kern w:val="2"/>
          <w:sz w:val="32"/>
          <w:szCs w:val="32"/>
          <w:lang w:val="en-US" w:eastAsia="zh-CN" w:bidi="ar-SA"/>
        </w:rPr>
        <w:t>专项资金支出绩效情况</w:t>
      </w:r>
    </w:p>
    <w:p w14:paraId="23B6D038">
      <w:pPr>
        <w:pStyle w:val="6"/>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lang w:eastAsia="zh-CN"/>
        </w:rPr>
        <w:t>资金使用</w:t>
      </w:r>
    </w:p>
    <w:p w14:paraId="62FF3ADA">
      <w:pPr>
        <w:pStyle w:val="6"/>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lang w:eastAsia="zh-CN"/>
        </w:rPr>
        <w:t>严格资金使用管理。我单位制定了内部控制手册，涵盖了内部控制体系的建立、相关财务收支、政府采购、预算业务、资产管理、费用报销、合同管理、建设项目等业务方面管理制度。</w:t>
      </w:r>
    </w:p>
    <w:p w14:paraId="3ACDCC66">
      <w:pPr>
        <w:pStyle w:val="3"/>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ind w:left="0" w:leftChars="0" w:right="0" w:rightChars="0" w:firstLine="640" w:firstLineChars="200"/>
        <w:jc w:val="both"/>
        <w:textAlignment w:val="auto"/>
        <w:outlineLvl w:val="9"/>
        <w:rPr>
          <w:rFonts w:hint="eastAsia" w:ascii="宋体" w:hAnsi="宋体" w:eastAsia="宋体" w:cs="宋体"/>
          <w:kern w:val="2"/>
          <w:sz w:val="32"/>
          <w:szCs w:val="32"/>
          <w:lang w:val="en-US" w:eastAsia="zh-CN" w:bidi="ar-SA"/>
        </w:rPr>
      </w:pP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lang w:eastAsia="zh-CN"/>
        </w:rPr>
        <w:t>切实做到专款专用。</w:t>
      </w:r>
      <w:r>
        <w:rPr>
          <w:rFonts w:hint="eastAsia" w:ascii="宋体" w:hAnsi="宋体" w:eastAsia="宋体" w:cs="宋体"/>
          <w:kern w:val="2"/>
          <w:sz w:val="32"/>
          <w:szCs w:val="32"/>
          <w:lang w:val="en-US" w:eastAsia="zh-CN" w:bidi="ar-SA"/>
        </w:rPr>
        <w:t>本部门2024年年初预算专项资金共1个，具体情况如下：</w:t>
      </w:r>
    </w:p>
    <w:p w14:paraId="436F5B88">
      <w:pPr>
        <w:pStyle w:val="6"/>
        <w:keepNext w:val="0"/>
        <w:keepLines w:val="0"/>
        <w:pageBreakBefore w:val="0"/>
        <w:kinsoku/>
        <w:wordWrap/>
        <w:overflowPunct/>
        <w:topLinePunct w:val="0"/>
        <w:autoSpaceDE/>
        <w:autoSpaceDN/>
        <w:bidi w:val="0"/>
        <w:spacing w:line="600" w:lineRule="exact"/>
        <w:ind w:firstLine="640"/>
        <w:textAlignment w:val="auto"/>
        <w:rPr>
          <w:rFonts w:hint="eastAsia" w:ascii="宋体" w:hAnsi="宋体" w:eastAsia="宋体" w:cs="宋体"/>
          <w:sz w:val="32"/>
          <w:szCs w:val="32"/>
          <w:highlight w:val="none"/>
          <w:lang w:val="en-US" w:eastAsia="zh-CN"/>
        </w:rPr>
      </w:pPr>
      <w:r>
        <w:rPr>
          <w:rFonts w:hint="eastAsia" w:ascii="宋体" w:hAnsi="宋体" w:eastAsia="宋体" w:cs="宋体"/>
          <w:color w:val="auto"/>
          <w:sz w:val="32"/>
          <w:szCs w:val="32"/>
          <w:lang w:val="en-US" w:eastAsia="zh-CN"/>
        </w:rPr>
        <w:t>侨联工作经费，</w:t>
      </w:r>
      <w:r>
        <w:rPr>
          <w:rFonts w:hint="eastAsia" w:ascii="宋体" w:hAnsi="宋体" w:cs="宋体"/>
          <w:color w:val="auto"/>
          <w:sz w:val="32"/>
          <w:szCs w:val="32"/>
          <w:lang w:val="en-US" w:eastAsia="zh-CN"/>
        </w:rPr>
        <w:t>年初</w:t>
      </w:r>
      <w:r>
        <w:rPr>
          <w:rFonts w:hint="eastAsia" w:ascii="宋体" w:hAnsi="宋体" w:eastAsia="宋体" w:cs="宋体"/>
          <w:color w:val="auto"/>
          <w:sz w:val="32"/>
          <w:szCs w:val="32"/>
          <w:lang w:val="en-US" w:eastAsia="zh-CN"/>
        </w:rPr>
        <w:t>预算支出3万元，实际支出6万元。</w:t>
      </w:r>
      <w:r>
        <w:rPr>
          <w:rFonts w:hint="eastAsia" w:ascii="宋体" w:hAnsi="宋体" w:eastAsia="宋体" w:cs="宋体"/>
          <w:sz w:val="32"/>
          <w:szCs w:val="32"/>
          <w:lang w:val="en-US" w:eastAsia="zh-CN"/>
        </w:rPr>
        <w:t>该专项资金支出</w:t>
      </w:r>
      <w:r>
        <w:rPr>
          <w:rFonts w:hint="eastAsia" w:ascii="宋体" w:hAnsi="宋体" w:eastAsia="宋体" w:cs="宋体"/>
          <w:sz w:val="32"/>
          <w:szCs w:val="32"/>
          <w:highlight w:val="none"/>
          <w:lang w:val="en-US" w:eastAsia="zh-CN"/>
        </w:rPr>
        <w:t>用于</w:t>
      </w:r>
      <w:r>
        <w:rPr>
          <w:rFonts w:hint="eastAsia" w:ascii="宋体" w:hAnsi="宋体" w:cs="宋体"/>
          <w:sz w:val="32"/>
          <w:szCs w:val="32"/>
          <w:highlight w:val="none"/>
          <w:lang w:val="en-US" w:eastAsia="zh-CN"/>
        </w:rPr>
        <w:t>支持</w:t>
      </w:r>
      <w:r>
        <w:rPr>
          <w:rFonts w:hint="eastAsia" w:ascii="宋体" w:hAnsi="宋体" w:eastAsia="宋体" w:cs="宋体"/>
          <w:sz w:val="32"/>
          <w:szCs w:val="32"/>
          <w:highlight w:val="none"/>
          <w:lang w:val="en-US" w:eastAsia="zh-CN"/>
        </w:rPr>
        <w:t>“侨胞之家”</w:t>
      </w:r>
      <w:r>
        <w:rPr>
          <w:rFonts w:hint="eastAsia" w:ascii="宋体" w:hAnsi="宋体" w:cs="宋体"/>
          <w:sz w:val="32"/>
          <w:szCs w:val="32"/>
          <w:highlight w:val="none"/>
          <w:lang w:val="en-US" w:eastAsia="zh-CN"/>
        </w:rPr>
        <w:t>开展系列活动</w:t>
      </w:r>
      <w:r>
        <w:rPr>
          <w:rFonts w:hint="eastAsia" w:ascii="宋体" w:hAnsi="宋体" w:eastAsia="宋体" w:cs="宋体"/>
          <w:sz w:val="32"/>
          <w:szCs w:val="32"/>
          <w:highlight w:val="none"/>
          <w:lang w:val="en-US" w:eastAsia="zh-CN"/>
        </w:rPr>
        <w:t>；切实加强困难侨胞慰问保障；开展人民群众群众喜闻乐见的侨界联络联谊活动。</w:t>
      </w:r>
    </w:p>
    <w:p w14:paraId="6A8A88AB">
      <w:pPr>
        <w:keepNext w:val="0"/>
        <w:keepLines w:val="0"/>
        <w:pageBreakBefore w:val="0"/>
        <w:numPr>
          <w:ilvl w:val="0"/>
          <w:numId w:val="3"/>
        </w:numPr>
        <w:kinsoku/>
        <w:wordWrap/>
        <w:overflowPunct/>
        <w:topLinePunct w:val="0"/>
        <w:autoSpaceDE/>
        <w:autoSpaceDN/>
        <w:bidi w:val="0"/>
        <w:snapToGrid w:val="0"/>
        <w:spacing w:line="560" w:lineRule="exact"/>
        <w:ind w:left="0" w:leftChars="0" w:firstLine="640" w:firstLineChars="200"/>
        <w:textAlignment w:val="auto"/>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绩效情况</w:t>
      </w:r>
    </w:p>
    <w:p w14:paraId="68724283">
      <w:pPr>
        <w:spacing w:before="120" w:beforeLines="50" w:line="396" w:lineRule="auto"/>
        <w:ind w:left="15" w:leftChars="7" w:right="11" w:firstLine="664" w:firstLineChars="200"/>
        <w:rPr>
          <w:rFonts w:hint="eastAsia" w:ascii="宋体" w:hAnsi="宋体" w:eastAsia="宋体" w:cs="宋体"/>
          <w:spacing w:val="6"/>
          <w:sz w:val="32"/>
          <w:szCs w:val="32"/>
        </w:rPr>
      </w:pPr>
      <w:r>
        <w:rPr>
          <w:rFonts w:hint="eastAsia" w:ascii="宋体" w:hAnsi="宋体" w:eastAsia="宋体" w:cs="宋体"/>
          <w:spacing w:val="6"/>
          <w:sz w:val="32"/>
          <w:szCs w:val="32"/>
          <w:lang w:eastAsia="zh-CN"/>
        </w:rPr>
        <w:t>（</w:t>
      </w:r>
      <w:r>
        <w:rPr>
          <w:rFonts w:hint="eastAsia" w:ascii="宋体" w:hAnsi="宋体" w:eastAsia="宋体" w:cs="宋体"/>
          <w:spacing w:val="6"/>
          <w:sz w:val="32"/>
          <w:szCs w:val="32"/>
        </w:rPr>
        <w:t>一）开展系列活动，广泛凝聚侨心侨力。一是组织开展了“三线情怀 七新筑梦”“育好家国心 芦淞梦飞扬”及“中秋话团圆·侨心永向党”等系列活动，增强了侨界人士的归属感与民族自豪感，营造了爱侨、护侨、为侨的氛围。二是开展走访慰问侨界代表活动。走访慰问了以陈静霞老人为代表的侨界人士以及6户困难侨眷，为孤老病重等侨眷送去节日的问候和祝福，让侨界人士切实感受到了党和政府的关怀。三是组织侨界代表人士开展进社区活动。多次组织侨界代表人士到庆云街道锦绣社区、枫溪街道七斗冲社区开展“幸福株洲 同心共建”进社区报到服务活动，根据联点社区居民存在的问题和需求，结合侨界人士的职业、特长和兴趣爱好，发动安排为社区居民提供必要帮助，为推动统战工作融入基层党建和社会治理体系贡献了侨界力量。</w:t>
      </w:r>
    </w:p>
    <w:p w14:paraId="3E8E1440">
      <w:pPr>
        <w:spacing w:before="120" w:beforeLines="50" w:line="396" w:lineRule="auto"/>
        <w:ind w:left="15" w:leftChars="7" w:right="11" w:firstLine="664" w:firstLineChars="200"/>
        <w:rPr>
          <w:rFonts w:hint="eastAsia" w:ascii="宋体" w:hAnsi="宋体" w:eastAsia="宋体" w:cs="宋体"/>
          <w:spacing w:val="6"/>
          <w:sz w:val="32"/>
          <w:szCs w:val="32"/>
        </w:rPr>
      </w:pPr>
      <w:r>
        <w:rPr>
          <w:rFonts w:hint="eastAsia" w:ascii="宋体" w:hAnsi="宋体" w:eastAsia="宋体" w:cs="宋体"/>
          <w:spacing w:val="6"/>
          <w:sz w:val="32"/>
          <w:szCs w:val="32"/>
        </w:rPr>
        <w:t>（二）提升服务能力，切实维护侨权侨益。一是开展以“贯彻落实侨法，维权凝聚侨心”的侨法宣传活动，通过开展活动集中发放资料、利用三个“侨胞之家”平台集中宣传、走访调研侨企座谈等方式侨法，切实维护侨界权益。二是联合走访涉侨企业。联合市侨商会、市侨联法律顾问开展“侨兴株洲 冬日暖侨”活动，走访了诚超重工等涉侨企业。三是继续做好驻企服务。加强与有关职能部门对接，力促涉侨企业惠企政策应享尽享，并设法解决企业“急难愁盼”问题。</w:t>
      </w:r>
    </w:p>
    <w:p w14:paraId="1B86C722">
      <w:pPr>
        <w:spacing w:before="120" w:beforeLines="50" w:line="396" w:lineRule="auto"/>
        <w:ind w:left="15" w:leftChars="7" w:right="11" w:firstLine="664" w:firstLineChars="200"/>
        <w:rPr>
          <w:rFonts w:hint="eastAsia" w:ascii="宋体" w:hAnsi="宋体" w:eastAsia="宋体" w:cs="宋体"/>
          <w:spacing w:val="6"/>
          <w:sz w:val="32"/>
          <w:szCs w:val="32"/>
        </w:rPr>
      </w:pPr>
      <w:r>
        <w:rPr>
          <w:rFonts w:hint="eastAsia" w:ascii="宋体" w:hAnsi="宋体" w:eastAsia="宋体" w:cs="宋体"/>
          <w:spacing w:val="6"/>
          <w:sz w:val="32"/>
          <w:szCs w:val="32"/>
        </w:rPr>
        <w:t>坚持服务大局，凝聚侨力服务发展。一是鼓励建言献策。充分发挥侨界政协委员的积极性，帮助鼓励侨界委员掌握实情，撰写高质量提案，鼓励侨界委员参加在南京大学开设的芦淞区六届政协委员履职能力提升专题培训班，切实提高侨界参政议政工作质量和水平。二是全力支持配合“聚侨兴湘”活动。以“聚侨兴湘 制造名城株洲行”活动为契机，加强与辖区有关企业对接，积极组织企业集中签约、开展招商推介，协调辖区参观点山河星航做好接待服务。</w:t>
      </w:r>
    </w:p>
    <w:p w14:paraId="55A9E706">
      <w:pPr>
        <w:pStyle w:val="6"/>
        <w:keepNext w:val="0"/>
        <w:keepLines w:val="0"/>
        <w:pageBreakBefore w:val="0"/>
        <w:kinsoku/>
        <w:wordWrap/>
        <w:overflowPunct/>
        <w:topLinePunct w:val="0"/>
        <w:autoSpaceDE/>
        <w:autoSpaceDN/>
        <w:bidi w:val="0"/>
        <w:spacing w:line="600" w:lineRule="exact"/>
        <w:ind w:firstLine="640"/>
        <w:textAlignment w:val="auto"/>
        <w:rPr>
          <w:rFonts w:hint="eastAsia" w:ascii="宋体" w:hAnsi="宋体" w:eastAsia="宋体" w:cs="宋体"/>
          <w:sz w:val="32"/>
          <w:szCs w:val="32"/>
          <w:highlight w:val="none"/>
          <w:lang w:val="en-US" w:eastAsia="zh-CN"/>
        </w:rPr>
      </w:pPr>
    </w:p>
    <w:p w14:paraId="603083CD">
      <w:pPr>
        <w:pStyle w:val="6"/>
        <w:keepNext w:val="0"/>
        <w:keepLines w:val="0"/>
        <w:pageBreakBefore w:val="0"/>
        <w:kinsoku/>
        <w:wordWrap/>
        <w:overflowPunct/>
        <w:topLinePunct w:val="0"/>
        <w:autoSpaceDE/>
        <w:autoSpaceDN/>
        <w:bidi w:val="0"/>
        <w:spacing w:line="600" w:lineRule="exact"/>
        <w:ind w:left="0" w:leftChars="0" w:firstLine="0" w:firstLineChars="0"/>
        <w:textAlignment w:val="auto"/>
        <w:rPr>
          <w:rFonts w:hint="eastAsia" w:ascii="宋体" w:hAnsi="宋体" w:eastAsia="宋体" w:cs="宋体"/>
          <w:b/>
          <w:bCs/>
          <w:sz w:val="32"/>
          <w:szCs w:val="32"/>
        </w:rPr>
      </w:pPr>
      <w:r>
        <w:rPr>
          <w:rFonts w:hint="eastAsia" w:ascii="宋体" w:hAnsi="宋体" w:eastAsia="宋体" w:cs="宋体"/>
          <w:b/>
          <w:bCs/>
          <w:sz w:val="32"/>
          <w:szCs w:val="32"/>
        </w:rPr>
        <w:t>七、存在的问题及原因分析</w:t>
      </w:r>
    </w:p>
    <w:p w14:paraId="65C56BA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无</w:t>
      </w:r>
    </w:p>
    <w:p w14:paraId="1F80A1AB">
      <w:pPr>
        <w:keepNext w:val="0"/>
        <w:keepLines w:val="0"/>
        <w:pageBreakBefore w:val="0"/>
        <w:numPr>
          <w:ilvl w:val="0"/>
          <w:numId w:val="4"/>
        </w:numPr>
        <w:kinsoku/>
        <w:wordWrap/>
        <w:overflowPunct/>
        <w:topLinePunct w:val="0"/>
        <w:autoSpaceDE/>
        <w:autoSpaceDN/>
        <w:bidi w:val="0"/>
        <w:spacing w:line="600" w:lineRule="exact"/>
        <w:textAlignment w:val="auto"/>
        <w:rPr>
          <w:rFonts w:hint="eastAsia" w:ascii="宋体" w:hAnsi="宋体" w:eastAsia="宋体" w:cs="宋体"/>
          <w:b/>
          <w:bCs/>
          <w:sz w:val="32"/>
          <w:szCs w:val="32"/>
        </w:rPr>
      </w:pPr>
      <w:r>
        <w:rPr>
          <w:rFonts w:hint="eastAsia" w:ascii="宋体" w:hAnsi="宋体" w:eastAsia="宋体" w:cs="宋体"/>
          <w:b/>
          <w:bCs/>
          <w:sz w:val="32"/>
          <w:szCs w:val="32"/>
        </w:rPr>
        <w:t>下一步改进措施</w:t>
      </w:r>
    </w:p>
    <w:p w14:paraId="14970B70">
      <w:pPr>
        <w:pStyle w:val="2"/>
        <w:numPr>
          <w:ilvl w:val="0"/>
          <w:numId w:val="0"/>
        </w:numPr>
        <w:ind w:firstLine="640" w:firstLineChars="200"/>
        <w:rPr>
          <w:rFonts w:hint="eastAsia"/>
          <w:sz w:val="32"/>
          <w:szCs w:val="32"/>
          <w:lang w:eastAsia="zh-CN"/>
        </w:rPr>
      </w:pPr>
      <w:r>
        <w:rPr>
          <w:rFonts w:hint="eastAsia"/>
          <w:sz w:val="32"/>
          <w:szCs w:val="32"/>
          <w:lang w:eastAsia="zh-CN"/>
        </w:rPr>
        <w:t>无</w:t>
      </w:r>
    </w:p>
    <w:p w14:paraId="2F39993F">
      <w:pPr>
        <w:pStyle w:val="2"/>
        <w:numPr>
          <w:ilvl w:val="0"/>
          <w:numId w:val="0"/>
        </w:numPr>
        <w:rPr>
          <w:rFonts w:hint="eastAsia" w:ascii="宋体" w:hAnsi="宋体" w:eastAsia="宋体" w:cs="宋体"/>
          <w:b/>
          <w:bCs/>
          <w:sz w:val="32"/>
          <w:szCs w:val="32"/>
        </w:rPr>
      </w:pPr>
      <w:r>
        <w:rPr>
          <w:rFonts w:hint="eastAsia" w:ascii="宋体" w:hAnsi="宋体" w:eastAsia="宋体" w:cs="宋体"/>
          <w:b/>
          <w:bCs/>
          <w:sz w:val="32"/>
          <w:szCs w:val="32"/>
          <w:lang w:eastAsia="zh-CN"/>
        </w:rPr>
        <w:t>九、</w:t>
      </w:r>
      <w:r>
        <w:rPr>
          <w:rFonts w:hint="eastAsia" w:ascii="宋体" w:hAnsi="宋体" w:eastAsia="宋体" w:cs="宋体"/>
          <w:b/>
          <w:bCs/>
          <w:sz w:val="32"/>
          <w:szCs w:val="32"/>
        </w:rPr>
        <w:t>绩效自评结果拟应用和公开情况</w:t>
      </w:r>
    </w:p>
    <w:p w14:paraId="4FCC19E3">
      <w:pPr>
        <w:pStyle w:val="2"/>
        <w:numPr>
          <w:ilvl w:val="0"/>
          <w:numId w:val="0"/>
        </w:num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本单位无独立网站，绩效自评报告将在政府门户网站与决算报告一起公开。</w:t>
      </w:r>
    </w:p>
    <w:p w14:paraId="2B4F3AFB">
      <w:pPr>
        <w:keepNext w:val="0"/>
        <w:keepLines w:val="0"/>
        <w:pageBreakBefore w:val="0"/>
        <w:numPr>
          <w:ilvl w:val="0"/>
          <w:numId w:val="0"/>
        </w:numPr>
        <w:kinsoku/>
        <w:wordWrap/>
        <w:overflowPunct/>
        <w:topLinePunct w:val="0"/>
        <w:autoSpaceDE/>
        <w:autoSpaceDN/>
        <w:bidi w:val="0"/>
        <w:spacing w:line="600" w:lineRule="exact"/>
        <w:ind w:leftChars="0"/>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十、</w:t>
      </w:r>
      <w:r>
        <w:rPr>
          <w:rFonts w:hint="eastAsia" w:ascii="宋体" w:hAnsi="宋体" w:eastAsia="宋体" w:cs="宋体"/>
          <w:b/>
          <w:bCs/>
          <w:sz w:val="32"/>
          <w:szCs w:val="32"/>
        </w:rPr>
        <w:t>其他需要说明的情况</w:t>
      </w:r>
    </w:p>
    <w:p w14:paraId="5046A801">
      <w:pPr>
        <w:pStyle w:val="2"/>
        <w:numPr>
          <w:ilvl w:val="0"/>
          <w:numId w:val="0"/>
        </w:numPr>
        <w:ind w:leftChars="0" w:firstLine="640" w:firstLineChars="200"/>
        <w:rPr>
          <w:rFonts w:hint="default" w:eastAsia="宋体"/>
          <w:lang w:val="en-US" w:eastAsia="zh-CN"/>
        </w:rPr>
      </w:pPr>
      <w:r>
        <w:rPr>
          <w:rFonts w:hint="eastAsia"/>
          <w:sz w:val="32"/>
          <w:szCs w:val="32"/>
          <w:lang w:eastAsia="zh-CN"/>
        </w:rPr>
        <w:t>无</w:t>
      </w:r>
      <w:r>
        <w:rPr>
          <w:rFonts w:hint="eastAsia"/>
          <w:sz w:val="32"/>
          <w:szCs w:val="32"/>
          <w:lang w:val="en-US" w:eastAsia="zh-CN"/>
        </w:rPr>
        <w:t xml:space="preserve"> </w:t>
      </w:r>
    </w:p>
    <w:p w14:paraId="0400514F">
      <w:pPr>
        <w:spacing w:line="600" w:lineRule="exact"/>
        <w:ind w:firstLine="640" w:firstLineChars="200"/>
        <w:rPr>
          <w:rFonts w:hint="eastAsia" w:ascii="楷体" w:hAnsi="楷体" w:eastAsia="楷体" w:cs="楷体"/>
          <w:sz w:val="32"/>
          <w:szCs w:val="32"/>
        </w:rPr>
      </w:pPr>
    </w:p>
    <w:p w14:paraId="7AE6397A">
      <w:pPr>
        <w:spacing w:line="600" w:lineRule="exact"/>
        <w:rPr>
          <w:rFonts w:hint="eastAsia" w:ascii="楷体" w:hAnsi="楷体" w:eastAsia="楷体" w:cs="楷体"/>
          <w:kern w:val="0"/>
          <w:sz w:val="32"/>
          <w:szCs w:val="32"/>
        </w:rPr>
      </w:pPr>
    </w:p>
    <w:p w14:paraId="02CF7937">
      <w:r>
        <w:rPr>
          <w:rFonts w:hint="eastAsia" w:ascii="楷体" w:hAnsi="楷体" w:eastAsia="楷体" w:cs="楷体"/>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842B7"/>
    <w:multiLevelType w:val="singleLevel"/>
    <w:tmpl w:val="8AE842B7"/>
    <w:lvl w:ilvl="0" w:tentative="0">
      <w:start w:val="2"/>
      <w:numFmt w:val="decimal"/>
      <w:lvlText w:val="%1."/>
      <w:lvlJc w:val="left"/>
      <w:pPr>
        <w:tabs>
          <w:tab w:val="left" w:pos="312"/>
        </w:tabs>
      </w:pPr>
    </w:lvl>
  </w:abstractNum>
  <w:abstractNum w:abstractNumId="1">
    <w:nsid w:val="A1341880"/>
    <w:multiLevelType w:val="singleLevel"/>
    <w:tmpl w:val="A1341880"/>
    <w:lvl w:ilvl="0" w:tentative="0">
      <w:start w:val="8"/>
      <w:numFmt w:val="chineseCounting"/>
      <w:suff w:val="nothing"/>
      <w:lvlText w:val="%1、"/>
      <w:lvlJc w:val="left"/>
      <w:rPr>
        <w:rFonts w:hint="eastAsia"/>
      </w:rPr>
    </w:lvl>
  </w:abstractNum>
  <w:abstractNum w:abstractNumId="2">
    <w:nsid w:val="10DF370C"/>
    <w:multiLevelType w:val="singleLevel"/>
    <w:tmpl w:val="10DF370C"/>
    <w:lvl w:ilvl="0" w:tentative="0">
      <w:start w:val="2"/>
      <w:numFmt w:val="chineseCounting"/>
      <w:suff w:val="nothing"/>
      <w:lvlText w:val="（%1）"/>
      <w:lvlJc w:val="left"/>
      <w:rPr>
        <w:rFonts w:hint="eastAsia"/>
      </w:rPr>
    </w:lvl>
  </w:abstractNum>
  <w:abstractNum w:abstractNumId="3">
    <w:nsid w:val="73ECEEA3"/>
    <w:multiLevelType w:val="singleLevel"/>
    <w:tmpl w:val="73ECEEA3"/>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M2I3YjlkYmJmNTkzNmZjMTczZGJlMjZjODg5OWQ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6A4345"/>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85775"/>
    <w:rsid w:val="1B9D302A"/>
    <w:rsid w:val="1BF446CE"/>
    <w:rsid w:val="1C704031"/>
    <w:rsid w:val="1D271A66"/>
    <w:rsid w:val="1DCB47DF"/>
    <w:rsid w:val="1E601115"/>
    <w:rsid w:val="1EB03217"/>
    <w:rsid w:val="1F000FB0"/>
    <w:rsid w:val="1F111AD7"/>
    <w:rsid w:val="1F5A1E7F"/>
    <w:rsid w:val="1FA707DF"/>
    <w:rsid w:val="1FFE7B8C"/>
    <w:rsid w:val="201369C1"/>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3A5524"/>
    <w:rsid w:val="2D8470B0"/>
    <w:rsid w:val="2D85399E"/>
    <w:rsid w:val="2DC65E1F"/>
    <w:rsid w:val="2DD815E9"/>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3A02106"/>
    <w:rsid w:val="33F60D22"/>
    <w:rsid w:val="35124AFB"/>
    <w:rsid w:val="35164EC9"/>
    <w:rsid w:val="35EE1AE6"/>
    <w:rsid w:val="36216ACD"/>
    <w:rsid w:val="36AD5505"/>
    <w:rsid w:val="36DB24F1"/>
    <w:rsid w:val="37904E67"/>
    <w:rsid w:val="37950A5B"/>
    <w:rsid w:val="3797204C"/>
    <w:rsid w:val="37A771FF"/>
    <w:rsid w:val="37B37AED"/>
    <w:rsid w:val="37EF7DFA"/>
    <w:rsid w:val="380A1D4B"/>
    <w:rsid w:val="38A54053"/>
    <w:rsid w:val="38D37D37"/>
    <w:rsid w:val="39312765"/>
    <w:rsid w:val="393A2055"/>
    <w:rsid w:val="399C1F0E"/>
    <w:rsid w:val="39EB6200"/>
    <w:rsid w:val="3A003CFF"/>
    <w:rsid w:val="3A1339C4"/>
    <w:rsid w:val="3A5E19E0"/>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A45929"/>
    <w:rsid w:val="44B87D18"/>
    <w:rsid w:val="453A160B"/>
    <w:rsid w:val="45E2026E"/>
    <w:rsid w:val="45F85A17"/>
    <w:rsid w:val="463747B7"/>
    <w:rsid w:val="47212ECA"/>
    <w:rsid w:val="47323108"/>
    <w:rsid w:val="47A3011A"/>
    <w:rsid w:val="47D51345"/>
    <w:rsid w:val="47E11557"/>
    <w:rsid w:val="47E50732"/>
    <w:rsid w:val="48196B29"/>
    <w:rsid w:val="4885603F"/>
    <w:rsid w:val="491722FF"/>
    <w:rsid w:val="491D74A7"/>
    <w:rsid w:val="497C7C2F"/>
    <w:rsid w:val="498307B4"/>
    <w:rsid w:val="49882B9B"/>
    <w:rsid w:val="49AF4809"/>
    <w:rsid w:val="49B324BE"/>
    <w:rsid w:val="4A3763F6"/>
    <w:rsid w:val="4A5007FC"/>
    <w:rsid w:val="4A885383"/>
    <w:rsid w:val="4AA670F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106C0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C0C53B9"/>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2DE356B"/>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9F0FA4"/>
    <w:rsid w:val="6DCC19D2"/>
    <w:rsid w:val="6E224140"/>
    <w:rsid w:val="6E2E58DF"/>
    <w:rsid w:val="6E987E4E"/>
    <w:rsid w:val="6EE044A0"/>
    <w:rsid w:val="6F0F7BD0"/>
    <w:rsid w:val="6F1D59CD"/>
    <w:rsid w:val="6FE61A56"/>
    <w:rsid w:val="704C412C"/>
    <w:rsid w:val="70AD1C74"/>
    <w:rsid w:val="711C4732"/>
    <w:rsid w:val="72696BF8"/>
    <w:rsid w:val="728C41FA"/>
    <w:rsid w:val="734F28D5"/>
    <w:rsid w:val="734F3820"/>
    <w:rsid w:val="73F11B0B"/>
    <w:rsid w:val="743957DE"/>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242D44"/>
    <w:rsid w:val="7B877F0B"/>
    <w:rsid w:val="7C511C26"/>
    <w:rsid w:val="7CA00AC6"/>
    <w:rsid w:val="7CEF5D73"/>
    <w:rsid w:val="7CF2566E"/>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Normal (Web)"/>
    <w:basedOn w:val="1"/>
    <w:qFormat/>
    <w:uiPriority w:val="0"/>
    <w:rPr>
      <w:sz w:val="24"/>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2254</Words>
  <Characters>2326</Characters>
  <Lines>0</Lines>
  <Paragraphs>0</Paragraphs>
  <TotalTime>27</TotalTime>
  <ScaleCrop>false</ScaleCrop>
  <LinksUpToDate>false</LinksUpToDate>
  <CharactersWithSpaces>2333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2026-01-23T03:46:56Z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BBECBB98181E47A4852E805D48C0BF74_13</vt:lpwstr>
  </property>
  <property fmtid="{D5CDD505-2E9C-101B-9397-08002B2CF9AE}" pid="4" name="KSOTemplateDocerSaveRecord">
    <vt:lpwstr>eyJoZGlkIjoiODAwNDQyMzVmYmQzYjJkNDQyZmZjMTBiOWQ5MmU2ODMifQ==</vt:lpwstr>
  </property>
</Properties>
</file>