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3B31F">
      <w:pPr>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8"/>
          <w:szCs w:val="48"/>
          <w:highlight w:val="none"/>
          <w:lang w:val="en-US" w:eastAsia="zh-CN"/>
        </w:rPr>
      </w:pPr>
      <w:r>
        <w:rPr>
          <w:rFonts w:hint="eastAsia" w:ascii="方正小标宋简体" w:hAnsi="方正小标宋简体" w:eastAsia="方正小标宋简体" w:cs="方正小标宋简体"/>
          <w:sz w:val="48"/>
          <w:szCs w:val="48"/>
          <w:highlight w:val="none"/>
          <w:lang w:val="en-US" w:eastAsia="zh-CN"/>
        </w:rPr>
        <w:t>2024</w:t>
      </w:r>
      <w:r>
        <w:rPr>
          <w:rFonts w:hint="eastAsia" w:ascii="方正小标宋简体" w:hAnsi="方正小标宋简体" w:eastAsia="方正小标宋简体" w:cs="方正小标宋简体"/>
          <w:sz w:val="48"/>
          <w:szCs w:val="48"/>
          <w:highlight w:val="none"/>
          <w:lang w:val="en-US" w:eastAsia="zh-CN"/>
        </w:rPr>
        <w:t>年度</w:t>
      </w:r>
      <w:r>
        <w:rPr>
          <w:rFonts w:hint="eastAsia" w:ascii="方正小标宋简体" w:hAnsi="方正小标宋简体" w:eastAsia="方正小标宋简体" w:cs="方正小标宋简体"/>
          <w:sz w:val="48"/>
          <w:szCs w:val="48"/>
          <w:highlight w:val="none"/>
          <w:lang w:val="en-US" w:eastAsia="zh-CN"/>
        </w:rPr>
        <w:t>中国共产党株洲市芦淞区</w:t>
      </w:r>
      <w:bookmarkStart w:id="0" w:name="_GoBack"/>
      <w:bookmarkEnd w:id="0"/>
      <w:r>
        <w:rPr>
          <w:rFonts w:hint="eastAsia" w:ascii="方正小标宋简体" w:hAnsi="方正小标宋简体" w:eastAsia="方正小标宋简体" w:cs="方正小标宋简体"/>
          <w:sz w:val="48"/>
          <w:szCs w:val="48"/>
          <w:highlight w:val="none"/>
          <w:lang w:val="en-US" w:eastAsia="zh-CN"/>
        </w:rPr>
        <w:t>纪律检查委员会</w:t>
      </w:r>
      <w:r>
        <w:rPr>
          <w:rFonts w:hint="eastAsia" w:ascii="方正小标宋简体" w:hAnsi="方正小标宋简体" w:eastAsia="方正小标宋简体" w:cs="方正小标宋简体"/>
          <w:sz w:val="48"/>
          <w:szCs w:val="48"/>
          <w:highlight w:val="none"/>
          <w:lang w:val="en-US" w:eastAsia="zh-CN"/>
        </w:rPr>
        <w:t>整体</w:t>
      </w:r>
      <w:r>
        <w:rPr>
          <w:rFonts w:hint="eastAsia" w:ascii="方正小标宋简体" w:hAnsi="方正小标宋简体" w:eastAsia="方正小标宋简体" w:cs="方正小标宋简体"/>
          <w:sz w:val="48"/>
          <w:szCs w:val="48"/>
          <w:highlight w:val="none"/>
          <w:lang w:val="en-US" w:eastAsia="zh-CN"/>
        </w:rPr>
        <w:t>支出</w:t>
      </w:r>
    </w:p>
    <w:p w14:paraId="63B3AFB8">
      <w:pPr>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8"/>
          <w:szCs w:val="48"/>
          <w:highlight w:val="none"/>
          <w:lang w:val="en-US" w:eastAsia="zh-CN"/>
        </w:rPr>
      </w:pPr>
      <w:r>
        <w:rPr>
          <w:rFonts w:hint="eastAsia" w:ascii="方正小标宋简体" w:hAnsi="方正小标宋简体" w:eastAsia="方正小标宋简体" w:cs="方正小标宋简体"/>
          <w:sz w:val="48"/>
          <w:szCs w:val="48"/>
          <w:highlight w:val="none"/>
          <w:lang w:val="en-US" w:eastAsia="zh-CN"/>
        </w:rPr>
        <w:t>绩效自评报告</w:t>
      </w:r>
    </w:p>
    <w:p w14:paraId="6FEE9356">
      <w:pPr>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rPr>
      </w:pPr>
    </w:p>
    <w:p w14:paraId="1374C238">
      <w:pPr>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rPr>
      </w:pPr>
    </w:p>
    <w:p w14:paraId="7853D10E">
      <w:pPr>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rPr>
      </w:pPr>
    </w:p>
    <w:p w14:paraId="2B791C93">
      <w:pPr>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rPr>
      </w:pPr>
    </w:p>
    <w:p w14:paraId="62A34995">
      <w:pPr>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rPr>
      </w:pPr>
    </w:p>
    <w:p w14:paraId="6D15B8B5">
      <w:pPr>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rPr>
      </w:pPr>
    </w:p>
    <w:p w14:paraId="2BD1EE15">
      <w:pPr>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rPr>
      </w:pPr>
    </w:p>
    <w:p w14:paraId="12D57A1A">
      <w:pPr>
        <w:pageBreakBefore w:val="0"/>
        <w:widowControl w:val="0"/>
        <w:kinsoku/>
        <w:wordWrap/>
        <w:overflowPunct/>
        <w:topLinePunct w:val="0"/>
        <w:autoSpaceDE/>
        <w:autoSpaceDN/>
        <w:bidi w:val="0"/>
        <w:spacing w:line="560" w:lineRule="exact"/>
        <w:ind w:firstLine="880" w:firstLineChars="200"/>
        <w:jc w:val="center"/>
        <w:textAlignment w:val="auto"/>
        <w:rPr>
          <w:rFonts w:hint="eastAsia" w:ascii="仿宋_GB2312" w:hAnsi="仿宋_GB2312" w:eastAsia="仿宋_GB2312" w:cs="仿宋_GB2312"/>
          <w:sz w:val="44"/>
          <w:szCs w:val="44"/>
          <w:highlight w:val="none"/>
        </w:rPr>
      </w:pPr>
    </w:p>
    <w:p w14:paraId="30954432">
      <w:pPr>
        <w:pageBreakBefore w:val="0"/>
        <w:widowControl w:val="0"/>
        <w:kinsoku/>
        <w:wordWrap/>
        <w:overflowPunct/>
        <w:topLinePunct w:val="0"/>
        <w:autoSpaceDE/>
        <w:autoSpaceDN/>
        <w:bidi w:val="0"/>
        <w:spacing w:line="560" w:lineRule="exact"/>
        <w:ind w:firstLine="880" w:firstLineChars="200"/>
        <w:jc w:val="center"/>
        <w:textAlignment w:val="auto"/>
        <w:rPr>
          <w:rFonts w:hint="eastAsia" w:ascii="仿宋_GB2312" w:hAnsi="仿宋_GB2312" w:eastAsia="仿宋_GB2312" w:cs="仿宋_GB2312"/>
          <w:sz w:val="44"/>
          <w:szCs w:val="44"/>
          <w:highlight w:val="none"/>
        </w:rPr>
      </w:pPr>
    </w:p>
    <w:p w14:paraId="489BE6FE">
      <w:pPr>
        <w:pageBreakBefore w:val="0"/>
        <w:widowControl w:val="0"/>
        <w:kinsoku/>
        <w:wordWrap/>
        <w:overflowPunct/>
        <w:topLinePunct w:val="0"/>
        <w:autoSpaceDE/>
        <w:autoSpaceDN/>
        <w:bidi w:val="0"/>
        <w:spacing w:line="560" w:lineRule="exact"/>
        <w:ind w:firstLine="880" w:firstLineChars="200"/>
        <w:jc w:val="center"/>
        <w:textAlignment w:val="auto"/>
        <w:rPr>
          <w:rFonts w:hint="eastAsia" w:ascii="仿宋_GB2312" w:hAnsi="仿宋_GB2312" w:eastAsia="仿宋_GB2312" w:cs="仿宋_GB2312"/>
          <w:sz w:val="44"/>
          <w:szCs w:val="44"/>
          <w:highlight w:val="none"/>
        </w:rPr>
      </w:pPr>
    </w:p>
    <w:p w14:paraId="63511795">
      <w:pPr>
        <w:pageBreakBefore w:val="0"/>
        <w:widowControl w:val="0"/>
        <w:kinsoku/>
        <w:wordWrap/>
        <w:overflowPunct/>
        <w:topLinePunct w:val="0"/>
        <w:autoSpaceDE/>
        <w:autoSpaceDN/>
        <w:bidi w:val="0"/>
        <w:spacing w:line="560" w:lineRule="exact"/>
        <w:ind w:firstLine="880" w:firstLineChars="200"/>
        <w:jc w:val="center"/>
        <w:textAlignment w:val="auto"/>
        <w:rPr>
          <w:rFonts w:hint="eastAsia" w:ascii="仿宋_GB2312" w:hAnsi="仿宋_GB2312" w:eastAsia="仿宋_GB2312" w:cs="仿宋_GB2312"/>
          <w:sz w:val="44"/>
          <w:szCs w:val="44"/>
          <w:highlight w:val="none"/>
        </w:rPr>
      </w:pPr>
    </w:p>
    <w:p w14:paraId="6C910052">
      <w:pPr>
        <w:pageBreakBefore w:val="0"/>
        <w:widowControl w:val="0"/>
        <w:kinsoku/>
        <w:wordWrap/>
        <w:overflowPunct/>
        <w:topLinePunct w:val="0"/>
        <w:autoSpaceDE/>
        <w:autoSpaceDN/>
        <w:bidi w:val="0"/>
        <w:spacing w:line="560" w:lineRule="exact"/>
        <w:ind w:firstLine="720" w:firstLineChars="200"/>
        <w:jc w:val="center"/>
        <w:textAlignment w:val="auto"/>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单位名称（盖章）：</w:t>
      </w:r>
    </w:p>
    <w:p w14:paraId="68040A0F">
      <w:pPr>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6"/>
          <w:szCs w:val="36"/>
          <w:highlight w:val="none"/>
        </w:rPr>
      </w:pPr>
    </w:p>
    <w:p w14:paraId="68E1C5E4">
      <w:pPr>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rPr>
      </w:pPr>
    </w:p>
    <w:p w14:paraId="7104E85A">
      <w:pPr>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rPr>
      </w:pPr>
    </w:p>
    <w:p w14:paraId="5A8DBBF6">
      <w:pPr>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rPr>
      </w:pPr>
    </w:p>
    <w:p w14:paraId="33F1E00C">
      <w:pPr>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rPr>
      </w:pPr>
    </w:p>
    <w:p w14:paraId="4411B848">
      <w:pPr>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rPr>
      </w:pPr>
    </w:p>
    <w:p w14:paraId="0A36C3D4">
      <w:pPr>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rPr>
      </w:pPr>
    </w:p>
    <w:p w14:paraId="46C340EE">
      <w:pPr>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rPr>
      </w:pPr>
    </w:p>
    <w:p w14:paraId="69EAEE88">
      <w:pPr>
        <w:pStyle w:val="3"/>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br w:type="page"/>
      </w:r>
      <w:r>
        <w:rPr>
          <w:rFonts w:hint="eastAsia" w:ascii="仿宋_GB2312" w:hAnsi="仿宋_GB2312" w:eastAsia="仿宋_GB2312" w:cs="仿宋_GB2312"/>
          <w:szCs w:val="32"/>
          <w:highlight w:val="none"/>
          <w:lang w:val="en-US" w:eastAsia="zh-CN"/>
        </w:rPr>
        <w:t xml:space="preserve">    </w:t>
      </w:r>
      <w:r>
        <w:rPr>
          <w:rFonts w:hint="eastAsia"/>
        </w:rPr>
        <w:t>一、基本情况</w:t>
      </w:r>
    </w:p>
    <w:p w14:paraId="7A533A4D">
      <w:pPr>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（一）部门（单位）基本情况</w:t>
      </w:r>
    </w:p>
    <w:p w14:paraId="6D26D8BB">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eastAsia="zh-CN"/>
        </w:rPr>
        <w:t>主要职能</w:t>
      </w:r>
    </w:p>
    <w:p w14:paraId="0774DC42">
      <w:pPr>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全区党的纪律检查工作。在市纪委和区委的领导下开展纪律检查工作，维护党的章程和其他党内法规，检查党的路线方针政策和决议的执行情况，协助区委推进全面从严治党、加强党风建设和组织协调反腐败工作。</w:t>
      </w:r>
    </w:p>
    <w:p w14:paraId="5C41EEE7">
      <w:pPr>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依照党的章程和其他党内法规履行监督、执纪、问责职责。负责经常对党员进行遵守纪律的教育，作出关于维护党纪的决定；对全区各级党的组织和区委管理的党员领导干部履行职责、行使权力进行监督，受理处置党员群众检举举报，开展谈话提醒、约谈函询；检查和处理全区各级党的组织和党员违反党的章程和其他党内法规的比较重要或者复杂的案件，决定或者取消对这些案件中的党员的处分；进行问责或者提出责任追究的建议；受理党员的控告和申诉；保障党员的权利。</w:t>
      </w:r>
    </w:p>
    <w:p w14:paraId="739AC8D4">
      <w:pPr>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）在区委领导下组织开展巡察工作。配合区委巡察工作领导小组指导全区各级党的组织巡察工作。</w:t>
      </w:r>
    </w:p>
    <w:p w14:paraId="2FF04BD7">
      <w:pPr>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）负责全区监察工作。在市纪委市监委和区委的领导下开展监察工作，维护宪法法律，依法对区委管理的行使公权力的公职人员进行监察，调查职务违法和职务犯罪，开展廉政建设和反腐败工作。</w:t>
      </w:r>
    </w:p>
    <w:p w14:paraId="352D7779">
      <w:pPr>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依照法律规定履行监督、调查、处置职责。推动开展廉政教育，对区委管理的行使公权力的公职人员依法履职、秉公用权、廉洁从政从业以及道德操守情况进行监督检查；对涉嫌贪腐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19F14ED8">
      <w:pPr>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）负责组织协调全区全面从严治党、党风廉政建设和反腐败宣传教育工作。</w:t>
      </w:r>
    </w:p>
    <w:p w14:paraId="58E0F748">
      <w:pPr>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负责综合分析全区全面从严治党、党风廉政建设和反腐败工作情况，对纪检监察工作重要理论及实践问题进行调查研究；协调配合上级纪委监委起草制定或者修改本区纪检监察制度规定，参与起草制定本区相关规范性文件。</w:t>
      </w:r>
    </w:p>
    <w:p w14:paraId="1B167D58">
      <w:pPr>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）负责协调落实上级纪委监委交办的反腐败国际交流、合作等方面事宜；加强对全区反腐败国际追逃追赃和防逃工作的组织协调，督促有关单位做好相关工作。</w:t>
      </w:r>
    </w:p>
    <w:p w14:paraId="5FA7F6B8">
      <w:pPr>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根据干部管理权限，负责全区纪检监察系统领导班子建设、干部队伍建设和组织建设的综合规划、政策研究、制度建设和业务指导；会同有关方面做好区纪委区监委派驻机构、镇（街道）纪（工）委、纪检监察机关班子建设有关工作；组织和指导全区纪检监察系统干部教育培训工作等。</w:t>
      </w:r>
    </w:p>
    <w:p w14:paraId="3D5DCA5E">
      <w:pPr>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）完成市纪委市监委和区委交办的其他任务。</w:t>
      </w:r>
    </w:p>
    <w:p w14:paraId="70CF43AB">
      <w:pPr>
        <w:pStyle w:val="7"/>
        <w:keepNext w:val="0"/>
        <w:keepLines w:val="0"/>
        <w:pageBreakBefore w:val="0"/>
        <w:widowControl w:val="0"/>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eastAsia="zh-CN"/>
        </w:rPr>
        <w:t>（二）机构设置</w:t>
      </w:r>
    </w:p>
    <w:p w14:paraId="18A73FF1">
      <w:pPr>
        <w:pStyle w:val="7"/>
        <w:keepNext w:val="0"/>
        <w:keepLines w:val="0"/>
        <w:pageBreakBefore w:val="0"/>
        <w:widowControl w:val="0"/>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中国共产党株洲市芦淞区纪律检查委员会内设机构包括：办公室、党风政风监督室、信访室（案件监督管理室）、第一纪检监察室（纪检监察干部监督室）、第二纪检监察室（区问责办）、第三纪检监察室（区追逃办）、第四纪检监察室、审理室和驻区委办纪检监察组、驻区委组织部纪检监察组、驻区委政法委纪检监察组；下属事业单位：芦淞区预防腐败警示教育中心。另有中国共产党株洲市芦淞区委巡察领导小组办公室、区委巡察组；下属事业单位：芦淞区巡察事务中心。</w:t>
      </w:r>
    </w:p>
    <w:p w14:paraId="133289A7">
      <w:pPr>
        <w:pStyle w:val="7"/>
        <w:keepNext w:val="0"/>
        <w:keepLines w:val="0"/>
        <w:pageBreakBefore w:val="0"/>
        <w:widowControl w:val="0"/>
        <w:numPr>
          <w:ilvl w:val="0"/>
          <w:numId w:val="1"/>
        </w:numPr>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eastAsia="zh-CN"/>
        </w:rPr>
        <w:t>人员情况</w:t>
      </w:r>
    </w:p>
    <w:p w14:paraId="125BD8B4">
      <w:pPr>
        <w:pStyle w:val="7"/>
        <w:keepNext w:val="0"/>
        <w:keepLines w:val="0"/>
        <w:pageBreakBefore w:val="0"/>
        <w:widowControl w:val="0"/>
        <w:numPr>
          <w:ilvl w:val="0"/>
          <w:numId w:val="0"/>
        </w:numPr>
        <w:kinsoku/>
        <w:wordWrap/>
        <w:overflowPunct/>
        <w:topLinePunct w:val="0"/>
        <w:autoSpaceDE/>
        <w:autoSpaceDN/>
        <w:bidi w:val="0"/>
        <w:adjustRightInd/>
        <w:spacing w:after="0" w:line="560" w:lineRule="exact"/>
        <w:ind w:firstLine="640" w:firstLineChars="200"/>
        <w:jc w:val="both"/>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color w:val="auto"/>
          <w:sz w:val="32"/>
          <w:szCs w:val="32"/>
          <w:highlight w:val="none"/>
          <w:u w:val="none"/>
          <w:lang w:eastAsia="zh-CN"/>
        </w:rPr>
        <w:t>中国共产党株洲市芦淞区纪律检查委员会共有行政编制数</w:t>
      </w:r>
      <w:r>
        <w:rPr>
          <w:rFonts w:hint="eastAsia" w:ascii="仿宋_GB2312" w:hAnsi="仿宋_GB2312" w:eastAsia="仿宋_GB2312" w:cs="仿宋_GB2312"/>
          <w:color w:val="auto"/>
          <w:sz w:val="32"/>
          <w:szCs w:val="32"/>
          <w:highlight w:val="none"/>
          <w:u w:val="none"/>
          <w:lang w:val="en-US" w:eastAsia="zh-CN"/>
        </w:rPr>
        <w:t>40人，事业编制10人，机关工勤编制1人，政府雇员2人，其中在岗人数53人；退休人员11人，提前退休人员1人。</w:t>
      </w:r>
    </w:p>
    <w:p w14:paraId="66C052A1">
      <w:pPr>
        <w:pageBreakBefore w:val="0"/>
        <w:widowControl w:val="0"/>
        <w:numPr>
          <w:ilvl w:val="0"/>
          <w:numId w:val="2"/>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b/>
          <w:sz w:val="32"/>
          <w:szCs w:val="32"/>
          <w:highlight w:val="none"/>
        </w:rPr>
        <w:t>部门（单位）年度整体支出绩效目标，</w:t>
      </w:r>
      <w:r>
        <w:rPr>
          <w:rFonts w:hint="eastAsia" w:ascii="仿宋_GB2312" w:hAnsi="仿宋_GB2312" w:eastAsia="仿宋_GB2312" w:cs="仿宋_GB2312"/>
          <w:b/>
          <w:sz w:val="32"/>
          <w:szCs w:val="32"/>
          <w:highlight w:val="none"/>
          <w:lang w:eastAsia="zh-CN"/>
        </w:rPr>
        <w:t>部门</w:t>
      </w:r>
      <w:r>
        <w:rPr>
          <w:rFonts w:hint="eastAsia" w:ascii="仿宋_GB2312" w:hAnsi="仿宋_GB2312" w:eastAsia="仿宋_GB2312" w:cs="仿宋_GB2312"/>
          <w:b/>
          <w:sz w:val="32"/>
          <w:szCs w:val="32"/>
          <w:highlight w:val="none"/>
        </w:rPr>
        <w:t>专项资金绩效目标、其他项目支出（除省级专项资金以外）绩效目标</w:t>
      </w:r>
      <w:r>
        <w:rPr>
          <w:rFonts w:hint="eastAsia" w:ascii="仿宋_GB2312" w:hAnsi="仿宋_GB2312" w:eastAsia="仿宋_GB2312" w:cs="仿宋_GB2312"/>
          <w:b/>
          <w:sz w:val="32"/>
          <w:szCs w:val="32"/>
          <w:highlight w:val="none"/>
          <w:lang w:eastAsia="zh-CN"/>
        </w:rPr>
        <w:t>（只写目标，不写金额）</w:t>
      </w:r>
    </w:p>
    <w:p w14:paraId="7B0EF7D8">
      <w:pPr>
        <w:pStyle w:val="6"/>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1.</w:t>
      </w:r>
      <w:r>
        <w:rPr>
          <w:rFonts w:hint="default" w:ascii="仿宋_GB2312" w:hAnsi="仿宋_GB2312" w:eastAsia="仿宋_GB2312" w:cs="仿宋_GB2312"/>
          <w:color w:val="auto"/>
          <w:kern w:val="2"/>
          <w:sz w:val="32"/>
          <w:szCs w:val="32"/>
          <w:highlight w:val="none"/>
          <w:u w:val="none"/>
          <w:lang w:val="en-US" w:eastAsia="zh-CN" w:bidi="ar-SA"/>
        </w:rPr>
        <w:t>强化政治监督，保障党中央重大决策部署及省、市、区委重点工作要求在本区域落地见效。</w:t>
      </w:r>
    </w:p>
    <w:p w14:paraId="6A6823FD">
      <w:pPr>
        <w:pStyle w:val="6"/>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2.</w:t>
      </w:r>
      <w:r>
        <w:rPr>
          <w:rFonts w:hint="default" w:ascii="仿宋_GB2312" w:hAnsi="仿宋_GB2312" w:eastAsia="仿宋_GB2312" w:cs="仿宋_GB2312"/>
          <w:color w:val="auto"/>
          <w:kern w:val="2"/>
          <w:sz w:val="32"/>
          <w:szCs w:val="32"/>
          <w:highlight w:val="none"/>
          <w:u w:val="none"/>
          <w:lang w:val="en-US" w:eastAsia="zh-CN" w:bidi="ar-SA"/>
        </w:rPr>
        <w:t>深入推进党风廉政建设和反腐败斗争，保持惩治腐败高压态势，一体推进不敢腐、不能腐、不想腐。</w:t>
      </w:r>
    </w:p>
    <w:p w14:paraId="5E71B939">
      <w:pPr>
        <w:pStyle w:val="6"/>
        <w:pageBreakBefore w:val="0"/>
        <w:widowControl w:val="0"/>
        <w:kinsoku/>
        <w:wordWrap/>
        <w:overflowPunct/>
        <w:topLinePunct w:val="0"/>
        <w:autoSpaceDE/>
        <w:autoSpaceDN/>
        <w:bidi w:val="0"/>
        <w:spacing w:line="560" w:lineRule="exact"/>
        <w:ind w:firstLine="64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3.加强对“一把手”和领导班子的监督，推动落实全面从严治党主体责任和监督责任。</w:t>
      </w:r>
    </w:p>
    <w:p w14:paraId="3C5E439A">
      <w:pPr>
        <w:pStyle w:val="6"/>
        <w:pageBreakBefore w:val="0"/>
        <w:widowControl w:val="0"/>
        <w:kinsoku/>
        <w:wordWrap/>
        <w:overflowPunct/>
        <w:topLinePunct w:val="0"/>
        <w:autoSpaceDE/>
        <w:autoSpaceDN/>
        <w:bidi w:val="0"/>
        <w:spacing w:line="560" w:lineRule="exact"/>
        <w:ind w:firstLine="64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4 精准有效运用“四种形态”，抓早抓小，防微杜渐，提升监督执纪执法规范化水平。</w:t>
      </w:r>
    </w:p>
    <w:p w14:paraId="490D985F">
      <w:pPr>
        <w:pStyle w:val="6"/>
        <w:pageBreakBefore w:val="0"/>
        <w:widowControl w:val="0"/>
        <w:kinsoku/>
        <w:wordWrap/>
        <w:overflowPunct/>
        <w:topLinePunct w:val="0"/>
        <w:autoSpaceDE/>
        <w:autoSpaceDN/>
        <w:bidi w:val="0"/>
        <w:spacing w:line="560" w:lineRule="exact"/>
        <w:ind w:firstLine="64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5.深化整治权力集中、资金密集、资源富集领域的腐败问题，坚决查处群众身边的腐败和作风问题。</w:t>
      </w:r>
    </w:p>
    <w:p w14:paraId="0D03DC1C">
      <w:pPr>
        <w:pStyle w:val="6"/>
        <w:pageBreakBefore w:val="0"/>
        <w:widowControl w:val="0"/>
        <w:kinsoku/>
        <w:wordWrap/>
        <w:overflowPunct/>
        <w:topLinePunct w:val="0"/>
        <w:autoSpaceDE/>
        <w:autoSpaceDN/>
        <w:bidi w:val="0"/>
        <w:spacing w:line="560" w:lineRule="exact"/>
        <w:ind w:firstLine="64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6.加强廉洁文化建设和警示教育，营造风清气正的政治生态。</w:t>
      </w:r>
    </w:p>
    <w:p w14:paraId="2C26CDC8">
      <w:pPr>
        <w:pStyle w:val="6"/>
        <w:pageBreakBefore w:val="0"/>
        <w:widowControl w:val="0"/>
        <w:kinsoku/>
        <w:wordWrap/>
        <w:overflowPunct/>
        <w:topLinePunct w:val="0"/>
        <w:autoSpaceDE/>
        <w:autoSpaceDN/>
        <w:bidi w:val="0"/>
        <w:spacing w:line="560" w:lineRule="exact"/>
        <w:ind w:firstLine="64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7.依法依规开展监察工作，实现对所有行使公权力的公职人员监察全覆盖。</w:t>
      </w:r>
    </w:p>
    <w:p w14:paraId="6881BD77">
      <w:pPr>
        <w:pStyle w:val="6"/>
        <w:pageBreakBefore w:val="0"/>
        <w:widowControl w:val="0"/>
        <w:kinsoku/>
        <w:wordWrap/>
        <w:overflowPunct/>
        <w:topLinePunct w:val="0"/>
        <w:autoSpaceDE/>
        <w:autoSpaceDN/>
        <w:bidi w:val="0"/>
        <w:spacing w:line="560" w:lineRule="exact"/>
        <w:ind w:firstLine="64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8.加强纪检监察干部队伍建设，打造忠诚干净担当、敢于善于斗争的纪律部队。</w:t>
      </w:r>
    </w:p>
    <w:p w14:paraId="615717FC">
      <w:pPr>
        <w:pStyle w:val="6"/>
        <w:pageBreakBefore w:val="0"/>
        <w:widowControl w:val="0"/>
        <w:kinsoku/>
        <w:wordWrap/>
        <w:overflowPunct/>
        <w:topLinePunct w:val="0"/>
        <w:autoSpaceDE/>
        <w:autoSpaceDN/>
        <w:bidi w:val="0"/>
        <w:spacing w:line="560" w:lineRule="exact"/>
        <w:ind w:firstLine="64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9.提升纪检监察工作的信息化、智能化水平，为监督执纪执法提供技术支撑。</w:t>
      </w:r>
    </w:p>
    <w:p w14:paraId="0F579302">
      <w:pPr>
        <w:pStyle w:val="6"/>
        <w:pageBreakBefore w:val="0"/>
        <w:widowControl w:val="0"/>
        <w:kinsoku/>
        <w:wordWrap/>
        <w:overflowPunct/>
        <w:topLinePunct w:val="0"/>
        <w:autoSpaceDE/>
        <w:autoSpaceDN/>
        <w:bidi w:val="0"/>
        <w:spacing w:line="560" w:lineRule="exact"/>
        <w:ind w:firstLine="64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10.优化内部管理，提高财政资金使用效益，保障机关高效规范运行。</w:t>
      </w:r>
    </w:p>
    <w:p w14:paraId="2EF6F5D4">
      <w:pPr>
        <w:pStyle w:val="3"/>
        <w:bidi w:val="0"/>
        <w:ind w:firstLine="640" w:firstLineChars="200"/>
        <w:rPr>
          <w:rFonts w:hint="eastAsia"/>
        </w:rPr>
      </w:pPr>
      <w:r>
        <w:rPr>
          <w:rFonts w:hint="eastAsia"/>
        </w:rPr>
        <w:t>二、一般公共预算支出情况</w:t>
      </w:r>
    </w:p>
    <w:p w14:paraId="198550CB">
      <w:pPr>
        <w:pStyle w:val="6"/>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（一）基本支出情况</w:t>
      </w:r>
    </w:p>
    <w:p w14:paraId="182AB3F2">
      <w:pPr>
        <w:pStyle w:val="6"/>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年预算资金1,415.89</w:t>
      </w:r>
      <w:r>
        <w:rPr>
          <w:rFonts w:hint="eastAsia" w:ascii="仿宋_GB2312" w:hAnsi="仿宋_GB2312" w:eastAsia="仿宋_GB2312" w:cs="仿宋_GB2312"/>
          <w:color w:val="000000"/>
          <w:sz w:val="32"/>
          <w:szCs w:val="32"/>
          <w:highlight w:val="none"/>
          <w:lang w:eastAsia="zh-CN"/>
        </w:rPr>
        <w:t>万元。</w:t>
      </w:r>
    </w:p>
    <w:p w14:paraId="241827CB">
      <w:pPr>
        <w:pStyle w:val="6"/>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2.2024年度</w:t>
      </w:r>
      <w:r>
        <w:rPr>
          <w:rFonts w:hint="eastAsia" w:ascii="仿宋_GB2312" w:hAnsi="仿宋_GB2312" w:eastAsia="仿宋_GB2312" w:cs="仿宋_GB2312"/>
          <w:color w:val="auto"/>
          <w:sz w:val="32"/>
          <w:szCs w:val="32"/>
          <w:highlight w:val="none"/>
        </w:rPr>
        <w:t>单位一般公共预算财政拨款收入</w:t>
      </w: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328.36万元。</w:t>
      </w:r>
    </w:p>
    <w:p w14:paraId="652B7DF1">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2024年度</w:t>
      </w:r>
      <w:r>
        <w:rPr>
          <w:rFonts w:hint="eastAsia" w:ascii="仿宋_GB2312" w:hAnsi="仿宋_GB2312" w:eastAsia="仿宋_GB2312" w:cs="仿宋_GB2312"/>
          <w:color w:val="auto"/>
          <w:sz w:val="32"/>
          <w:szCs w:val="32"/>
          <w:highlight w:val="none"/>
        </w:rPr>
        <w:t>单位一般公共预算财政拨款</w:t>
      </w:r>
      <w:r>
        <w:rPr>
          <w:rFonts w:hint="eastAsia" w:ascii="仿宋_GB2312" w:hAnsi="仿宋_GB2312" w:eastAsia="仿宋_GB2312" w:cs="仿宋_GB2312"/>
          <w:color w:val="auto"/>
          <w:sz w:val="32"/>
          <w:szCs w:val="32"/>
          <w:highlight w:val="none"/>
          <w:lang w:eastAsia="zh-CN"/>
        </w:rPr>
        <w:t>支出1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328.36万元。</w:t>
      </w:r>
      <w:r>
        <w:rPr>
          <w:rFonts w:hint="eastAsia" w:ascii="仿宋_GB2312" w:hAnsi="仿宋_GB2312" w:eastAsia="仿宋_GB2312" w:cs="仿宋_GB2312"/>
          <w:color w:val="auto"/>
          <w:sz w:val="32"/>
          <w:szCs w:val="32"/>
          <w:highlight w:val="none"/>
        </w:rPr>
        <w:t>其中：项目支出</w:t>
      </w:r>
      <w:r>
        <w:rPr>
          <w:rFonts w:hint="eastAsia" w:ascii="仿宋_GB2312" w:hAnsi="仿宋_GB2312" w:eastAsia="仿宋_GB2312" w:cs="仿宋_GB2312"/>
          <w:color w:val="auto"/>
          <w:sz w:val="32"/>
          <w:szCs w:val="32"/>
          <w:highlight w:val="none"/>
          <w:lang w:val="en-US" w:eastAsia="zh-CN"/>
        </w:rPr>
        <w:t>388.36</w:t>
      </w:r>
      <w:r>
        <w:rPr>
          <w:rFonts w:hint="eastAsia" w:ascii="仿宋_GB2312" w:hAnsi="仿宋_GB2312" w:eastAsia="仿宋_GB2312" w:cs="仿宋_GB2312"/>
          <w:color w:val="auto"/>
          <w:sz w:val="32"/>
          <w:szCs w:val="32"/>
          <w:highlight w:val="none"/>
        </w:rPr>
        <w:t>万元，基本支出</w:t>
      </w:r>
      <w:r>
        <w:rPr>
          <w:rFonts w:hint="eastAsia" w:ascii="仿宋_GB2312" w:hAnsi="仿宋_GB2312" w:eastAsia="仿宋_GB2312" w:cs="仿宋_GB2312"/>
          <w:color w:val="auto"/>
          <w:sz w:val="32"/>
          <w:szCs w:val="32"/>
          <w:highlight w:val="none"/>
          <w:lang w:val="en-US" w:eastAsia="zh-CN"/>
        </w:rPr>
        <w:t>940.00</w:t>
      </w:r>
      <w:r>
        <w:rPr>
          <w:rFonts w:hint="eastAsia" w:ascii="仿宋_GB2312" w:hAnsi="仿宋_GB2312" w:eastAsia="仿宋_GB2312" w:cs="仿宋_GB2312"/>
          <w:color w:val="auto"/>
          <w:sz w:val="32"/>
          <w:szCs w:val="32"/>
          <w:highlight w:val="none"/>
        </w:rPr>
        <w:t>万元，占7</w:t>
      </w:r>
      <w:r>
        <w:rPr>
          <w:rFonts w:hint="eastAsia" w:ascii="仿宋_GB2312" w:hAnsi="仿宋_GB2312" w:eastAsia="仿宋_GB2312" w:cs="仿宋_GB2312"/>
          <w:color w:val="auto"/>
          <w:sz w:val="32"/>
          <w:szCs w:val="32"/>
          <w:highlight w:val="none"/>
          <w:lang w:val="en-US" w:eastAsia="zh-CN"/>
        </w:rPr>
        <w:t>0.76</w:t>
      </w:r>
      <w:r>
        <w:rPr>
          <w:rFonts w:hint="eastAsia" w:ascii="仿宋_GB2312" w:hAnsi="仿宋_GB2312" w:eastAsia="仿宋_GB2312" w:cs="仿宋_GB2312"/>
          <w:color w:val="auto"/>
          <w:sz w:val="32"/>
          <w:szCs w:val="32"/>
          <w:highlight w:val="none"/>
        </w:rPr>
        <w:t>%。其中人员经费</w:t>
      </w:r>
      <w:r>
        <w:rPr>
          <w:rFonts w:hint="eastAsia" w:ascii="仿宋_GB2312" w:hAnsi="仿宋_GB2312" w:eastAsia="仿宋_GB2312" w:cs="仿宋_GB2312"/>
          <w:color w:val="auto"/>
          <w:sz w:val="32"/>
          <w:szCs w:val="32"/>
          <w:highlight w:val="none"/>
          <w:lang w:val="en-US" w:eastAsia="zh-CN"/>
        </w:rPr>
        <w:t>801.70</w:t>
      </w:r>
      <w:r>
        <w:rPr>
          <w:rFonts w:hint="eastAsia" w:ascii="仿宋_GB2312" w:hAnsi="仿宋_GB2312" w:eastAsia="仿宋_GB2312" w:cs="仿宋_GB2312"/>
          <w:color w:val="auto"/>
          <w:sz w:val="32"/>
          <w:szCs w:val="32"/>
          <w:highlight w:val="none"/>
        </w:rPr>
        <w:t>万元，占基本支出的8</w:t>
      </w:r>
      <w:r>
        <w:rPr>
          <w:rFonts w:hint="eastAsia" w:ascii="仿宋_GB2312" w:hAnsi="仿宋_GB2312" w:eastAsia="仿宋_GB2312" w:cs="仿宋_GB2312"/>
          <w:color w:val="auto"/>
          <w:sz w:val="32"/>
          <w:szCs w:val="32"/>
          <w:highlight w:val="none"/>
          <w:lang w:val="en-US" w:eastAsia="zh-CN"/>
        </w:rPr>
        <w:t>5.29</w:t>
      </w:r>
      <w:r>
        <w:rPr>
          <w:rFonts w:hint="eastAsia" w:ascii="仿宋_GB2312" w:hAnsi="仿宋_GB2312" w:eastAsia="仿宋_GB2312" w:cs="仿宋_GB2312"/>
          <w:color w:val="auto"/>
          <w:sz w:val="32"/>
          <w:szCs w:val="32"/>
          <w:highlight w:val="none"/>
        </w:rPr>
        <w:t>%，主要包括基本工资、津贴补贴、奖金、生活补助、其他对个人和家庭的补助等。其中公用经费</w:t>
      </w:r>
      <w:r>
        <w:rPr>
          <w:rFonts w:hint="eastAsia" w:ascii="仿宋_GB2312" w:hAnsi="仿宋_GB2312" w:eastAsia="仿宋_GB2312" w:cs="仿宋_GB2312"/>
          <w:color w:val="auto"/>
          <w:sz w:val="32"/>
          <w:szCs w:val="32"/>
          <w:highlight w:val="none"/>
          <w:lang w:val="en-US" w:eastAsia="zh-CN"/>
        </w:rPr>
        <w:t>138.3万</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u w:val="none"/>
        </w:rPr>
        <w:t>占基本支出的</w:t>
      </w:r>
      <w:r>
        <w:rPr>
          <w:rFonts w:hint="eastAsia" w:ascii="仿宋_GB2312" w:hAnsi="仿宋_GB2312" w:eastAsia="仿宋_GB2312" w:cs="仿宋_GB2312"/>
          <w:sz w:val="32"/>
          <w:szCs w:val="32"/>
          <w:highlight w:val="none"/>
          <w:u w:val="none"/>
          <w:lang w:val="en-US" w:eastAsia="zh-CN"/>
        </w:rPr>
        <w:t>14.71</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color w:val="auto"/>
          <w:sz w:val="32"/>
          <w:szCs w:val="32"/>
          <w:highlight w:val="none"/>
        </w:rPr>
        <w:t>主要包括办公费、印刷费、劳务费、委托业务费</w:t>
      </w:r>
      <w:r>
        <w:rPr>
          <w:rFonts w:hint="eastAsia" w:ascii="仿宋_GB2312" w:hAnsi="仿宋_GB2312" w:eastAsia="仿宋_GB2312" w:cs="仿宋_GB2312"/>
          <w:color w:val="auto"/>
          <w:sz w:val="32"/>
          <w:szCs w:val="32"/>
          <w:highlight w:val="none"/>
          <w:lang w:eastAsia="zh-CN"/>
        </w:rPr>
        <w:t>、其他商品和服务支出等。</w:t>
      </w:r>
    </w:p>
    <w:p w14:paraId="3B9CA20F">
      <w:pPr>
        <w:pStyle w:val="6"/>
        <w:pageBreakBefore w:val="0"/>
        <w:widowControl w:val="0"/>
        <w:numPr>
          <w:ilvl w:val="0"/>
          <w:numId w:val="3"/>
        </w:numPr>
        <w:kinsoku/>
        <w:wordWrap/>
        <w:overflowPunct/>
        <w:topLinePunct w:val="0"/>
        <w:autoSpaceDE/>
        <w:autoSpaceDN/>
        <w:bidi w:val="0"/>
        <w:spacing w:line="560" w:lineRule="exact"/>
        <w:ind w:firstLine="643"/>
        <w:textAlignment w:val="auto"/>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项目支出情况</w:t>
      </w:r>
    </w:p>
    <w:p w14:paraId="54F2EC2A">
      <w:pPr>
        <w:pStyle w:val="6"/>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1.办案经费项目支出</w:t>
      </w:r>
      <w:r>
        <w:rPr>
          <w:rFonts w:hint="eastAsia" w:ascii="仿宋_GB2312" w:hAnsi="仿宋_GB2312" w:eastAsia="仿宋_GB2312" w:cs="仿宋_GB2312"/>
          <w:sz w:val="32"/>
          <w:szCs w:val="32"/>
          <w:highlight w:val="none"/>
          <w:lang w:val="en-US" w:eastAsia="zh-CN"/>
        </w:rPr>
        <w:t>331.23</w:t>
      </w:r>
      <w:r>
        <w:rPr>
          <w:rFonts w:hint="eastAsia" w:ascii="仿宋_GB2312" w:hAnsi="仿宋_GB2312" w:eastAsia="仿宋_GB2312" w:cs="仿宋_GB2312"/>
          <w:color w:val="auto"/>
          <w:kern w:val="2"/>
          <w:sz w:val="32"/>
          <w:szCs w:val="32"/>
          <w:highlight w:val="none"/>
          <w:lang w:val="en-US" w:eastAsia="zh-CN" w:bidi="ar-SA"/>
        </w:rPr>
        <w:t>万元；2、</w:t>
      </w:r>
      <w:r>
        <w:rPr>
          <w:rFonts w:hint="eastAsia" w:ascii="仿宋_GB2312" w:hAnsi="仿宋_GB2312" w:eastAsia="仿宋_GB2312" w:cs="仿宋_GB2312"/>
          <w:sz w:val="32"/>
          <w:szCs w:val="32"/>
          <w:highlight w:val="none"/>
        </w:rPr>
        <w:t>巡</w:t>
      </w:r>
      <w:r>
        <w:rPr>
          <w:rFonts w:hint="eastAsia" w:ascii="仿宋_GB2312" w:hAnsi="仿宋_GB2312" w:eastAsia="仿宋_GB2312" w:cs="仿宋_GB2312"/>
          <w:sz w:val="32"/>
          <w:szCs w:val="32"/>
          <w:highlight w:val="none"/>
          <w:lang w:eastAsia="zh-CN"/>
        </w:rPr>
        <w:t>察</w:t>
      </w:r>
      <w:r>
        <w:rPr>
          <w:rFonts w:hint="eastAsia" w:ascii="仿宋_GB2312" w:hAnsi="仿宋_GB2312" w:eastAsia="仿宋_GB2312" w:cs="仿宋_GB2312"/>
          <w:sz w:val="32"/>
          <w:szCs w:val="32"/>
          <w:highlight w:val="none"/>
        </w:rPr>
        <w:t>办</w:t>
      </w:r>
      <w:r>
        <w:rPr>
          <w:rFonts w:hint="eastAsia" w:ascii="仿宋_GB2312" w:hAnsi="仿宋_GB2312" w:eastAsia="仿宋_GB2312" w:cs="仿宋_GB2312"/>
          <w:color w:val="auto"/>
          <w:kern w:val="2"/>
          <w:sz w:val="32"/>
          <w:szCs w:val="32"/>
          <w:highlight w:val="none"/>
          <w:lang w:val="en-US" w:eastAsia="zh-CN" w:bidi="ar-SA"/>
        </w:rPr>
        <w:t>项目支出</w:t>
      </w:r>
      <w:r>
        <w:rPr>
          <w:rFonts w:hint="eastAsia" w:ascii="仿宋_GB2312" w:hAnsi="仿宋_GB2312" w:eastAsia="仿宋_GB2312" w:cs="仿宋_GB2312"/>
          <w:sz w:val="32"/>
          <w:szCs w:val="32"/>
          <w:highlight w:val="none"/>
          <w:lang w:val="en-US" w:eastAsia="zh-CN"/>
        </w:rPr>
        <w:t>21.43</w:t>
      </w:r>
      <w:r>
        <w:rPr>
          <w:rFonts w:hint="eastAsia" w:ascii="仿宋_GB2312" w:hAnsi="仿宋_GB2312" w:eastAsia="仿宋_GB2312" w:cs="仿宋_GB2312"/>
          <w:color w:val="auto"/>
          <w:kern w:val="2"/>
          <w:sz w:val="32"/>
          <w:szCs w:val="32"/>
          <w:highlight w:val="none"/>
          <w:lang w:val="en-US" w:eastAsia="zh-CN" w:bidi="ar-SA"/>
        </w:rPr>
        <w:t>万元；3、</w:t>
      </w:r>
      <w:r>
        <w:rPr>
          <w:rFonts w:hint="eastAsia" w:ascii="仿宋_GB2312" w:hAnsi="仿宋_GB2312" w:eastAsia="仿宋_GB2312" w:cs="仿宋_GB2312"/>
          <w:sz w:val="32"/>
          <w:szCs w:val="32"/>
          <w:highlight w:val="none"/>
          <w:lang w:val="en-US" w:eastAsia="zh-CN"/>
        </w:rPr>
        <w:t>清廉宣传和文化建设</w:t>
      </w:r>
      <w:r>
        <w:rPr>
          <w:rFonts w:hint="eastAsia" w:ascii="仿宋_GB2312" w:hAnsi="仿宋_GB2312" w:eastAsia="仿宋_GB2312" w:cs="仿宋_GB2312"/>
          <w:color w:val="auto"/>
          <w:kern w:val="2"/>
          <w:sz w:val="32"/>
          <w:szCs w:val="32"/>
          <w:highlight w:val="none"/>
          <w:lang w:val="en-US" w:eastAsia="zh-CN" w:bidi="ar-SA"/>
        </w:rPr>
        <w:t>项目支出</w:t>
      </w:r>
      <w:r>
        <w:rPr>
          <w:rFonts w:hint="eastAsia" w:ascii="仿宋_GB2312" w:hAnsi="仿宋_GB2312" w:eastAsia="仿宋_GB2312" w:cs="仿宋_GB2312"/>
          <w:sz w:val="32"/>
          <w:szCs w:val="32"/>
          <w:highlight w:val="none"/>
          <w:lang w:val="en-US" w:eastAsia="zh-CN"/>
        </w:rPr>
        <w:t>5.7</w:t>
      </w:r>
      <w:r>
        <w:rPr>
          <w:rFonts w:hint="eastAsia" w:ascii="仿宋_GB2312" w:hAnsi="仿宋_GB2312" w:eastAsia="仿宋_GB2312" w:cs="仿宋_GB2312"/>
          <w:color w:val="auto"/>
          <w:kern w:val="2"/>
          <w:sz w:val="32"/>
          <w:szCs w:val="32"/>
          <w:highlight w:val="none"/>
          <w:lang w:val="en-US" w:eastAsia="zh-CN" w:bidi="ar-SA"/>
        </w:rPr>
        <w:t>万元；4、</w:t>
      </w:r>
      <w:r>
        <w:rPr>
          <w:rFonts w:hint="eastAsia" w:ascii="仿宋_GB2312" w:hAnsi="仿宋_GB2312" w:eastAsia="仿宋_GB2312" w:cs="仿宋_GB2312"/>
          <w:sz w:val="32"/>
          <w:szCs w:val="32"/>
          <w:highlight w:val="none"/>
          <w:lang w:val="en-US" w:eastAsia="zh-CN"/>
        </w:rPr>
        <w:t>上级专款-纪检监察经费30.00万元。</w:t>
      </w:r>
    </w:p>
    <w:p w14:paraId="556C1CE2">
      <w:pPr>
        <w:pStyle w:val="3"/>
        <w:bidi w:val="0"/>
        <w:ind w:firstLine="640" w:firstLineChars="200"/>
        <w:rPr>
          <w:rFonts w:hint="eastAsia"/>
          <w:lang w:eastAsia="zh-CN"/>
        </w:rPr>
      </w:pPr>
      <w:r>
        <w:rPr>
          <w:rFonts w:hint="eastAsia"/>
        </w:rPr>
        <w:t>三、政府性基金预算支出情况</w:t>
      </w:r>
    </w:p>
    <w:p w14:paraId="35103E68">
      <w:pPr>
        <w:pStyle w:val="6"/>
        <w:pageBreakBefore w:val="0"/>
        <w:widowControl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无</w:t>
      </w:r>
    </w:p>
    <w:p w14:paraId="5F3BE669">
      <w:pPr>
        <w:pStyle w:val="3"/>
        <w:bidi w:val="0"/>
        <w:ind w:firstLine="640" w:firstLineChars="200"/>
        <w:rPr>
          <w:rFonts w:hint="eastAsia"/>
          <w:lang w:eastAsia="zh-CN"/>
        </w:rPr>
      </w:pPr>
      <w:r>
        <w:rPr>
          <w:rFonts w:hint="eastAsia"/>
        </w:rPr>
        <w:t>四、国有资本经营预算支出情况</w:t>
      </w:r>
      <w:r>
        <w:rPr>
          <w:rFonts w:hint="eastAsia"/>
          <w:lang w:eastAsia="zh-CN"/>
        </w:rPr>
        <w:t>（取</w:t>
      </w:r>
      <w:r>
        <w:rPr>
          <w:rFonts w:hint="eastAsia"/>
          <w:lang w:val="en-US" w:eastAsia="zh-CN"/>
        </w:rPr>
        <w:t>04表I34数据</w:t>
      </w:r>
      <w:r>
        <w:rPr>
          <w:rFonts w:hint="eastAsia"/>
          <w:lang w:eastAsia="zh-CN"/>
        </w:rPr>
        <w:t>）</w:t>
      </w:r>
    </w:p>
    <w:p w14:paraId="1A24B17C">
      <w:pPr>
        <w:pStyle w:val="6"/>
        <w:pageBreakBefore w:val="0"/>
        <w:widowControl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无</w:t>
      </w:r>
    </w:p>
    <w:p w14:paraId="59B570C7">
      <w:pPr>
        <w:pStyle w:val="3"/>
        <w:bidi w:val="0"/>
        <w:ind w:firstLine="640" w:firstLineChars="200"/>
        <w:rPr>
          <w:rFonts w:hint="eastAsia"/>
        </w:rPr>
      </w:pPr>
      <w:r>
        <w:rPr>
          <w:rFonts w:hint="eastAsia"/>
        </w:rPr>
        <w:t>五、社会保险基金预算支出情况</w:t>
      </w:r>
    </w:p>
    <w:p w14:paraId="607C8D5A">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无</w:t>
      </w:r>
    </w:p>
    <w:p w14:paraId="4D244F93">
      <w:pPr>
        <w:pStyle w:val="3"/>
        <w:bidi w:val="0"/>
        <w:ind w:firstLine="640" w:firstLineChars="200"/>
        <w:rPr>
          <w:rFonts w:hint="eastAsia"/>
        </w:rPr>
      </w:pPr>
      <w:r>
        <w:rPr>
          <w:rFonts w:hint="eastAsia"/>
        </w:rPr>
        <w:t>六、</w:t>
      </w:r>
      <w:r>
        <w:rPr>
          <w:rFonts w:hint="eastAsia"/>
          <w:lang w:eastAsia="zh-CN"/>
        </w:rPr>
        <w:t>资金使用及</w:t>
      </w:r>
      <w:r>
        <w:rPr>
          <w:rFonts w:hint="eastAsia"/>
        </w:rPr>
        <w:t>绩效情况</w:t>
      </w:r>
    </w:p>
    <w:p w14:paraId="6C5F0F31">
      <w:pPr>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kern w:val="2"/>
          <w:sz w:val="32"/>
          <w:szCs w:val="32"/>
          <w:highlight w:val="none"/>
          <w:lang w:val="en-US" w:eastAsia="zh-CN" w:bidi="ar-SA"/>
        </w:rPr>
      </w:pPr>
      <w:r>
        <w:rPr>
          <w:rFonts w:hint="eastAsia" w:ascii="仿宋_GB2312" w:hAnsi="仿宋_GB2312" w:eastAsia="仿宋_GB2312" w:cs="仿宋_GB2312"/>
          <w:b/>
          <w:kern w:val="2"/>
          <w:sz w:val="32"/>
          <w:szCs w:val="32"/>
          <w:highlight w:val="none"/>
          <w:lang w:val="en-US" w:eastAsia="zh-CN" w:bidi="ar-SA"/>
        </w:rPr>
        <w:t>(一）部门整体支出绩效情况</w:t>
      </w:r>
    </w:p>
    <w:p w14:paraId="5A93ED50">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坚持职责定位，强化监督保障，在践行“两个维护”中高站位、落实处。坚决扛牢“两个维护”重大政治责任，聚焦习近平总书记重要讲话重要指示批示精神、党中央重大决策部署落实情况强化政治监督，大力纠治做选择、搞变通、打折扣等问题。围绕“树牢正确政绩观，推动高质量发展”主题监督，深入推进行业性、系统性问题整治，全年开展优化营商环境、靠企吃企、园区领域违纪违法等专项监督7项，查处问题42个，党纪政务处分27人，组织处理3人，移送司法2人。从严从实把好选人用人廉政关口，规范审慎开展党风廉政情况审查1230人次，提出暂缓、否定性意见14人次。针对工作落实不力、进展缓慢等问题，锚定镇（街道）、主要行业部门“一把手”，开展一对一党内政治监督谈话40人次，切实推进全面从严治党责任向基层延伸。在抗击重大洪涝灾害中，全区纪检干部既督又战，助力打赢防汛救灾硬仗。</w:t>
      </w:r>
    </w:p>
    <w:p w14:paraId="37E353D5">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坚持办案引领，突出标本兼治，在净化政治生态中强高压、长震慑。把准芦淞正风反腐阶段性特征和重点，坚持无禁区、全覆盖、零容忍，一体推进不敢腐、不能腐、不想腐，不断铲除腐败滋生的土壤和条件。持续加压震慑。对积压线索集中力量清仓见底，对新增问题态度鲜明行动果断，全年共处置问题线索620件、立案486件、处分394人，采取留置措施9人。加强纪检监察监督与巡察、审计、司法等各类监督贯通协同，健全完善信息沟通、线索移送等机制，形成了反腐败的强大合力。统筹做好查办案件“后半篇文章”，深挖问题根源、研究案发规律，督促案发单位打好问题整改“组合拳”，制发纪检监察建议书7份，推动相关单位健全完善制度25项，进一步扎紧“不能腐”的笼子。坚持标本兼治。协助区委召开全区警示教育会、集体廉政谈话会议，开展系列廉政警示教育活动；常态化开展新任职干部任前廉政谈话、家庭家教家风建设，发放党纪处分条例分则案例解读廉政书籍300余册；党纪学习教育期间，主动担当“纪律部队”职责使命，送学送教10场，带动全区党员干部讲纪律微党课1698次，观看警示教育片1.82万人次，参加实践活动1.3万人次，引导党员干部以案为鉴、警钟长鸣。</w:t>
      </w:r>
    </w:p>
    <w:p w14:paraId="70AD3E21">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坚持正风肃纪，加强作风建设，在涵养新风正气中治顽疾、求长效。坚持“四风”问题没有容错空间，不断夯实中央八项规定及其实施细则精神的芦淞堤坝。紧盯重要时间节点，强化廉洁提醒，围绕“关键少数”、重点场所、突出问题，常态化开展纠治“四风”问题明察暗访，查处违反中央八项规定精神问题47个，党纪政务处分101人。紧盯违规吃喝、酒驾醉驾、打牌赌博等顽瘴痼疾，持续深化“两带头五整治”纠风防腐专项行动，开展执法监督检查45次，查处问题23个，党纪政务处分23人。靶向纠治形式主义官僚主义，查处贯彻党中央重大决策部署有令不行、履职尽责方面不担当不作为、为基层减负落实不力等问题21个，党纪政务处分14人，引导党员干部转作风提效能。坚持严格执纪与激励关怀相统一，准确运用“四种形态”，第一、二种形态占比95.25%，抓早抓小治“未病”态势更加明显；认真落实“三个区分开来”，依法依规严肃查处诬告陷害行为，旗帜鲜明为干部担当作为撑腰鼓劲。</w:t>
      </w:r>
    </w:p>
    <w:p w14:paraId="25F846FA">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坚持人民至上，推进集中整治，在增进民生福祉中超常规、见实效。把集中整治群众身边不正之风和腐败问题作为全年工作重中之重，区委扛牢主体责任，区级领导牵头推进重点整治项目和14件具体实事，带动各乡镇街道和21个行业部门主要负责人亲自抓、亲自管；区纪委监委牵头抓总，建立班子成员“四包”督导机制，与巡察同向发力，上下联动、打破常规、集中攻坚。狠抓案件查办。持续深化“室组地”协同联动办案体系，强化问题线索处置，提升案件查办质效。全年共查办辖区中小学膳食经费管理不规范、农村集体“三资”监管不到位、困难群众生活补贴发放履职不力等涉群腐案件431件。深化整改整治。紧盯“2+5+1+1”重点整治项目，督促牵头部门持续全面深入排查突出问题，“四不两直”深入基层，走访群众，着力发现其背后的责任、作风和腐败问题，全年运用“幸福株洲&amp;制造名城”监督服务微信群机制，推动解决群众身边问题1262个。办好民生实事。上下贯通抓好15件群众身边具体实事，紧盯教育、养老医疗、乡村振兴等重点领域，推动相关职能部门在校园膳食经费管理、老弱群体社会服务保障、农村群众供水、被征收户逾期未回迁安置等方面办成了58件民生实事，以“看得见”的方式增强群众获得感。</w:t>
      </w:r>
    </w:p>
    <w:p w14:paraId="03DFCD96">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坚持政治定位，深化政治巡察，在巡察综合监督中更有力、更有效。全面贯彻新修订的巡视工作条例，牢牢把握政治巡察根本任务、价值取向，不断推动巡察工作向深拓展、向专发力、向下延伸。对六届区委已巡党组织中重点行业领域、反馈问题较为突出的29个党组织开展巡察整改“回头看”，对未完成或出现反弹的问题督促其持续整改。发出巡察建议函11份，推动将全区国有和集体资产及负债清查情况等内容纳入巡察重点。牢固树立省市区三级巡视巡察“一盘棋”思想，先后选派优秀干部参与配合省委、市委巡视巡察相关工作，17名干部受到省委、市委巡察办通报表扬。积极推进两轮巡察，对38个单位党组织分别开展常规、专项巡察及巡察“回头看”，六届区委巡察覆盖率达81.4%；两轮巡察共发现问题623个，立行立改问题64个，推动解决白关镇老人社保认证、灾后通渠修桥，庆云街道小区拆除地锁、危树扰民，董家塅街道山体滑坡隐患等群众急难愁盼问题12个，追回资金9万余元；移交问题线索28件，其中，党纪政务立案23人，党纪政务处分8人，组织处理5人。</w:t>
      </w:r>
    </w:p>
    <w:p w14:paraId="5E1141EF">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坚持严管厚爱，勇于自我革命，在锻造过硬铁军中严到底、添活力。坚持打铁必须自身硬，持之以恒全面加强自身建设，真正把队伍建强、让干部过硬。坚持常态化学习机制，区纪委常委会始终以习近平新时代中国特色社会主义思想统一思想、统一行动，“第一议题”跟进学习45次，带头逐字逐句学习习近平《论党的自我革命》，带动全系统深刻领悟蕴含其中的世界观、方法论；举办党纪教育与综合业务能力提升专题研讨班，开设“月末周五课堂”，实现每月2批次业务能手“现身说纪法”。坚持优结构聚合力提效能，撤组设室1个，纪检监察室占比增加至50%；优化“组组”协同监督、“室组”联动监督、“室组地”联合办案，完善片区协作，派驻纪检组办案能力和办案效果明显提升。坚持多措并举提升战斗力，创新组建2个镇（街道）纪检“机动突击队”，常态化安排镇（街道）纪检干部、新进业务型人才跟班锻炼、跟案实战，选派5人参加省纪委、市纪委大要案办理。坚持一手抓力度、一手抓温度，加强对干部全方位管理和经常性监督，刚性执行纪检监察干部“十二条负面清单”、与私营企业主交往“八个严禁”等铁规，做实心理关怀、困难帮扶等工作，队伍凝聚力、战斗力明显提升。</w:t>
      </w:r>
    </w:p>
    <w:p w14:paraId="3CAB6D6F">
      <w:pPr>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kern w:val="2"/>
          <w:sz w:val="32"/>
          <w:szCs w:val="32"/>
          <w:highlight w:val="none"/>
          <w:lang w:val="en-US" w:eastAsia="zh-CN" w:bidi="ar-SA"/>
        </w:rPr>
      </w:pPr>
      <w:r>
        <w:rPr>
          <w:rFonts w:hint="eastAsia" w:ascii="仿宋_GB2312" w:hAnsi="仿宋_GB2312" w:eastAsia="仿宋_GB2312" w:cs="仿宋_GB2312"/>
          <w:b/>
          <w:kern w:val="2"/>
          <w:sz w:val="32"/>
          <w:szCs w:val="32"/>
          <w:highlight w:val="none"/>
          <w:lang w:val="en-US" w:eastAsia="zh-CN" w:bidi="ar-SA"/>
        </w:rPr>
        <w:t>（二）专项资金支出绩效情况</w:t>
      </w:r>
    </w:p>
    <w:p w14:paraId="09CF788A">
      <w:pPr>
        <w:pStyle w:val="6"/>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本单位2024年年初预算专项资金共2个，具体情况如下：</w:t>
      </w:r>
    </w:p>
    <w:p w14:paraId="0B50755C">
      <w:pPr>
        <w:pStyle w:val="6"/>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一是办案专项经费：年初预算资金520.00万元，实际支出</w:t>
      </w:r>
      <w:r>
        <w:rPr>
          <w:rFonts w:hint="eastAsia" w:ascii="仿宋_GB2312" w:hAnsi="仿宋_GB2312" w:eastAsia="仿宋_GB2312" w:cs="仿宋_GB2312"/>
          <w:color w:val="000000"/>
          <w:sz w:val="32"/>
          <w:szCs w:val="32"/>
          <w:highlight w:val="none"/>
          <w:lang w:val="en-US" w:eastAsia="zh-CN"/>
        </w:rPr>
        <w:t>331.23</w:t>
      </w:r>
      <w:r>
        <w:rPr>
          <w:rFonts w:hint="eastAsia" w:ascii="仿宋_GB2312" w:hAnsi="仿宋_GB2312" w:eastAsia="仿宋_GB2312" w:cs="仿宋_GB2312"/>
          <w:color w:val="000000"/>
          <w:sz w:val="32"/>
          <w:szCs w:val="32"/>
          <w:highlight w:val="none"/>
          <w:lang w:eastAsia="zh-CN"/>
        </w:rPr>
        <w:t>万元。因此项目为涉密项目，不作公开评价。</w:t>
      </w:r>
    </w:p>
    <w:p w14:paraId="2901EDC4">
      <w:pPr>
        <w:pStyle w:val="6"/>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二是巡察专项经费：年初预算为20.00万元，实际支出21.43万元，上年度结转</w:t>
      </w:r>
      <w:r>
        <w:rPr>
          <w:rFonts w:hint="eastAsia" w:ascii="仿宋_GB2312" w:hAnsi="仿宋_GB2312" w:eastAsia="仿宋_GB2312" w:cs="仿宋_GB2312"/>
          <w:color w:val="000000"/>
          <w:sz w:val="32"/>
          <w:szCs w:val="32"/>
          <w:highlight w:val="none"/>
          <w:lang w:val="en-US" w:eastAsia="zh-CN"/>
        </w:rPr>
        <w:t>1.43万元</w:t>
      </w:r>
      <w:r>
        <w:rPr>
          <w:rFonts w:hint="eastAsia" w:ascii="仿宋_GB2312" w:hAnsi="仿宋_GB2312" w:eastAsia="仿宋_GB2312" w:cs="仿宋_GB2312"/>
          <w:color w:val="000000"/>
          <w:sz w:val="32"/>
          <w:szCs w:val="32"/>
          <w:highlight w:val="none"/>
          <w:lang w:eastAsia="zh-CN"/>
        </w:rPr>
        <w:t>。该专项资金主要用于对38个单位党组织分别开展常规、专项巡察及巡察“回头看”，六届区委巡察覆盖率达81.4%；两轮巡察共发现问题623个，立行立改问题64个，推动解决白关镇老人社保认证、灾后通渠修桥，庆云街道小区拆除地锁、危树扰民，董家塅街道山体滑坡隐患等群众急难愁盼问题12个，追回资金9万余元；移交问题线索28件，其中，党纪政务立案23人，党纪政务处分8人，组织处理5人。</w:t>
      </w:r>
    </w:p>
    <w:p w14:paraId="01464442">
      <w:pPr>
        <w:pStyle w:val="6"/>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另外，实际决算项目4个，有2个项目未列入年初预算。具体情况如下：</w:t>
      </w:r>
    </w:p>
    <w:p w14:paraId="0FA608F8">
      <w:pPr>
        <w:pStyle w:val="6"/>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一是清廉宣传和文化建设项目支出5.7万元，上年度结余结转</w:t>
      </w:r>
      <w:r>
        <w:rPr>
          <w:rFonts w:hint="eastAsia" w:ascii="仿宋_GB2312" w:hAnsi="仿宋_GB2312" w:eastAsia="仿宋_GB2312" w:cs="仿宋_GB2312"/>
          <w:color w:val="000000"/>
          <w:sz w:val="32"/>
          <w:szCs w:val="32"/>
          <w:highlight w:val="none"/>
          <w:lang w:val="en-US" w:eastAsia="zh-CN"/>
        </w:rPr>
        <w:t>5.7万元</w:t>
      </w:r>
      <w:r>
        <w:rPr>
          <w:rFonts w:hint="eastAsia" w:ascii="仿宋_GB2312" w:hAnsi="仿宋_GB2312" w:eastAsia="仿宋_GB2312" w:cs="仿宋_GB2312"/>
          <w:color w:val="000000"/>
          <w:sz w:val="32"/>
          <w:szCs w:val="32"/>
          <w:highlight w:val="none"/>
          <w:lang w:eastAsia="zh-CN"/>
        </w:rPr>
        <w:t>。主要用于清廉宣传和文化建设工作。</w:t>
      </w:r>
    </w:p>
    <w:p w14:paraId="1036194C">
      <w:pPr>
        <w:pStyle w:val="6"/>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二是上级专款-纪检监察经费30.00万元，结余结转0万元。主要用于群众身边不正之风和腐败集中整治工作。</w:t>
      </w:r>
    </w:p>
    <w:p w14:paraId="6835B843">
      <w:pPr>
        <w:pStyle w:val="3"/>
        <w:bidi w:val="0"/>
        <w:rPr>
          <w:rFonts w:hint="eastAsia"/>
        </w:rPr>
      </w:pPr>
      <w:r>
        <w:rPr>
          <w:rFonts w:hint="eastAsia"/>
          <w:lang w:eastAsia="zh-CN"/>
        </w:rPr>
        <w:t xml:space="preserve"> </w:t>
      </w:r>
      <w:r>
        <w:rPr>
          <w:rFonts w:hint="eastAsia"/>
          <w:lang w:val="en-US" w:eastAsia="zh-CN"/>
        </w:rPr>
        <w:t xml:space="preserve">  </w:t>
      </w:r>
      <w:r>
        <w:rPr>
          <w:rFonts w:hint="eastAsia"/>
        </w:rPr>
        <w:t>七、存在的问题及原因分析</w:t>
      </w:r>
    </w:p>
    <w:p w14:paraId="7171241A">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auto"/>
          <w:sz w:val="32"/>
          <w:szCs w:val="32"/>
          <w:u w:val="none"/>
        </w:rPr>
        <w:t>预算资金绩效管理是一项长期性工作，本单位在预算资金使用上存在一定不可预见性，在预算执行过程中存在有开支依据但无预算安排的情况，部门预算和绩效管理工作还有待进一步加强。</w:t>
      </w:r>
    </w:p>
    <w:p w14:paraId="1ACDA6E7">
      <w:pPr>
        <w:pStyle w:val="3"/>
        <w:numPr>
          <w:ilvl w:val="0"/>
          <w:numId w:val="0"/>
        </w:numPr>
        <w:bidi w:val="0"/>
        <w:ind w:firstLine="640" w:firstLineChars="200"/>
        <w:rPr>
          <w:rFonts w:hint="eastAsia"/>
        </w:rPr>
      </w:pPr>
      <w:r>
        <w:rPr>
          <w:rFonts w:hint="eastAsia"/>
          <w:lang w:eastAsia="zh-CN"/>
        </w:rPr>
        <w:t>八、</w:t>
      </w:r>
      <w:r>
        <w:rPr>
          <w:rFonts w:hint="eastAsia"/>
        </w:rPr>
        <w:t>下一步改进措施</w:t>
      </w:r>
    </w:p>
    <w:p w14:paraId="679EFC9B">
      <w:pPr>
        <w:pStyle w:val="7"/>
        <w:keepNext w:val="0"/>
        <w:keepLines w:val="0"/>
        <w:pageBreakBefore w:val="0"/>
        <w:widowControl w:val="0"/>
        <w:numPr>
          <w:ilvl w:val="0"/>
          <w:numId w:val="0"/>
        </w:numPr>
        <w:kinsoku/>
        <w:wordWrap/>
        <w:overflowPunct/>
        <w:topLinePunct w:val="0"/>
        <w:autoSpaceDE/>
        <w:autoSpaceDN/>
        <w:bidi w:val="0"/>
        <w:adjustRightInd/>
        <w:spacing w:after="0" w:line="56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color w:val="auto"/>
          <w:sz w:val="32"/>
          <w:szCs w:val="32"/>
          <w:u w:val="none"/>
        </w:rPr>
        <w:t>下一步，本单位将压实部门内部绩效管理主体责任，培养人员的预算和绩效管理意识，严格按照预算编制的相关制度和要求，按照单位年度工作重点和计划细化预算编制工作，使预算绩效管理真正落到实处，切实提高绩效管理水平，充分发挥预算资金使用效果。</w:t>
      </w:r>
    </w:p>
    <w:p w14:paraId="701689AC">
      <w:pPr>
        <w:pStyle w:val="3"/>
        <w:numPr>
          <w:ilvl w:val="0"/>
          <w:numId w:val="0"/>
        </w:numPr>
        <w:bidi w:val="0"/>
        <w:ind w:firstLine="640" w:firstLineChars="200"/>
        <w:rPr>
          <w:rFonts w:hint="eastAsia"/>
        </w:rPr>
      </w:pPr>
      <w:r>
        <w:rPr>
          <w:rFonts w:hint="eastAsia"/>
          <w:lang w:eastAsia="zh-CN"/>
        </w:rPr>
        <w:t>九、</w:t>
      </w:r>
      <w:r>
        <w:rPr>
          <w:rFonts w:hint="eastAsia"/>
        </w:rPr>
        <w:t>绩效自评结果拟应用和公开情况</w:t>
      </w:r>
    </w:p>
    <w:p w14:paraId="1DC8E5B8">
      <w:pPr>
        <w:pStyle w:val="10"/>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xml:space="preserve">根据预算绩效管理要求，本单位组织对 </w:t>
      </w:r>
      <w:r>
        <w:rPr>
          <w:rFonts w:hint="eastAsia" w:ascii="仿宋_GB2312" w:hAnsi="仿宋_GB2312" w:eastAsia="仿宋_GB2312" w:cs="仿宋_GB2312"/>
          <w:sz w:val="32"/>
          <w:szCs w:val="32"/>
          <w:highlight w:val="none"/>
          <w:u w:val="none"/>
          <w:lang w:eastAsia="zh-CN"/>
        </w:rPr>
        <w:t>202</w:t>
      </w:r>
      <w:r>
        <w:rPr>
          <w:rFonts w:hint="eastAsia" w:ascii="仿宋_GB2312" w:hAnsi="仿宋_GB2312" w:eastAsia="仿宋_GB2312" w:cs="仿宋_GB2312"/>
          <w:sz w:val="32"/>
          <w:szCs w:val="32"/>
          <w:highlight w:val="none"/>
          <w:u w:val="none"/>
          <w:lang w:val="en-US" w:eastAsia="zh-CN"/>
        </w:rPr>
        <w:t>4</w:t>
      </w:r>
      <w:r>
        <w:rPr>
          <w:rFonts w:hint="eastAsia" w:ascii="仿宋_GB2312" w:hAnsi="仿宋_GB2312" w:eastAsia="仿宋_GB2312" w:cs="仿宋_GB2312"/>
          <w:sz w:val="32"/>
          <w:szCs w:val="32"/>
          <w:highlight w:val="none"/>
          <w:u w:val="none"/>
        </w:rPr>
        <w:t>年度部门整体支出开展了绩效自评，从评价情况来看，预算执行及时、有效，绩效目标得到较好实现，绩效管理水平不断提高。</w:t>
      </w:r>
    </w:p>
    <w:p w14:paraId="26D3F8F9">
      <w:pPr>
        <w:pStyle w:val="10"/>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sz w:val="32"/>
          <w:szCs w:val="32"/>
          <w:highlight w:val="none"/>
          <w:u w:val="none"/>
        </w:rPr>
        <w:t>本单位没有独立网站，因此只在芦淞区政府信息公开专栏中公开</w:t>
      </w:r>
      <w:r>
        <w:rPr>
          <w:rFonts w:hint="eastAsia" w:ascii="仿宋_GB2312" w:hAnsi="仿宋_GB2312" w:eastAsia="仿宋_GB2312" w:cs="仿宋_GB2312"/>
          <w:color w:val="auto"/>
          <w:sz w:val="32"/>
          <w:szCs w:val="32"/>
          <w:u w:val="none"/>
        </w:rPr>
        <w:t>。</w:t>
      </w:r>
    </w:p>
    <w:p w14:paraId="6C9DA2F7">
      <w:pPr>
        <w:pStyle w:val="3"/>
        <w:numPr>
          <w:ilvl w:val="0"/>
          <w:numId w:val="4"/>
        </w:numPr>
        <w:bidi w:val="0"/>
        <w:ind w:firstLine="640" w:firstLineChars="200"/>
        <w:rPr>
          <w:rFonts w:hint="eastAsia"/>
        </w:rPr>
      </w:pPr>
      <w:r>
        <w:rPr>
          <w:rFonts w:hint="eastAsia"/>
        </w:rPr>
        <w:t>其他需要说明的情况</w:t>
      </w:r>
    </w:p>
    <w:p w14:paraId="45344892">
      <w:pPr>
        <w:pStyle w:val="10"/>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lang w:eastAsia="zh-CN"/>
        </w:rPr>
        <w:t>无</w:t>
      </w:r>
    </w:p>
    <w:p w14:paraId="7E4130D1">
      <w:pPr>
        <w:pStyle w:val="10"/>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highlight w:val="none"/>
          <w:u w:val="none"/>
          <w:lang w:eastAsia="zh-CN"/>
        </w:rPr>
      </w:pPr>
    </w:p>
    <w:p w14:paraId="2A5FD9F7">
      <w:pPr>
        <w:keepNext w:val="0"/>
        <w:keepLines w:val="0"/>
        <w:pageBreakBefore w:val="0"/>
        <w:tabs>
          <w:tab w:val="left" w:pos="7560"/>
        </w:tabs>
        <w:kinsoku/>
        <w:wordWrap/>
        <w:overflowPunct/>
        <w:topLinePunct w:val="0"/>
        <w:bidi w:val="0"/>
        <w:adjustRightInd w:val="0"/>
        <w:snapToGrid w:val="0"/>
        <w:spacing w:line="560" w:lineRule="exact"/>
        <w:jc w:val="both"/>
        <w:rPr>
          <w:rFonts w:hint="eastAsia"/>
          <w:lang w:val="en-US" w:eastAsia="zh-CN"/>
        </w:rPr>
      </w:pPr>
    </w:p>
    <w:p w14:paraId="047634D8">
      <w:pPr>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C97DE"/>
    <w:multiLevelType w:val="singleLevel"/>
    <w:tmpl w:val="8AAC97DE"/>
    <w:lvl w:ilvl="0" w:tentative="0">
      <w:start w:val="2"/>
      <w:numFmt w:val="chineseCounting"/>
      <w:suff w:val="nothing"/>
      <w:lvlText w:val="（%1）"/>
      <w:lvlJc w:val="left"/>
      <w:rPr>
        <w:rFonts w:hint="eastAsia"/>
      </w:rPr>
    </w:lvl>
  </w:abstractNum>
  <w:abstractNum w:abstractNumId="1">
    <w:nsid w:val="1BF034E2"/>
    <w:multiLevelType w:val="singleLevel"/>
    <w:tmpl w:val="1BF034E2"/>
    <w:lvl w:ilvl="0" w:tentative="0">
      <w:start w:val="3"/>
      <w:numFmt w:val="chineseCounting"/>
      <w:suff w:val="nothing"/>
      <w:lvlText w:val="（%1）"/>
      <w:lvlJc w:val="left"/>
      <w:rPr>
        <w:rFonts w:hint="eastAsia"/>
      </w:rPr>
    </w:lvl>
  </w:abstractNum>
  <w:abstractNum w:abstractNumId="2">
    <w:nsid w:val="4890FF15"/>
    <w:multiLevelType w:val="singleLevel"/>
    <w:tmpl w:val="4890FF15"/>
    <w:lvl w:ilvl="0" w:tentative="0">
      <w:start w:val="2"/>
      <w:numFmt w:val="chineseCounting"/>
      <w:suff w:val="nothing"/>
      <w:lvlText w:val="（%1）"/>
      <w:lvlJc w:val="left"/>
      <w:rPr>
        <w:rFonts w:hint="eastAsia"/>
      </w:rPr>
    </w:lvl>
  </w:abstractNum>
  <w:abstractNum w:abstractNumId="3">
    <w:nsid w:val="7499B7FC"/>
    <w:multiLevelType w:val="singleLevel"/>
    <w:tmpl w:val="7499B7FC"/>
    <w:lvl w:ilvl="0" w:tentative="0">
      <w:start w:val="10"/>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6C278B5"/>
    <w:rsid w:val="071E5F82"/>
    <w:rsid w:val="072B45AB"/>
    <w:rsid w:val="07BB6AF4"/>
    <w:rsid w:val="07EF4D29"/>
    <w:rsid w:val="08470747"/>
    <w:rsid w:val="0893725C"/>
    <w:rsid w:val="089572CF"/>
    <w:rsid w:val="08A00773"/>
    <w:rsid w:val="08A4283C"/>
    <w:rsid w:val="08EF0DD0"/>
    <w:rsid w:val="08F027B4"/>
    <w:rsid w:val="09783F74"/>
    <w:rsid w:val="09E6676A"/>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0FD402A4"/>
    <w:rsid w:val="10593E88"/>
    <w:rsid w:val="10C17504"/>
    <w:rsid w:val="10F06DED"/>
    <w:rsid w:val="11107299"/>
    <w:rsid w:val="1134034B"/>
    <w:rsid w:val="115176A2"/>
    <w:rsid w:val="129D6027"/>
    <w:rsid w:val="13242D1C"/>
    <w:rsid w:val="13294F44"/>
    <w:rsid w:val="13A52CDF"/>
    <w:rsid w:val="146C1DD9"/>
    <w:rsid w:val="14BF24DE"/>
    <w:rsid w:val="14CC54C7"/>
    <w:rsid w:val="14DD5FD7"/>
    <w:rsid w:val="14E33844"/>
    <w:rsid w:val="14EA23A8"/>
    <w:rsid w:val="155800EA"/>
    <w:rsid w:val="15A27FE2"/>
    <w:rsid w:val="1627453B"/>
    <w:rsid w:val="17020E6E"/>
    <w:rsid w:val="17197045"/>
    <w:rsid w:val="175C6F5E"/>
    <w:rsid w:val="179A7791"/>
    <w:rsid w:val="17DC3DC3"/>
    <w:rsid w:val="181F357B"/>
    <w:rsid w:val="188345AC"/>
    <w:rsid w:val="195E168F"/>
    <w:rsid w:val="196A7CDF"/>
    <w:rsid w:val="19C72BF8"/>
    <w:rsid w:val="19CA553D"/>
    <w:rsid w:val="1A4E2E8E"/>
    <w:rsid w:val="1AF51455"/>
    <w:rsid w:val="1B430D6D"/>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7DE2311"/>
    <w:rsid w:val="286C33CA"/>
    <w:rsid w:val="28E4125D"/>
    <w:rsid w:val="29BB6A7E"/>
    <w:rsid w:val="29EC49AF"/>
    <w:rsid w:val="2AC43DDE"/>
    <w:rsid w:val="2AEF4956"/>
    <w:rsid w:val="2B1C41DD"/>
    <w:rsid w:val="2BBE35CD"/>
    <w:rsid w:val="2BD6382B"/>
    <w:rsid w:val="2BE23B3E"/>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8D5509"/>
    <w:rsid w:val="3AF63590"/>
    <w:rsid w:val="3B06110B"/>
    <w:rsid w:val="3B9B7004"/>
    <w:rsid w:val="3BB36D39"/>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8A2F2D"/>
    <w:rsid w:val="4B920728"/>
    <w:rsid w:val="4B9357A5"/>
    <w:rsid w:val="4BC67BFF"/>
    <w:rsid w:val="4C19263D"/>
    <w:rsid w:val="4C253F32"/>
    <w:rsid w:val="4C442E20"/>
    <w:rsid w:val="4C714499"/>
    <w:rsid w:val="4C845F8F"/>
    <w:rsid w:val="4D36566E"/>
    <w:rsid w:val="4D453956"/>
    <w:rsid w:val="4DBB24B5"/>
    <w:rsid w:val="4DCF1F7C"/>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A2B3D0B"/>
    <w:rsid w:val="6AD921B8"/>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41723B"/>
    <w:rsid w:val="75786376"/>
    <w:rsid w:val="75B90A32"/>
    <w:rsid w:val="75BF2B4D"/>
    <w:rsid w:val="75F34010"/>
    <w:rsid w:val="765D45B4"/>
    <w:rsid w:val="76735213"/>
    <w:rsid w:val="772B072A"/>
    <w:rsid w:val="778F1D5A"/>
    <w:rsid w:val="77BF22A8"/>
    <w:rsid w:val="7836349E"/>
    <w:rsid w:val="78A55F95"/>
    <w:rsid w:val="794F5B82"/>
    <w:rsid w:val="79E234DF"/>
    <w:rsid w:val="7A0966D2"/>
    <w:rsid w:val="7A0F2FD7"/>
    <w:rsid w:val="7A1B3CD1"/>
    <w:rsid w:val="7A5B19C4"/>
    <w:rsid w:val="7A702BF0"/>
    <w:rsid w:val="7B091C7D"/>
    <w:rsid w:val="7B877F0B"/>
    <w:rsid w:val="7C511C26"/>
    <w:rsid w:val="7C5274FB"/>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outlineLvl w:val="0"/>
    </w:pPr>
    <w:rPr>
      <w:rFonts w:ascii="Times New Roman" w:hAnsi="Times New Roman" w:eastAsia="黑体"/>
      <w:kern w:val="44"/>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rPr>
      <w:rFonts w:ascii="Times New Roman" w:hAnsi="Times New Roman"/>
      <w:sz w:val="30"/>
      <w:szCs w:val="30"/>
    </w:rPr>
  </w:style>
  <w:style w:type="paragraph" w:styleId="6">
    <w:name w:val="List Paragraph"/>
    <w:basedOn w:val="1"/>
    <w:qFormat/>
    <w:uiPriority w:val="99"/>
    <w:pPr>
      <w:ind w:firstLine="420" w:firstLineChars="200"/>
    </w:pPr>
    <w:rPr>
      <w:rFonts w:ascii="Calibri" w:hAnsi="Calibri" w:eastAsia="宋体" w:cs="Times New Roman"/>
      <w:szCs w:val="22"/>
    </w:rPr>
  </w:style>
  <w:style w:type="paragraph" w:customStyle="1" w:styleId="7">
    <w:name w:val="BodyText1I2"/>
    <w:basedOn w:val="8"/>
    <w:qFormat/>
    <w:uiPriority w:val="0"/>
    <w:pPr>
      <w:spacing w:line="360" w:lineRule="auto"/>
      <w:ind w:firstLine="420" w:firstLineChars="200"/>
      <w:textAlignment w:val="baseline"/>
    </w:pPr>
    <w:rPr>
      <w:rFonts w:ascii="方正仿宋_GBK" w:eastAsia="方正仿宋_GBK"/>
      <w:sz w:val="30"/>
    </w:rPr>
  </w:style>
  <w:style w:type="paragraph" w:customStyle="1" w:styleId="8">
    <w:name w:val="BodyText1I"/>
    <w:basedOn w:val="9"/>
    <w:qFormat/>
    <w:uiPriority w:val="0"/>
    <w:pPr>
      <w:spacing w:after="120"/>
      <w:ind w:firstLine="420" w:firstLineChars="100"/>
      <w:jc w:val="both"/>
      <w:textAlignment w:val="baseline"/>
    </w:pPr>
    <w:rPr>
      <w:rFonts w:ascii="Times New Roman" w:hAnsi="Times New Roman" w:eastAsia="宋体" w:cs="Times New Roman"/>
    </w:rPr>
  </w:style>
  <w:style w:type="paragraph" w:customStyle="1" w:styleId="9">
    <w:name w:val="BodyText"/>
    <w:basedOn w:val="1"/>
    <w:qFormat/>
    <w:uiPriority w:val="0"/>
    <w:pPr>
      <w:spacing w:after="120"/>
      <w:jc w:val="both"/>
      <w:textAlignment w:val="baseline"/>
    </w:pPr>
    <w:rPr>
      <w:rFonts w:ascii="Times New Roman" w:hAnsi="Times New Roman" w:eastAsia="宋体" w:cs="Times New Roman"/>
    </w:rPr>
  </w:style>
  <w:style w:type="paragraph" w:customStyle="1" w:styleId="10">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5584</Words>
  <Characters>5808</Characters>
  <Lines>0</Lines>
  <Paragraphs>0</Paragraphs>
  <TotalTime>0</TotalTime>
  <ScaleCrop>false</ScaleCrop>
  <LinksUpToDate>false</LinksUpToDate>
  <CharactersWithSpaces>5825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cp:lastPrinted>2025-10-30T09:07:00Z</cp:lastPrinted>
  <dcterms:modified xsi:type="dcterms:W3CDTF">2026-01-22T02:54:17Z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677EE3067AEF465B9EAC9D483F114343_13</vt:lpwstr>
  </property>
  <property fmtid="{D5CDD505-2E9C-101B-9397-08002B2CF9AE}" pid="4" name="KSOTemplateDocerSaveRecord">
    <vt:lpwstr>eyJoZGlkIjoiMTdlNzdmYmU0NmYwZjFkMThjYjNiYzgwYjhkYmE5MTUiLCJ1c2VySWQiOiIxNDI3OTU5OTA3In0=</vt:lpwstr>
  </property>
</Properties>
</file>