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FDDF">
      <w:pPr>
        <w:jc w:val="center"/>
        <w:rPr>
          <w:rFonts w:eastAsia="方正小标宋_GBK"/>
          <w:sz w:val="48"/>
          <w:szCs w:val="48"/>
        </w:rPr>
      </w:pPr>
      <w:bookmarkStart w:id="0" w:name="_GoBack"/>
      <w:bookmarkEnd w:id="0"/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年度部门（单位）</w:t>
      </w:r>
      <w:r>
        <w:rPr>
          <w:rFonts w:hint="eastAsia" w:eastAsia="方正小标宋_GBK"/>
          <w:sz w:val="48"/>
          <w:szCs w:val="48"/>
          <w:lang w:eastAsia="zh-CN"/>
        </w:rPr>
        <w:t>整体</w:t>
      </w:r>
      <w:r>
        <w:rPr>
          <w:rFonts w:eastAsia="方正小标宋_GBK"/>
          <w:sz w:val="48"/>
          <w:szCs w:val="48"/>
        </w:rPr>
        <w:t>支出</w:t>
      </w:r>
    </w:p>
    <w:p w14:paraId="74E43491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05A86D9E">
      <w:pPr>
        <w:jc w:val="center"/>
        <w:rPr>
          <w:rFonts w:eastAsia="黑体"/>
          <w:sz w:val="32"/>
          <w:szCs w:val="32"/>
        </w:rPr>
      </w:pPr>
    </w:p>
    <w:p w14:paraId="03C560C3">
      <w:pPr>
        <w:jc w:val="center"/>
        <w:rPr>
          <w:rFonts w:eastAsia="黑体"/>
          <w:sz w:val="32"/>
          <w:szCs w:val="32"/>
        </w:rPr>
      </w:pPr>
    </w:p>
    <w:p w14:paraId="196BE711">
      <w:pPr>
        <w:jc w:val="center"/>
        <w:rPr>
          <w:rFonts w:eastAsia="黑体"/>
          <w:sz w:val="32"/>
          <w:szCs w:val="32"/>
        </w:rPr>
      </w:pPr>
    </w:p>
    <w:p w14:paraId="334D61B0">
      <w:pPr>
        <w:jc w:val="center"/>
        <w:rPr>
          <w:rFonts w:eastAsia="黑体"/>
          <w:sz w:val="32"/>
          <w:szCs w:val="32"/>
        </w:rPr>
      </w:pPr>
    </w:p>
    <w:p w14:paraId="1003E075">
      <w:pPr>
        <w:jc w:val="center"/>
        <w:rPr>
          <w:rFonts w:eastAsia="黑体"/>
          <w:sz w:val="32"/>
          <w:szCs w:val="32"/>
        </w:rPr>
      </w:pPr>
    </w:p>
    <w:p w14:paraId="435D176D">
      <w:pPr>
        <w:jc w:val="center"/>
        <w:rPr>
          <w:rFonts w:eastAsia="黑体"/>
          <w:sz w:val="32"/>
          <w:szCs w:val="32"/>
        </w:rPr>
      </w:pPr>
    </w:p>
    <w:p w14:paraId="70172537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7F02F532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09127EB5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A07A0A2">
      <w:pPr>
        <w:jc w:val="both"/>
        <w:rPr>
          <w:rFonts w:hint="default" w:eastAsia="仿宋_GB2312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</w:t>
      </w:r>
      <w:r>
        <w:rPr>
          <w:rFonts w:eastAsia="黑体"/>
          <w:sz w:val="36"/>
          <w:szCs w:val="36"/>
          <w:u w:val="none"/>
        </w:rPr>
        <w:t>：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株洲市芦淞区委员会统战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49014832">
      <w:pPr>
        <w:jc w:val="center"/>
        <w:rPr>
          <w:rFonts w:eastAsia="黑体"/>
          <w:sz w:val="36"/>
          <w:szCs w:val="36"/>
        </w:rPr>
      </w:pPr>
    </w:p>
    <w:p w14:paraId="288A77F9">
      <w:pPr>
        <w:jc w:val="center"/>
        <w:rPr>
          <w:rFonts w:eastAsia="黑体"/>
          <w:sz w:val="32"/>
          <w:szCs w:val="32"/>
        </w:rPr>
      </w:pPr>
    </w:p>
    <w:p w14:paraId="5520D085">
      <w:pPr>
        <w:jc w:val="center"/>
        <w:rPr>
          <w:rFonts w:eastAsia="黑体"/>
          <w:sz w:val="32"/>
          <w:szCs w:val="32"/>
        </w:rPr>
      </w:pPr>
    </w:p>
    <w:p w14:paraId="2E6B4A66">
      <w:pPr>
        <w:jc w:val="center"/>
        <w:rPr>
          <w:rFonts w:eastAsia="黑体"/>
          <w:sz w:val="32"/>
          <w:szCs w:val="32"/>
        </w:rPr>
      </w:pPr>
    </w:p>
    <w:p w14:paraId="4CF08EF4">
      <w:pPr>
        <w:jc w:val="center"/>
        <w:rPr>
          <w:rFonts w:eastAsia="黑体"/>
          <w:sz w:val="32"/>
          <w:szCs w:val="32"/>
        </w:rPr>
      </w:pPr>
    </w:p>
    <w:p w14:paraId="3FF7763A">
      <w:pPr>
        <w:jc w:val="center"/>
        <w:rPr>
          <w:rFonts w:eastAsia="黑体"/>
          <w:sz w:val="32"/>
          <w:szCs w:val="32"/>
        </w:rPr>
      </w:pPr>
    </w:p>
    <w:p w14:paraId="4F69EB25">
      <w:pPr>
        <w:jc w:val="center"/>
        <w:rPr>
          <w:rFonts w:eastAsia="黑体"/>
          <w:sz w:val="32"/>
          <w:szCs w:val="32"/>
        </w:rPr>
      </w:pPr>
    </w:p>
    <w:p w14:paraId="11AA000A">
      <w:pPr>
        <w:jc w:val="center"/>
        <w:rPr>
          <w:rFonts w:eastAsia="仿宋_GB2312"/>
          <w:sz w:val="32"/>
          <w:szCs w:val="32"/>
        </w:rPr>
      </w:pPr>
    </w:p>
    <w:p w14:paraId="78010B75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 w14:paraId="038622F4">
      <w:pPr>
        <w:numPr>
          <w:ilvl w:val="0"/>
          <w:numId w:val="1"/>
        </w:num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部门（单位）基本情况</w:t>
      </w:r>
    </w:p>
    <w:p w14:paraId="4C59AACF">
      <w:pPr>
        <w:keepNext w:val="0"/>
        <w:keepLines w:val="0"/>
        <w:pageBreakBefore w:val="0"/>
        <w:tabs>
          <w:tab w:val="left" w:pos="3396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1.机构情况。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根据芦办发〔2019〕17号文件，区统战部内设办公室、民主党派和侨务工作办公室、民族宗教工作办公室3个科室。下设芦淞区党外知识分子服务中心1个所属事业单位。</w:t>
      </w:r>
    </w:p>
    <w:p w14:paraId="072A1EC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2.人员情况。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截止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年12月底实有人数总计16人,其中：行政编制8人，事业编制3人，在职11人，退休5人。</w:t>
      </w:r>
    </w:p>
    <w:p w14:paraId="04D37302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3.主要职能:</w:t>
      </w:r>
    </w:p>
    <w:p w14:paraId="43B76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组织贯彻执行党和国家关于统一战线的方针、政策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向区委反映统战政策的执行情况，提出开展统战工作的意见、建议和安排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 xml:space="preserve"> 研究拟订区委统战工作的计划并组织实施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负责开展统战理论研究和统战方针政策的宣传、教育工作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协调我区统一战线各方面的关系。</w:t>
      </w:r>
    </w:p>
    <w:p w14:paraId="0CFBF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负责联系我区各民主党派和无党派代表人士，及时通报情况，反映他们的意见和建议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 xml:space="preserve"> 贯彻党领导的多党合作和政治协商制度以及对民主党派的方针、政策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支持各民主党派加强自身建设，指导和帮助他们开展调查研究、建言献策和民主监督工作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协助有关部门帮助民主党派改善工作条件。</w:t>
      </w:r>
    </w:p>
    <w:p w14:paraId="3867C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贯彻执行党的民族、宗教的方针政策,了解情况，掌握动态，协调关系，提出政策性建议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会同有关部门妥善解决民族、宗教方面的问题，维护本区的安定团结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联系少数民族和宗教界的代表人士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协助有关部门做好少数民族干部的培养和举荐工作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办理各项民族宗教事务工作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依法管理民族宗教事务，巩固和扩大民族宗教界的爱国政治联盟。</w:t>
      </w:r>
    </w:p>
    <w:p w14:paraId="396EB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负责开展以祖国统一为重点的海外统战工作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贯彻党中央、国务院港澳台侨方面的方针政策，向区委、区政府提供侨务、对台工作信息以及工作建议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广泛开展海外联络联谊活动，加强海外宣传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做好侨、台胞和侨、台属的有关工作。</w:t>
      </w:r>
    </w:p>
    <w:p w14:paraId="5984F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调查研究党外知识分子的情况，反映意见，协调关系，提出政策性建议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联系并培养党外知识分子的代表人士，重点做好无党派知识分子代表人士的工作。</w:t>
      </w:r>
    </w:p>
    <w:p w14:paraId="17531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（6）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负责指导各镇、街道、区级机关部门统战工作的统一战线两支队伍的培训工作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管理区民宗局工作。</w:t>
      </w:r>
    </w:p>
    <w:p w14:paraId="5EED6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（7）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完成区委和上级统战部门交办的其他工作。</w:t>
      </w:r>
    </w:p>
    <w:p w14:paraId="6B2E3775">
      <w:pPr>
        <w:spacing w:line="600" w:lineRule="exact"/>
        <w:ind w:firstLine="643" w:firstLineChars="200"/>
        <w:rPr>
          <w:rFonts w:eastAsia="楷体_GB2312"/>
          <w:b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  <w:highlight w:val="none"/>
        </w:rPr>
        <w:t>（二）部门（单位）年度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各项</w:t>
      </w:r>
      <w:r>
        <w:rPr>
          <w:rFonts w:eastAsia="楷体_GB2312"/>
          <w:b/>
          <w:sz w:val="32"/>
          <w:szCs w:val="32"/>
          <w:highlight w:val="none"/>
        </w:rPr>
        <w:t>绩效目标</w:t>
      </w:r>
    </w:p>
    <w:p w14:paraId="3A193587">
      <w:pPr>
        <w:pStyle w:val="10"/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1、2024年度</w:t>
      </w:r>
      <w:r>
        <w:rPr>
          <w:rFonts w:hint="eastAsia" w:eastAsia="仿宋"/>
          <w:color w:val="auto"/>
          <w:sz w:val="32"/>
          <w:szCs w:val="32"/>
          <w:lang w:eastAsia="zh-CN"/>
        </w:rPr>
        <w:t>整体支出绩效目标</w:t>
      </w:r>
    </w:p>
    <w:p w14:paraId="3031666B">
      <w:pPr>
        <w:pStyle w:val="10"/>
        <w:numPr>
          <w:ilvl w:val="0"/>
          <w:numId w:val="2"/>
        </w:numPr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认真落实中央和省市关于统一战线系列重大决策部署，扎实做好新形势下的民族宗教工作。</w:t>
      </w:r>
    </w:p>
    <w:p w14:paraId="53C925B3">
      <w:pPr>
        <w:pStyle w:val="10"/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扎实做好非公有制经济人士的培训，实施民营企业培优做强，推进“湘商回归”工程落实。</w:t>
      </w:r>
    </w:p>
    <w:p w14:paraId="525D9D35">
      <w:pPr>
        <w:pStyle w:val="10"/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完积极做好民主党派和无党派人士工作。</w:t>
      </w:r>
    </w:p>
    <w:p w14:paraId="7B9BEEBD">
      <w:pPr>
        <w:pStyle w:val="10"/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扎实做好党外知识分子和新的社会阶层人士统战工作。</w:t>
      </w:r>
    </w:p>
    <w:p w14:paraId="3652FB5A">
      <w:pPr>
        <w:pStyle w:val="10"/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积极推动港澳台海外统战工作；全面加强统战系统自身建设。</w:t>
      </w:r>
    </w:p>
    <w:p w14:paraId="0A8CB54A">
      <w:pPr>
        <w:pStyle w:val="10"/>
        <w:numPr>
          <w:ilvl w:val="0"/>
          <w:numId w:val="0"/>
        </w:numPr>
        <w:spacing w:line="600" w:lineRule="exact"/>
        <w:ind w:leftChars="200" w:firstLine="320" w:firstLineChars="1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2、2024年度部门专项资金绩效目标</w:t>
      </w:r>
    </w:p>
    <w:p w14:paraId="417E8521">
      <w:pPr>
        <w:pStyle w:val="10"/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 xml:space="preserve">  基层民主党派经费、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民族宗教工作经费、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全国民族团结进步示范区创建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。</w:t>
      </w:r>
    </w:p>
    <w:p w14:paraId="283B2FC6">
      <w:pPr>
        <w:pStyle w:val="10"/>
        <w:numPr>
          <w:ilvl w:val="0"/>
          <w:numId w:val="3"/>
        </w:numPr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其他项目支出绩效目标</w:t>
      </w:r>
    </w:p>
    <w:p w14:paraId="3F28F87E">
      <w:pPr>
        <w:pStyle w:val="10"/>
        <w:numPr>
          <w:ilvl w:val="0"/>
          <w:numId w:val="0"/>
        </w:numPr>
        <w:spacing w:line="600" w:lineRule="exact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 xml:space="preserve">    无</w:t>
      </w:r>
    </w:p>
    <w:p w14:paraId="41F5E69D">
      <w:pPr>
        <w:pStyle w:val="10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6FF5C6DC">
      <w:pPr>
        <w:pStyle w:val="10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771FCB66">
      <w:pPr>
        <w:pStyle w:val="10"/>
        <w:spacing w:line="600" w:lineRule="exact"/>
        <w:ind w:firstLine="643"/>
        <w:rPr>
          <w:rFonts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1、</w:t>
      </w:r>
      <w:r>
        <w:rPr>
          <w:rFonts w:hint="eastAsia" w:eastAsia="仿宋"/>
          <w:color w:val="000000"/>
          <w:sz w:val="32"/>
          <w:szCs w:val="32"/>
          <w:lang w:eastAsia="zh-CN"/>
        </w:rPr>
        <w:t>2024</w:t>
      </w:r>
      <w:r>
        <w:rPr>
          <w:rFonts w:eastAsia="仿宋"/>
          <w:color w:val="000000"/>
          <w:sz w:val="32"/>
          <w:szCs w:val="32"/>
        </w:rPr>
        <w:t>年预算资金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301.61万元。</w:t>
      </w:r>
    </w:p>
    <w:p w14:paraId="3603DDD2">
      <w:pPr>
        <w:pStyle w:val="10"/>
        <w:spacing w:line="600" w:lineRule="exact"/>
        <w:ind w:firstLine="643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2、2024年度</w:t>
      </w:r>
      <w:r>
        <w:rPr>
          <w:rFonts w:eastAsia="仿宋"/>
          <w:color w:val="auto"/>
          <w:sz w:val="32"/>
          <w:szCs w:val="32"/>
        </w:rPr>
        <w:t>单位</w:t>
      </w:r>
      <w:r>
        <w:rPr>
          <w:rFonts w:hint="eastAsia" w:eastAsia="仿宋"/>
          <w:color w:val="auto"/>
          <w:sz w:val="32"/>
          <w:szCs w:val="32"/>
        </w:rPr>
        <w:t>一般公共预算财政拨款</w:t>
      </w:r>
      <w:r>
        <w:rPr>
          <w:rFonts w:eastAsia="仿宋"/>
          <w:color w:val="auto"/>
          <w:sz w:val="32"/>
          <w:szCs w:val="32"/>
        </w:rPr>
        <w:t>收入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299.88万元。</w:t>
      </w:r>
    </w:p>
    <w:p w14:paraId="555B84F6">
      <w:pPr>
        <w:spacing w:line="580" w:lineRule="exact"/>
        <w:ind w:firstLine="640" w:firstLineChars="200"/>
        <w:rPr>
          <w:rFonts w:hint="eastAsia" w:eastAsia="仿宋"/>
          <w:color w:val="0000FF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3、2024年度</w:t>
      </w:r>
      <w:r>
        <w:rPr>
          <w:rFonts w:eastAsia="仿宋"/>
          <w:color w:val="auto"/>
          <w:sz w:val="32"/>
          <w:szCs w:val="32"/>
        </w:rPr>
        <w:t>单位</w:t>
      </w:r>
      <w:r>
        <w:rPr>
          <w:rFonts w:hint="eastAsia" w:eastAsia="仿宋"/>
          <w:color w:val="auto"/>
          <w:sz w:val="32"/>
          <w:szCs w:val="32"/>
        </w:rPr>
        <w:t>一般公共预算财政拨款</w:t>
      </w:r>
      <w:r>
        <w:rPr>
          <w:rFonts w:hint="eastAsia" w:eastAsia="仿宋"/>
          <w:color w:val="auto"/>
          <w:sz w:val="32"/>
          <w:szCs w:val="32"/>
          <w:lang w:eastAsia="zh-CN"/>
        </w:rPr>
        <w:t>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299.88万元</w:t>
      </w:r>
      <w:r>
        <w:rPr>
          <w:rFonts w:eastAsia="仿宋"/>
          <w:color w:val="auto"/>
          <w:sz w:val="32"/>
          <w:szCs w:val="32"/>
        </w:rPr>
        <w:t>其中：项目支出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70.79</w:t>
      </w:r>
      <w:r>
        <w:rPr>
          <w:rFonts w:eastAsia="仿宋"/>
          <w:color w:val="auto"/>
          <w:sz w:val="32"/>
          <w:szCs w:val="32"/>
        </w:rPr>
        <w:t>万元，基本支出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229.09</w:t>
      </w:r>
      <w:r>
        <w:rPr>
          <w:rFonts w:eastAsia="仿宋"/>
          <w:color w:val="auto"/>
          <w:sz w:val="32"/>
          <w:szCs w:val="32"/>
        </w:rPr>
        <w:t>万元，其中：人员经费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200.96</w:t>
      </w:r>
      <w:r>
        <w:rPr>
          <w:rFonts w:eastAsia="仿宋"/>
          <w:color w:val="auto"/>
          <w:sz w:val="32"/>
          <w:szCs w:val="32"/>
        </w:rPr>
        <w:t>万元，公用经费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28.12万</w:t>
      </w:r>
      <w:r>
        <w:rPr>
          <w:rFonts w:eastAsia="仿宋"/>
          <w:color w:val="auto"/>
          <w:sz w:val="32"/>
          <w:szCs w:val="32"/>
        </w:rPr>
        <w:t>元。</w:t>
      </w:r>
    </w:p>
    <w:p w14:paraId="6CA7FD3D">
      <w:pPr>
        <w:pStyle w:val="10"/>
        <w:numPr>
          <w:ilvl w:val="0"/>
          <w:numId w:val="4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 w14:paraId="64794C4D">
      <w:pPr>
        <w:pStyle w:val="10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基层民主党派经费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万元；</w:t>
      </w:r>
    </w:p>
    <w:p w14:paraId="0B3ABB6E">
      <w:pPr>
        <w:pStyle w:val="10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民族宗教工作经费万元；</w:t>
      </w:r>
    </w:p>
    <w:p w14:paraId="5D05EB17">
      <w:pPr>
        <w:pStyle w:val="10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全国民族团结进步示范区创建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万元；</w:t>
      </w:r>
    </w:p>
    <w:p w14:paraId="00E0E766">
      <w:pPr>
        <w:pStyle w:val="10"/>
        <w:numPr>
          <w:ilvl w:val="0"/>
          <w:numId w:val="6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2F157C7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 w14:paraId="18C697A8">
      <w:pPr>
        <w:pStyle w:val="10"/>
        <w:numPr>
          <w:ilvl w:val="0"/>
          <w:numId w:val="6"/>
        </w:num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374AB0BC">
      <w:pPr>
        <w:pStyle w:val="10"/>
        <w:numPr>
          <w:ilvl w:val="0"/>
          <w:numId w:val="0"/>
        </w:num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无</w:t>
      </w:r>
    </w:p>
    <w:p w14:paraId="300FF196">
      <w:pPr>
        <w:pStyle w:val="10"/>
        <w:numPr>
          <w:ilvl w:val="0"/>
          <w:numId w:val="6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8C04B08">
      <w:pPr>
        <w:pStyle w:val="10"/>
        <w:numPr>
          <w:ilvl w:val="0"/>
          <w:numId w:val="0"/>
        </w:numPr>
        <w:spacing w:line="600" w:lineRule="exac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无</w:t>
      </w:r>
    </w:p>
    <w:p w14:paraId="5D937B9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 w14:paraId="6F220A6F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(一）部门整体支出绩效情况</w:t>
      </w:r>
    </w:p>
    <w:p w14:paraId="19117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中共株洲市芦淞区委统战部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的基本支出主要为用于保障机构正常运转、完成日常工作而发生的支出，包括人员经费和公用经费等。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年基本支出合计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239.37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万元。其中：1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工资福利支出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209.07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万元。工资福利支出指基本工资、津贴补贴、奖金、机关事业单位基本养老保险缴费、职工基本医疗保险缴费、其他社会保障缴费、住房公积金。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对个人和家庭的补助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6.13万元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。对个人和家庭的补助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指生活补助、奖励金、其他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对个人和家庭的补助。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商品和服务支出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24.17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万元。商品和服务支出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日常工作运转的办公费、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印刷费、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邮电费、差旅费、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维修（护）费、劳务费、委托业务费、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工会经费、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其他交通费用、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其他商品和服务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年项目支出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合计45.54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主要用于支持各民主党派加强自身建设，为民主党派人士履职尽责调研考察等活动提供经费支持。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完善“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大统战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书记主持召开党务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、区委统战工作和非公有制经济工作领导小组会议等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，区委常委学习传达统战领域指示精神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调优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非公有制经济工作领导小组成员单位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，印发了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工作规则等文件6个，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理顺职责职能、细化工作任务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。严格按照要求足额配备党外干部，全年累计提拔、重用党外干部7人，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其中提拔正科级1人、副科级5人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镇（街道）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条件成熟的村（社区）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、重点领域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成立新阶联分会组织，实现基层联谊组织全覆盖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天泽华丽获评省级实践创新优秀基地，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大汉·悦中心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获评市级实践创新基地，中央统战部六局调研芦淞区新阶层人士统战工作时给予了高度评价。举办纪念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中共中央发布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五一口号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75周年座谈会，制作《制造名城新力量·三百三助赋新能》宣传片，在人流最旺的市场群、主干道打造宣传阵地，引导党外人士听党话、跟党走。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引导统战团体开展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盟心工作站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益云公益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‘七彩假期’夏令营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‘童心·童画’书画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vertAlign w:val="baseline"/>
          <w:lang w:val="en-US" w:eastAsia="zh-CN" w:bidi="ar"/>
        </w:rPr>
        <w:t>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vertAlign w:val="baseli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社会服务活动，用实际行动彰显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统战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担当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裘日亮被评为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全国归侨侨眷先进个人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，方畅被评为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全国侨联系统先进个人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，林文爱获评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全国模范人民调解员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称号。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创建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新阶同心·圆桌汇智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工作品牌，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引导统战成员围绕中心工作深入调研、建言献策。区领导联系民营企业和商协会28家，区委书记主持政企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餐叙会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次，推动问题办结53件。开展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干部联企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提信心·促发展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等暖企活动，评选了一批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芦淞区贡献杰出企业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芦淞区第一届优秀企业家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，营造亲商重商爱商浓厚氛围。华锐精密获评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时代匠人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奖、全省第三批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5G+工业互联网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示范工厂，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魔美名作获评中国服装行业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营业收入利润率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百强企业，素白亮相中国国际时装周3次，肖旭凯获评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新湖南贡献奖先进个人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，4家企业入选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株洲民营企业50强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，3名企业家获评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株洲市民营经济杰出人物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积极对接异地商协会到芦淞考察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引进湘商回归项目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7个，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助推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白关丝瓜出口英国、签订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德国意向协议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。联动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统战资源助推文旅产业，开发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神农福地·制造名城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精品研学专线，打造了航空小镇等4个研学营地，年接待能力达10万人次。深入开展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五进五好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等主题活动，促进宗教活动场所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两个规范化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建设。开展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两个专项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排查整治工作，持续治理非法宗教活动，确保宗教领域安全稳定。举办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年民族宗教政策宣传月暨民族团结进步主题宣传月活动，解决各族同胞入学、加分等19起，持续开展民族团结进步示范创建，南方中学获评省级示范单位、白关镇龙凤庵村获评市级示范单位。深入开展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新时期网络统战人士统战工作路径创新研究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调查研究，制定了网络协调机制，成立了全省首家网络主播分会，推动网络统战工作走深走实。</w:t>
      </w:r>
    </w:p>
    <w:p w14:paraId="6442EEC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（二）项目支出绩效情况</w:t>
      </w:r>
    </w:p>
    <w:p w14:paraId="6C47B01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1.年初预算项目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民主党派建设经费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，年中执行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调减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，实际支出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10.00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万元。项目实施及绩效情况如下：</w:t>
      </w:r>
    </w:p>
    <w:p w14:paraId="2150A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10.00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主要用于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辖区内民主党派的建设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及开展调研活动经费。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项目实施及绩效情况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《关于支持民主党派加强基层组织建设的通知》的有关要求，完成全区7个民主党派基层组织工作经费全额拨付工作，开展多党合作，积极引导党外人士参与服务地区科学发展、转型升级事业，打造改善民生的新亮点，协助各民主党派加强自身建设。</w:t>
      </w:r>
    </w:p>
    <w:p w14:paraId="0AD8DAA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.年初预算项目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统战特别经费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，年中执行调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8.31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12.31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万元。项目实施及绩效情况如下：</w:t>
      </w:r>
    </w:p>
    <w:p w14:paraId="1421A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12.31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主要用于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辖区内民主党派的建设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及开展调研活动经费。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项目实施及绩效情况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完善“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大统战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书记主持召开党务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、区委统战工作和非公有制经济工作领导小组会议等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，区委常委学习传达统战领域指示精神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调优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非公有制经济工作领导小组成员单位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，印发了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工作规则等文件6个，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理顺职责职能、细化工作任务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。严格按照要求足额配备党外干部，全年累计提拔、重用党外干部7人，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其中提拔正科级1人、副科级5人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举办纪念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中共中央发布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五一口号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75周年座谈会，制作《制造名城新力量·三百三助赋新能》宣传片，在人流最旺的市场群、主干道打造宣传阵地，引导党外人士听党话、跟党走。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引导统战团体开展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盟心工作站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益云公益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‘七彩假期’夏令营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‘童心·童画’书画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vertAlign w:val="baseline"/>
          <w:lang w:val="en-US" w:eastAsia="zh-CN" w:bidi="ar"/>
        </w:rPr>
        <w:t>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vertAlign w:val="baseli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社会服务活动，用实际行动彰显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统战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担当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裘日亮被评为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全国归侨侨眷先进个人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，方畅被评为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全国侨联系统先进个人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，林文爱获评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全国模范人民调解员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称号。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创建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新阶同心·圆桌汇智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工作品牌，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引导统战成员围绕中心工作深入调研、建言献策。区领导联系民营企业和商协会28家，区委书记主持政企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餐叙会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次，推动问题办结53件。开展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干部联企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提信心·促发展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等暖企活动，评选了一批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芦淞区贡献杰出企业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芦淞区第一届优秀企业家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，营造亲商重商爱商浓厚氛围。华锐精密获评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时代匠人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奖、全省第三批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5G+工业互联网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示范工厂，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魔美名作获评中国服装行业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营业收入利润率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百强企业，素白亮相中国国际时装周3次，肖旭凯获评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新湖南贡献奖先进个人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，4家企业入选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株洲民营企业50强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，3名企业家获评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株洲市民营经济杰出人物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积极对接异地商协会到芦淞考察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引进湘商回归项目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7个，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助推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白关丝瓜出口英国、签订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德国意向协议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。联动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统战资源助推文旅产业，开发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神农福地·制造名城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精品研学专线，打造了航空小镇等4个研学营地，年接待能力达10万人次。</w:t>
      </w:r>
    </w:p>
    <w:p w14:paraId="4250B03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.年初预算项目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民族宗教专项工作经费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，年中执行调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4.18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8.18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万元。项目实施及绩效情况如下：</w:t>
      </w:r>
    </w:p>
    <w:p w14:paraId="6EFEE63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8.18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主要用于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宣传贯彻落实党和国家的民族政策，维护民族团结、社会稳定和国家统一，妥善处理影响民族团结的各类问题。开展宗教工作，维护民族宗教领域稳定。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项目实施及绩效情况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五进五好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等主题活动，促进宗教活动场所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两个规范化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建设。开展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两个专项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排查整治工作，持续治理非法宗教活动，确保宗教领域安全稳定。举办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年民族宗教政策宣传月暨民族团结进步主题宣传月活动，解决各族同胞入学、加分等19起，持续开展民族团结进步示范创建，南方中学获评省级示范单位、白关镇龙凤庵村获评市级示范单位。深入开展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新时期网络统战人士统战工作路径创新研究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调查研究，制定了网络协调机制，成立了全省首家网络主播分会，推动网络统战工作走深走实。</w:t>
      </w:r>
    </w:p>
    <w:p w14:paraId="0C95A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.年初预算项目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知新、四同、海侨工作经费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，年中执行调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6.05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15.05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万元。项目实施及绩效情况如下：</w:t>
      </w:r>
    </w:p>
    <w:p w14:paraId="1FC4D8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15.05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主要用于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引导统一战线成员助力乡村振兴战略实施，创建一批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同心示范点，创建新的社会阶层人士实践创新基地。开展新的社会阶层人士和党外知识分子联谊交友、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咨政建言等工作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项目实施及绩效情况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区、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镇（街道）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条件成熟的村（社区）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、重点领域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成立新阶联分会组织，实现基层联谊组织全覆盖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天泽华丽获评省级实践创新优秀基地，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大汉·悦中心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获评市级实践创新基地，中央统战部六局调研芦淞区新阶层人士统战工作时给予了高度评价。</w:t>
      </w:r>
    </w:p>
    <w:p w14:paraId="500A5E4E">
      <w:pPr>
        <w:pStyle w:val="10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04F1F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预算编制时存在预测性和不确定性，造成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资金预算使用安排不够精准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资金使用情况与预算安排不够协调统一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单位开展预算绩效管理的管理水平有待提高。</w:t>
      </w:r>
    </w:p>
    <w:p w14:paraId="654E135B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1C794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科学合理编制预算，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加强预算资金管理，完善管理制度，规范使用资金，提高资金运行绩效；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围绕区委中心工作大局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，精准施策，着力推进统战工作迈上新台阶。</w:t>
      </w:r>
    </w:p>
    <w:p w14:paraId="133C89C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2F6FB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根据预算绩效管理要求，本单位组织对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年度部门整体支出开展了绩效自评，从评价情况来看，预算执行及时、有效，绩效目标得到较好实现，绩效管理水平不断提高。</w:t>
      </w:r>
    </w:p>
    <w:p w14:paraId="77114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本单位没有独立网站，因此只在芦淞区政府信息公开专栏中公开。</w:t>
      </w:r>
    </w:p>
    <w:p w14:paraId="60DE45AF"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</w:p>
    <w:p w14:paraId="6017D86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73F5D527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30340E76">
      <w:pPr>
        <w:spacing w:line="600" w:lineRule="exact"/>
        <w:rPr>
          <w:rFonts w:eastAsia="仿宋_GB2312"/>
          <w:kern w:val="0"/>
          <w:sz w:val="32"/>
          <w:szCs w:val="32"/>
        </w:rPr>
      </w:pPr>
    </w:p>
    <w:p w14:paraId="07B8EE33">
      <w:r>
        <w:rPr>
          <w:rFonts w:eastAsia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8F4CC69"/>
    <w:multiLevelType w:val="singleLevel"/>
    <w:tmpl w:val="68F4CC69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8F4CE96"/>
    <w:multiLevelType w:val="singleLevel"/>
    <w:tmpl w:val="68F4CE9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8F4CFEB"/>
    <w:multiLevelType w:val="singleLevel"/>
    <w:tmpl w:val="68F4CFEB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68F4D003"/>
    <w:multiLevelType w:val="singleLevel"/>
    <w:tmpl w:val="68F4D003"/>
    <w:lvl w:ilvl="0" w:tentative="0">
      <w:start w:val="3"/>
      <w:numFmt w:val="chineseCounting"/>
      <w:suff w:val="nothing"/>
      <w:lvlText w:val="%1、"/>
      <w:lvlJc w:val="left"/>
    </w:lvl>
  </w:abstractNum>
  <w:abstractNum w:abstractNumId="5">
    <w:nsid w:val="68F4D194"/>
    <w:multiLevelType w:val="singleLevel"/>
    <w:tmpl w:val="68F4D1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D3B91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65D2B53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DD5FD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6233C8"/>
    <w:rsid w:val="1B9D302A"/>
    <w:rsid w:val="1BF446CE"/>
    <w:rsid w:val="1C704031"/>
    <w:rsid w:val="1CBE6F97"/>
    <w:rsid w:val="1D271A66"/>
    <w:rsid w:val="1DCB47DF"/>
    <w:rsid w:val="1E067B59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7DE2311"/>
    <w:rsid w:val="286C33CA"/>
    <w:rsid w:val="28E4125D"/>
    <w:rsid w:val="29483161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DFA5AED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086440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441DBF"/>
    <w:rsid w:val="399C1F0E"/>
    <w:rsid w:val="39F85E1B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0373D9"/>
    <w:rsid w:val="4C19263D"/>
    <w:rsid w:val="4C253F32"/>
    <w:rsid w:val="4C442E20"/>
    <w:rsid w:val="4C714499"/>
    <w:rsid w:val="4C845F8F"/>
    <w:rsid w:val="4D36566E"/>
    <w:rsid w:val="4DBB24B5"/>
    <w:rsid w:val="4DD8185F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473D72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5FF8671E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70B7A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854A3C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character" w:styleId="9">
    <w:name w:val="Hyperlink"/>
    <w:basedOn w:val="8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_Style 3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正文文字"/>
    <w:basedOn w:val="1"/>
    <w:next w:val="1"/>
    <w:qFormat/>
    <w:uiPriority w:val="99"/>
    <w:pPr>
      <w:widowControl/>
      <w:spacing w:after="120"/>
    </w:pPr>
    <w:rPr>
      <w:rFonts w:ascii="Calibri" w:hAnsi="Calibri" w:cs="Times New Roman"/>
    </w:rPr>
  </w:style>
  <w:style w:type="character" w:customStyle="1" w:styleId="15">
    <w:name w:val="NormalCharacter"/>
    <w:link w:val="16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">
    <w:name w:val="UserStyle_10"/>
    <w:basedOn w:val="1"/>
    <w:link w:val="15"/>
    <w:qFormat/>
    <w:uiPriority w:val="0"/>
    <w:pPr>
      <w:widowControl/>
      <w:spacing w:after="160" w:line="240" w:lineRule="exact"/>
      <w:jc w:val="lef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4721</Words>
  <Characters>4883</Characters>
  <Lines>0</Lines>
  <Paragraphs>0</Paragraphs>
  <TotalTime>4</TotalTime>
  <ScaleCrop>false</ScaleCrop>
  <LinksUpToDate>false</LinksUpToDate>
  <CharactersWithSpaces>4906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宗</cp:lastModifiedBy>
  <dcterms:modified xsi:type="dcterms:W3CDTF">2026-01-21T07:55:42Z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A62209A1207E4F0DAB63C2129CF66155_13</vt:lpwstr>
  </property>
  <property fmtid="{D5CDD505-2E9C-101B-9397-08002B2CF9AE}" pid="4" name="KSOTemplateDocerSaveRecord">
    <vt:lpwstr>eyJoZGlkIjoiM2FiZDIzMjBhYjY3YjcwYmIxYWI1NjM4YzVmYjEyMDMiLCJ1c2VySWQiOiIzNzA2NDI1NTgifQ==</vt:lpwstr>
  </property>
</Properties>
</file>