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5181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附件1</w:t>
      </w:r>
    </w:p>
    <w:p w14:paraId="79A9B68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2730E0D4"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</w:rPr>
        <w:t>202</w:t>
      </w:r>
      <w:r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</w:rPr>
        <w:t>年度中共株洲市芦淞区委办公室</w:t>
      </w:r>
    </w:p>
    <w:p w14:paraId="07416B77">
      <w:pPr>
        <w:snapToGrid w:val="0"/>
        <w:spacing w:line="560" w:lineRule="exact"/>
        <w:jc w:val="center"/>
        <w:rPr>
          <w:rFonts w:hint="eastAsia" w:ascii="方正大标宋简体" w:eastAsia="方正大标宋简体"/>
          <w:sz w:val="48"/>
          <w:szCs w:val="52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</w:rPr>
        <w:t>整体支出绩效自评报告</w:t>
      </w:r>
    </w:p>
    <w:p w14:paraId="4E446081"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4"/>
          <w:highlight w:val="none"/>
          <w:shd w:val="clear" w:color="auto" w:fill="auto"/>
        </w:rPr>
      </w:pPr>
    </w:p>
    <w:p w14:paraId="76A41EA0">
      <w:pPr>
        <w:jc w:val="center"/>
        <w:rPr>
          <w:rFonts w:eastAsia="楷体_GB2312"/>
          <w:b/>
          <w:sz w:val="32"/>
          <w:szCs w:val="32"/>
          <w:highlight w:val="none"/>
          <w:shd w:val="clear" w:color="auto" w:fill="auto"/>
        </w:rPr>
      </w:pPr>
    </w:p>
    <w:p w14:paraId="0E801916">
      <w:pPr>
        <w:jc w:val="center"/>
        <w:rPr>
          <w:rFonts w:eastAsia="楷体_GB2312"/>
          <w:b/>
          <w:sz w:val="32"/>
          <w:szCs w:val="32"/>
          <w:highlight w:val="none"/>
          <w:shd w:val="clear" w:color="auto" w:fill="auto"/>
        </w:rPr>
      </w:pPr>
    </w:p>
    <w:p w14:paraId="34558FFC">
      <w:pPr>
        <w:jc w:val="center"/>
        <w:rPr>
          <w:rFonts w:eastAsia="楷体_GB2312"/>
          <w:b/>
          <w:sz w:val="32"/>
          <w:szCs w:val="32"/>
          <w:highlight w:val="none"/>
          <w:shd w:val="clear" w:color="auto" w:fill="auto"/>
        </w:rPr>
      </w:pPr>
    </w:p>
    <w:p w14:paraId="129FEC8B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68C01AFC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68E79826">
      <w:pPr>
        <w:jc w:val="both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4F354D80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7DBD82B1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5AF5B2D9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6012058A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07D1D6DA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60E8FAB3">
      <w:pPr>
        <w:pStyle w:val="2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112B6C3E">
      <w:pPr>
        <w:pStyle w:val="2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0CF683CE">
      <w:pPr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26D92E7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单位名称：中共株洲市芦淞区委办公室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shd w:val="clear" w:color="auto" w:fill="auto"/>
        </w:rPr>
        <w:t xml:space="preserve">（盖章） </w:t>
      </w:r>
    </w:p>
    <w:p w14:paraId="10FE7896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  月  日</w:t>
      </w:r>
    </w:p>
    <w:p w14:paraId="1BFD86A3">
      <w:pPr>
        <w:jc w:val="center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49F38F29">
      <w:pPr>
        <w:ind w:firstLine="3200" w:firstLineChars="10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（此页为封面）</w:t>
      </w:r>
    </w:p>
    <w:p w14:paraId="258E0E8B">
      <w:pPr>
        <w:jc w:val="center"/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</w:rPr>
        <w:t>20</w:t>
      </w:r>
      <w:r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</w:rPr>
        <w:t>年度中共株洲市芦淞区委办公室</w:t>
      </w:r>
    </w:p>
    <w:p w14:paraId="3AC7B70E">
      <w:pPr>
        <w:jc w:val="center"/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sz w:val="40"/>
          <w:szCs w:val="32"/>
          <w:highlight w:val="none"/>
          <w:shd w:val="clear" w:color="auto" w:fill="auto"/>
        </w:rPr>
        <w:t>整体支出绩效自评报告</w:t>
      </w:r>
    </w:p>
    <w:p w14:paraId="21E7CE6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一、单位基本情况</w:t>
      </w:r>
    </w:p>
    <w:p w14:paraId="4DBB635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  <w:lang w:eastAsia="zh-CN"/>
        </w:rPr>
        <w:t>部门（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基本情况</w:t>
      </w:r>
    </w:p>
    <w:p w14:paraId="6571B9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1.主要职能</w:t>
      </w:r>
    </w:p>
    <w:p w14:paraId="387826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（1）围绕区委的工作部署，对涉及全区政治、经济、社会发展和党的建设等全局性重大问题开展调查研究，为区委科学决策提出建议、预案和依据。</w:t>
      </w:r>
    </w:p>
    <w:p w14:paraId="58AD38C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（2）及时、准确、全面地向中央和省委、市委、区委报送信息，反映国内外、区内外的有关动态。</w:t>
      </w:r>
    </w:p>
    <w:p w14:paraId="7BC6CAC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（3）负责中央、省委、市委和区委重大方针政策、重要工作部署和领导同志重要批示、批件贯彻落实情况的督促检查；负责人大代表、政协委员提出的需要区委工作机关答复的建议、提案的催办工作。</w:t>
      </w:r>
    </w:p>
    <w:p w14:paraId="092179B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 xml:space="preserve">（4）负责区委文件和区委领导文稿的起草、校核、印发工作；负责区委日常公文处理、档案管理和开发利用工作。  </w:t>
      </w:r>
    </w:p>
    <w:p w14:paraId="61612D7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5）研究、审核区委各工作机关、各单位党组（党委）、和白关镇、各街道党（工）委、董家塅高科园党工委、服饰产业园党工委向区委的请示和报告，并提出处理意见、报区委领导审批；协助区委领导处理群众来信来访工作。</w:t>
      </w:r>
    </w:p>
    <w:p w14:paraId="55DC3C9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（6）完成区委交办的其他工作。</w:t>
      </w:r>
    </w:p>
    <w:p w14:paraId="3A6AD37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机构情况，包括当年变动情况及原因。</w:t>
      </w:r>
    </w:p>
    <w:p w14:paraId="1CDF5E3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中共株洲市芦淞区委办公室内设机构包括：督查室、综调室、机要室、文秘室。</w:t>
      </w:r>
    </w:p>
    <w:p w14:paraId="2032150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人员情况，包括当年变动情况及原因。</w:t>
      </w:r>
    </w:p>
    <w:p w14:paraId="0B8B4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val="en-US" w:eastAsia="zh-CN"/>
        </w:rPr>
        <w:t>2024年本单位年未实有人数25人（其中：行政编制11人，事业编制14人）。退休12人。</w:t>
      </w:r>
    </w:p>
    <w:p w14:paraId="1DA871B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（二）年度整体支出绩效目标</w:t>
      </w:r>
    </w:p>
    <w:p w14:paraId="1BAE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1.参谋辅政有力有效：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组织起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草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区委和区委主要领导各类重要材料230余篇、70余万字，为区委决策提供支撑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其中多篇文章分别在湖南日报、株洲工作等主流媒体和重要内刊推介。</w:t>
      </w:r>
    </w:p>
    <w:p w14:paraId="2ACF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2.会务统筹精心周密：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统筹协调相关部门圆满完成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中央、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省委等领导来芦调研活动近20次，统筹服务2024湖南服饰博览会暨芦淞时装周、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航空嘉年华、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芦淞区炎帝陵祭祖活动等省市区重要会议活动2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00余次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，区委常委会会议2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次、餐叙交流会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。</w:t>
      </w:r>
    </w:p>
    <w:p w14:paraId="16F6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3.深化改革抓实抓细：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充分发挥区委改革办牵头抓总作用，牵头制定《2024年全面深化改革工作要点》，有效推动6大类86项具体改革任务落地落实；统筹开展区级领导领衔改革事项，大兴调查研究活动，形成高质量调研报告20余篇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。</w:t>
      </w:r>
    </w:p>
    <w:p w14:paraId="4C4B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4.督促落实到底到位：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全面推行主要工作预安销号制度，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全年共预安事项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项，累计完成销号562项，到期完成率达97.2%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；全年共督办区委主要领导批示件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111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件，组织开展专项督查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次，累计下发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提醒函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，办理“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无扰督查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”平台交办件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件，网络问政平台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件群众反映问题全部办结，有力推动了全区干部作风提升和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工作落实。</w:t>
      </w:r>
    </w:p>
    <w:p w14:paraId="7414646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二、一般公共预算支出情况</w:t>
      </w:r>
    </w:p>
    <w:p w14:paraId="1A9BECA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（一）基本支出情况</w:t>
      </w:r>
    </w:p>
    <w:p w14:paraId="2D36189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1、202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年预算资金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491.20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万元。</w:t>
      </w:r>
    </w:p>
    <w:p w14:paraId="0B28B39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2、20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年度单位一般公共预算财政拨款收入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540.87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万元。</w:t>
      </w:r>
    </w:p>
    <w:p w14:paraId="2AA2088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3、202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年度单位一般公共预算财政拨款支出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540.87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万元。其中：项目支出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74.85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万元，基本支出466.02万元，其中：人员经费371.35万元，公用经费94.67万元。</w:t>
      </w:r>
    </w:p>
    <w:p w14:paraId="1646481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（二）项目支出情况</w:t>
      </w:r>
    </w:p>
    <w:p w14:paraId="6606C91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项目支出74.85万元，（其中档案、党史及区志专项14.48万元；疫情防控经费15.50万元；国安专项经费4.17万元；区委办业务性经费19.46万元；祭祀炎帝陵活动经费21.24万元）。</w:t>
      </w:r>
    </w:p>
    <w:p w14:paraId="7E8631A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三、政府性基金预算支出情况</w:t>
      </w:r>
    </w:p>
    <w:p w14:paraId="71F90E9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无。</w:t>
      </w:r>
    </w:p>
    <w:p w14:paraId="09E5C93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四、国有资本经营预算支出情况</w:t>
      </w:r>
    </w:p>
    <w:p w14:paraId="378FDA0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无。</w:t>
      </w:r>
    </w:p>
    <w:p w14:paraId="1786068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五、社会保险基金预算支出情况</w:t>
      </w:r>
    </w:p>
    <w:p w14:paraId="51FA40B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无。</w:t>
      </w:r>
    </w:p>
    <w:p w14:paraId="5A1134D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六、资金使用及绩效情况（包含单位管理的公共专项）</w:t>
      </w:r>
    </w:p>
    <w:p w14:paraId="571AA1B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（一）整体支出绩效情况</w:t>
      </w:r>
    </w:p>
    <w:p w14:paraId="1E72FA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本单位2024年年初预算资金总计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491.2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万元，实际单位年度总支出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540.87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万元，预算执行率为100%。我单位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紧紧围绕区委中心工作，充分发挥“参谋助手、信息反馈、督促检查、综合协调”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职能，切实履行“三服务”职责，“参谋部”“协调部”“后勤部”作用有效发挥，为推动全区经济社会高质量发展提供了有力保障。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同时保障了公用经费及项目经费的正常运转。</w:t>
      </w:r>
    </w:p>
    <w:p w14:paraId="47FD6A5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</w:rPr>
        <w:t>（二）项目支出绩效情况</w:t>
      </w:r>
    </w:p>
    <w:p w14:paraId="2F386A6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本部门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年年初预算专项资金共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个，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具体情况如下：</w:t>
      </w:r>
    </w:p>
    <w:p w14:paraId="07C6A85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一是专车维护经费，预算资金5.00万元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（由于该笔资金用的是行政运行指标，决算报表通不过，所以决算报表将项目支出的行政运行指标调整至基本支出）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</w:rPr>
        <w:t>，实际支出4.89万元，该专项资金主要是用于油费、保养修理费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04B6EE6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业务性工作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专项费用，预算资金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20.00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万元，实际支出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19.46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万元，该专项资金主要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用于：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机要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保密工作：机要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设备维修维护、传真机接收机耗材使用更换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、办公用品采购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等开支；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信息工作：举办全区信息工作培训班，发放信息文稿奖励，芦淞信息、工作专报、信息文稿汇编开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等开支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3.全区性会议活动：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印刷资料、横幅等会展服务、茶叶、杯子、矿泉水、本子、笔、文件袋等开支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4.督查工作：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制定《202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年芦淞区督查检查考核计划清单》，修订完善《芦淞区督查工作规范》，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抓实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《书记批示件办理工作制度》</w:t>
      </w:r>
      <w:r>
        <w:rPr>
          <w:rFonts w:hint="eastAsia" w:ascii="Times New Roman" w:hAnsi="Times New Roman" w:eastAsia="仿宋_GB2312" w:cs="Times New Roman"/>
          <w:color w:val="000000"/>
          <w:sz w:val="32"/>
          <w:highlight w:val="none"/>
          <w:shd w:val="clear" w:color="auto" w:fill="auto"/>
          <w:lang w:val="en-US" w:eastAsia="zh-CN"/>
        </w:rPr>
        <w:t>等开支。</w:t>
      </w:r>
    </w:p>
    <w:p w14:paraId="502CB14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三是档案、党史及区志专项，预算资金19.00万元，实际支出25.52万元，该专项资金主要用于对约10万馆藏档案进行日常保管保护；到2025年度实现应扫描的馆藏纸质档案数字化率达到100%；做好一年一鉴、公开出版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7FE34BC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是国安专项经费，预算资金7.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0万元，实际支出4.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7万元，该项资金主要用于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国家安全宣传及培训等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支出。</w:t>
      </w:r>
    </w:p>
    <w:p w14:paraId="12DA86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eastAsia="zh-CN"/>
        </w:rPr>
        <w:t>五是</w:t>
      </w:r>
      <w:r>
        <w:rPr>
          <w:rFonts w:hint="eastAsia"/>
          <w:highlight w:val="none"/>
          <w:shd w:val="clear" w:color="auto" w:fill="auto"/>
          <w:lang w:val="en-US" w:eastAsia="zh-CN"/>
        </w:rPr>
        <w:t>SM会议终端费用，预算资金3.96万元，实际支出0万元，本年未发生支出，主要原因是库款紧张。</w:t>
      </w:r>
    </w:p>
    <w:p w14:paraId="78A743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eastAsia="仿宋_GB2312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val="en-US" w:eastAsia="zh-CN"/>
        </w:rPr>
        <w:t xml:space="preserve">    六是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祭祀炎帝陵活动经费</w:t>
      </w:r>
      <w:r>
        <w:rPr>
          <w:rFonts w:hint="eastAsia" w:ascii="仿宋_GB2312"/>
          <w:sz w:val="32"/>
          <w:szCs w:val="32"/>
          <w:highlight w:val="none"/>
          <w:shd w:val="clear" w:color="auto" w:fill="auto"/>
          <w:lang w:eastAsia="zh-CN"/>
        </w:rPr>
        <w:t>，该经费为追加拨款，年初预算</w:t>
      </w:r>
      <w:r>
        <w:rPr>
          <w:rFonts w:hint="eastAsia" w:ascii="仿宋_GB2312"/>
          <w:sz w:val="32"/>
          <w:szCs w:val="32"/>
          <w:highlight w:val="none"/>
          <w:shd w:val="clear" w:color="auto" w:fill="auto"/>
          <w:lang w:val="en-US" w:eastAsia="zh-CN"/>
        </w:rPr>
        <w:t>0万元，实际支出21.24万元，主要用于祭祀活动租车、用餐、住宿、资料印制及用品等开支。</w:t>
      </w:r>
    </w:p>
    <w:p w14:paraId="73AA44C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七、存在的问题及原因分析</w:t>
      </w:r>
    </w:p>
    <w:p w14:paraId="4E3EA2F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部分项目绩效目标设定较为笼统，量化指标不足，与预算资金安排缺乏直接对应关系，导致绩效评价时难以准确衡量资金使用的实际效果。</w:t>
      </w:r>
    </w:p>
    <w:p w14:paraId="7FB0A62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八、下一步改进措施</w:t>
      </w:r>
    </w:p>
    <w:p w14:paraId="21D96CF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本单位将认真分析总结预算编报中存在的问题，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优化目标设置，加强协同审核，建立财务与业务部门联合审核机制，在预算编制阶段同步审定绩效目标，确保目标可衡量、可考核，全面提升财政资金使用绩效。</w:t>
      </w:r>
    </w:p>
    <w:p w14:paraId="73C5D96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九、部门整体支出绩效自评结果拟应用和公开情况</w:t>
      </w:r>
    </w:p>
    <w:p w14:paraId="620EBD9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通过绩效自评，进一步掌握了资金使用情况和取得的效果。本单位没有独立网站，此次绩效自评报告将与20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  <w:t>年部门决算一起在芦淞区政府信息公开专栏中公开，接受群众监督。</w:t>
      </w:r>
    </w:p>
    <w:p w14:paraId="6DB9FD4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shd w:val="clear" w:color="auto" w:fill="auto"/>
          <w:lang w:eastAsia="zh-CN"/>
        </w:rPr>
        <w:t>十、其他需要说明的情况</w:t>
      </w:r>
    </w:p>
    <w:p w14:paraId="33A61D6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  <w:t>无。</w:t>
      </w:r>
    </w:p>
    <w:p w14:paraId="5F2AD779">
      <w:pPr>
        <w:pStyle w:val="8"/>
        <w:rPr>
          <w:rFonts w:hint="eastAsia" w:ascii="仿宋_GB2312" w:eastAsia="仿宋_GB2312"/>
          <w:sz w:val="32"/>
          <w:szCs w:val="32"/>
          <w:highlight w:val="none"/>
          <w:shd w:val="clear" w:color="auto" w:fill="auto"/>
          <w:lang w:eastAsia="zh-CN"/>
        </w:rPr>
      </w:pPr>
    </w:p>
    <w:p w14:paraId="23F4D73E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747DAAB3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14794663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026D1A17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6E5F0167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5BD1B579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679E5F5A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3A03CAD0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6AA3E1DD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3E06D866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23DDB1BC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highlight w:val="none"/>
          <w:shd w:val="clear" w:color="auto" w:fill="auto"/>
        </w:rPr>
      </w:pPr>
    </w:p>
    <w:p w14:paraId="0EDD38BE">
      <w:pPr>
        <w:rPr>
          <w:rFonts w:ascii="黑体" w:hAnsi="黑体" w:eastAsia="黑体"/>
          <w:sz w:val="32"/>
          <w:szCs w:val="32"/>
          <w:highlight w:val="none"/>
          <w:shd w:val="clear" w:color="auto" w:fill="auto"/>
        </w:rPr>
      </w:pPr>
    </w:p>
    <w:p w14:paraId="1FD393C4">
      <w:pPr>
        <w:rPr>
          <w:highlight w:val="none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A259F">
    <w:pPr>
      <w:pStyle w:val="4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 w14:paraId="7C2300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00082"/>
    <w:rsid w:val="114F5EC2"/>
    <w:rsid w:val="18E4733F"/>
    <w:rsid w:val="2B900082"/>
    <w:rsid w:val="34607C42"/>
    <w:rsid w:val="5DD14279"/>
    <w:rsid w:val="775D6FB2"/>
    <w:rsid w:val="798572DD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2376</Words>
  <Characters>2565</Characters>
  <Lines>0</Lines>
  <Paragraphs>0</Paragraphs>
  <TotalTime>2</TotalTime>
  <ScaleCrop>false</ScaleCrop>
  <LinksUpToDate>false</LinksUpToDate>
  <CharactersWithSpaces>2576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2025-12-10T08:22:00Z</dcterms:created>
  <dc:creator>张拉拉</dc:creator>
  <cp:lastModifiedBy>张拉拉</cp:lastModifiedBy>
  <dcterms:modified xsi:type="dcterms:W3CDTF">2025-12-31T01:56:11Z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FBE072F65C40430ABC8BD9371FD3B312_11</vt:lpwstr>
  </property>
  <property fmtid="{D5CDD505-2E9C-101B-9397-08002B2CF9AE}" pid="4" name="KSOTemplateDocerSaveRecord">
    <vt:lpwstr>eyJoZGlkIjoiNDRhNTIxZTgyNjEzMmE4ZGNiNzFiNzBiOTNhMGEzMDciLCJ1c2VySWQiOiIxMTY4NjQ0MTU3In0=</vt:lpwstr>
  </property>
</Properties>
</file>