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D9E3">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株洲市芦淞区应急管理局</w:t>
      </w:r>
      <w:r>
        <w:rPr>
          <w:rFonts w:hint="eastAsia" w:eastAsia="方正小标宋_GBK"/>
          <w:sz w:val="48"/>
          <w:szCs w:val="48"/>
          <w:lang w:eastAsia="zh-CN"/>
        </w:rPr>
        <w:t>整体</w:t>
      </w:r>
      <w:r>
        <w:rPr>
          <w:rFonts w:eastAsia="方正小标宋_GBK"/>
          <w:sz w:val="48"/>
          <w:szCs w:val="48"/>
        </w:rPr>
        <w:t>支出绩效自评报告</w:t>
      </w: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1EDFD64">
      <w:pPr>
        <w:jc w:val="center"/>
        <w:rPr>
          <w:rFonts w:eastAsia="仿宋_GB2312"/>
          <w:sz w:val="32"/>
          <w:szCs w:val="32"/>
        </w:rPr>
      </w:pPr>
      <w:r>
        <w:rPr>
          <w:rFonts w:eastAsia="仿宋_GB2312"/>
          <w:sz w:val="32"/>
          <w:szCs w:val="32"/>
        </w:rPr>
        <w:t>（此页为封面）</w:t>
      </w:r>
    </w:p>
    <w:p w14:paraId="7505B1A1">
      <w:pPr>
        <w:spacing w:line="600" w:lineRule="exact"/>
        <w:rPr>
          <w:rFonts w:eastAsia="黑体"/>
          <w:sz w:val="32"/>
          <w:szCs w:val="32"/>
        </w:rPr>
      </w:pPr>
      <w:r>
        <w:rPr>
          <w:rFonts w:eastAsia="仿宋_GB2312"/>
          <w:sz w:val="32"/>
          <w:szCs w:val="32"/>
        </w:rPr>
        <w:br w:type="page"/>
      </w:r>
      <w:r>
        <w:rPr>
          <w:rFonts w:hint="eastAsia" w:eastAsia="仿宋_GB2312"/>
          <w:sz w:val="32"/>
          <w:szCs w:val="32"/>
          <w:lang w:val="en-US" w:eastAsia="zh-CN"/>
        </w:rPr>
        <w:t xml:space="preserve">     </w:t>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区应急管理局</w:t>
      </w:r>
      <w:r>
        <w:rPr>
          <w:rFonts w:eastAsia="楷体_GB2312"/>
          <w:b/>
          <w:sz w:val="32"/>
          <w:szCs w:val="32"/>
        </w:rPr>
        <w:t>基本情况</w:t>
      </w:r>
    </w:p>
    <w:p w14:paraId="52B48A9A">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1．主要职能。</w:t>
      </w:r>
    </w:p>
    <w:p w14:paraId="2A4F001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（1）负责应急管理工作，指导全区各地区各部门应对安全生产类、自然灾害类等突发事件和综合防灾减灾救灾工作。负责工矿商贸行业安全生产监督管理工作。</w:t>
      </w:r>
    </w:p>
    <w:p w14:paraId="54DF1C2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（2）贯彻实施相关法律法规、部门规章、规程和标准，组织编制全区应急体系建设、安全生产和综合防灾减灾规划。组织拟订相关规程和标准，并监督实施。</w:t>
      </w:r>
    </w:p>
    <w:p w14:paraId="101A032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指导应急预案体系建设，建立完善事故灾难和自然灾害分级应对制度，组织编制芦淞区总体应急预案和安全生产类、自然灾害类专项预案，综合协调应急预案衔接工作，组织开展预案演练，推动应急避难设施建设。</w:t>
      </w:r>
    </w:p>
    <w:p w14:paraId="238FB41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（4）牵头推进全区统一的应急管理信息系统建设，负责信息传输渠道的规划和布局，建立监测预警和灾情报告制度，健全自然灾害信息资源获取和共享机制，依法统一发布灾情。</w:t>
      </w:r>
    </w:p>
    <w:p w14:paraId="2A948F5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组织指导协调安全生产类、自然灾害类等突发事件应急救援，承担区应对较大及以上灾害指挥工作，综合研判突发事件发展态势并提出应对建议，协助区委、区政府指定的负责同志组织较大及以上灾害应急处置工作。</w:t>
      </w:r>
    </w:p>
    <w:p w14:paraId="0F91140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（6）统一协调指挥各类应急专业队伍，建立应急协调联动机制，推进指挥平台对接，负责做好解放军和武警部队参与应急救援相关衔接工作。</w:t>
      </w:r>
    </w:p>
    <w:p w14:paraId="61EB2DF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（7）统筹全区应急救援力量建设，负责消防、森林火灾扑救、抗洪抢险、地震和地质灾害救援、生产安全事故救援等专业应急救援力量建设，指导镇（街道）及社会应急援救力量建设。</w:t>
      </w:r>
    </w:p>
    <w:p w14:paraId="3477BA0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（8）指导消防监督、火灾预防、火灾扑救等工作。</w:t>
      </w:r>
    </w:p>
    <w:p w14:paraId="2EC53CB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（9）承担区防汛抗旱指挥部、区森林防火指挥部、区抗震救灾指挥部办公室的日常工作，指导协调全区森林火灾、水旱灾害、地震和地质灾害等防治工作，指导、组织开展自然灾害综合风险评估工作。</w:t>
      </w:r>
    </w:p>
    <w:p w14:paraId="231BD04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（10）组织协调灾害救助工作，组织指导灾情核查、损失评估、救灾捐赠工作，按权限管理、分配中央、省级、市级下达和区级救灾款物并监督使用。</w:t>
      </w:r>
    </w:p>
    <w:p w14:paraId="6DE8614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（11）承担区安全生产委员会办公室日常工作，依法行使安全生产综合监督管理职权，指导、协调、监督区政府有关部门和各镇（街道）安全生产工作，组织开展安全生产巡查、考核工作。</w:t>
      </w:r>
    </w:p>
    <w:p w14:paraId="5A94088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按照分级、属地原则，依法监督检查工矿商贸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14:paraId="5AF426F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（13）依法组织指导生产安全事故调查处理，监督事故查处和责任追究落实情况。组织、指导开展自然灾害类突发事件的调查评估工作。</w:t>
      </w:r>
    </w:p>
    <w:p w14:paraId="04999F6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（14）开展应急管理对外交流与合作，组织参与安全生产类、自然灾害类等突发事件的对外救援工作。</w:t>
      </w:r>
    </w:p>
    <w:p w14:paraId="6E05FDC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（15）制定全区应急物资储备和应急救援装备规划并组织实施，会同区商务和粮食局等部门建立健全应急物资信息平台和调拨制度，在救灾时统一调度。</w:t>
      </w:r>
    </w:p>
    <w:p w14:paraId="315FED0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（16）负责应急管理、安全生产宣传教育和培训工作，组织指导应急管理、安全生产的科学技术研究、推广应用和信息化建设工作。</w:t>
      </w:r>
    </w:p>
    <w:p w14:paraId="02F542B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（17）协调区防汛抗旱指挥部成员单位的相关工作，组织执行国家防汛抗旱总指挥部、相关流域防汛抗旱指挥机构和省、市、区防汛抗旱指挥部的指示、命令。</w:t>
      </w:r>
    </w:p>
    <w:p w14:paraId="048A7546">
      <w:pPr>
        <w:pStyle w:val="5"/>
        <w:rPr>
          <w:rFonts w:hint="eastAsia"/>
        </w:rPr>
      </w:pPr>
      <w:r>
        <w:rPr>
          <w:rFonts w:hint="eastAsia" w:ascii="仿宋_GB2312" w:hAnsi="仿宋" w:eastAsia="仿宋_GB2312"/>
          <w:sz w:val="32"/>
          <w:szCs w:val="32"/>
        </w:rPr>
        <w:t>（18）完成区委、区政府交办的其他任务。</w:t>
      </w:r>
    </w:p>
    <w:p w14:paraId="19E1A667">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2．机构情况。</w:t>
      </w:r>
    </w:p>
    <w:p w14:paraId="67C589EA">
      <w:pPr>
        <w:pStyle w:val="5"/>
        <w:rPr>
          <w:rFonts w:hint="eastAsia"/>
        </w:rPr>
      </w:pPr>
      <w:r>
        <w:rPr>
          <w:rFonts w:hint="eastAsia" w:ascii="仿宋_GB2312" w:hAnsi="仿宋" w:eastAsia="仿宋_GB2312"/>
          <w:sz w:val="32"/>
          <w:szCs w:val="32"/>
        </w:rPr>
        <w:t>株洲市芦淞区应急管理局（以下简称区应急管理局）是区政府工作部门，为正科级</w:t>
      </w:r>
      <w:r>
        <w:rPr>
          <w:rFonts w:hint="eastAsia" w:ascii="仿宋_GB2312" w:hAnsi="仿宋" w:eastAsia="仿宋_GB2312"/>
          <w:sz w:val="32"/>
          <w:szCs w:val="32"/>
          <w:lang w:eastAsia="zh-CN"/>
        </w:rPr>
        <w:t>，</w:t>
      </w:r>
      <w:r>
        <w:rPr>
          <w:rFonts w:hint="eastAsia" w:ascii="仿宋_GB2312" w:hAnsi="仿宋" w:eastAsia="仿宋_GB2312"/>
          <w:sz w:val="32"/>
          <w:szCs w:val="32"/>
        </w:rPr>
        <w:t>加挂区</w:t>
      </w:r>
      <w:r>
        <w:rPr>
          <w:rFonts w:hint="eastAsia" w:ascii="仿宋_GB2312" w:hAnsi="仿宋" w:eastAsia="仿宋_GB2312"/>
          <w:sz w:val="32"/>
          <w:szCs w:val="32"/>
          <w:lang w:val="en-US" w:eastAsia="zh-CN"/>
        </w:rPr>
        <w:t>应急管理局综合行政执法局牌子，下设二级机构区应急管理局综合行政执法大队</w:t>
      </w:r>
      <w:r>
        <w:rPr>
          <w:rFonts w:hint="eastAsia" w:ascii="仿宋_GB2312" w:hAnsi="仿宋" w:eastAsia="仿宋_GB2312"/>
          <w:sz w:val="32"/>
          <w:szCs w:val="32"/>
        </w:rPr>
        <w:t>。区应急管理局设下列内设机构：办公室，应急</w:t>
      </w:r>
      <w:r>
        <w:rPr>
          <w:rFonts w:hint="eastAsia" w:ascii="仿宋_GB2312" w:hAnsi="仿宋" w:eastAsia="仿宋_GB2312"/>
          <w:sz w:val="32"/>
          <w:szCs w:val="32"/>
          <w:lang w:val="en-US" w:eastAsia="zh-CN"/>
        </w:rPr>
        <w:t>救援股</w:t>
      </w:r>
      <w:r>
        <w:rPr>
          <w:rFonts w:hint="eastAsia" w:ascii="仿宋_GB2312" w:hAnsi="仿宋" w:eastAsia="仿宋_GB2312"/>
          <w:sz w:val="32"/>
          <w:szCs w:val="32"/>
        </w:rPr>
        <w:t>，安全生产监督管理股，安全生产执法股，应急管理综合协调股。</w:t>
      </w:r>
    </w:p>
    <w:p w14:paraId="146C9A70">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3．人员情况。</w:t>
      </w:r>
    </w:p>
    <w:p w14:paraId="0329C7BF">
      <w:pPr>
        <w:pStyle w:val="5"/>
        <w:rPr>
          <w:rFonts w:hint="eastAsia"/>
        </w:rPr>
      </w:pPr>
      <w:r>
        <w:rPr>
          <w:rFonts w:hint="eastAsia" w:ascii="仿宋_GB2312" w:hAnsi="仿宋" w:eastAsia="仿宋_GB2312"/>
          <w:sz w:val="32"/>
          <w:szCs w:val="32"/>
        </w:rPr>
        <w:t>本部门独立编制机构1个，年末实有人数1</w:t>
      </w:r>
      <w:r>
        <w:rPr>
          <w:rFonts w:hint="eastAsia" w:ascii="仿宋_GB2312" w:hAnsi="仿宋" w:eastAsia="仿宋_GB2312"/>
          <w:sz w:val="32"/>
          <w:szCs w:val="32"/>
          <w:lang w:val="en-US" w:eastAsia="zh-CN"/>
        </w:rPr>
        <w:t>5</w:t>
      </w:r>
      <w:r>
        <w:rPr>
          <w:rFonts w:hint="eastAsia" w:ascii="仿宋_GB2312" w:hAnsi="仿宋" w:eastAsia="仿宋_GB2312"/>
          <w:sz w:val="32"/>
          <w:szCs w:val="32"/>
        </w:rPr>
        <w:t>人，其中在职1</w:t>
      </w:r>
      <w:r>
        <w:rPr>
          <w:rFonts w:hint="eastAsia" w:ascii="仿宋_GB2312" w:hAnsi="仿宋" w:eastAsia="仿宋_GB2312"/>
          <w:sz w:val="32"/>
          <w:szCs w:val="32"/>
          <w:lang w:val="en-US" w:eastAsia="zh-CN"/>
        </w:rPr>
        <w:t>2</w:t>
      </w:r>
      <w:r>
        <w:rPr>
          <w:rFonts w:hint="eastAsia" w:ascii="仿宋_GB2312" w:hAnsi="仿宋" w:eastAsia="仿宋_GB2312"/>
          <w:sz w:val="32"/>
          <w:szCs w:val="32"/>
        </w:rPr>
        <w:t>人、无固期人员1人，政府雇员1人，退休人员1人。</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lang w:val="en-US" w:eastAsia="zh-CN"/>
        </w:rPr>
        <w:t>区信访局</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3C969506">
      <w:pPr>
        <w:spacing w:line="600" w:lineRule="exact"/>
        <w:ind w:firstLine="643" w:firstLineChars="200"/>
        <w:rPr>
          <w:rFonts w:eastAsia="楷体_GB2312"/>
          <w:b/>
          <w:color w:val="FF0000"/>
          <w:sz w:val="32"/>
          <w:szCs w:val="32"/>
        </w:rPr>
      </w:pPr>
      <w:r>
        <w:rPr>
          <w:rFonts w:hint="eastAsia" w:eastAsia="楷体_GB2312"/>
          <w:b/>
          <w:sz w:val="32"/>
          <w:szCs w:val="32"/>
        </w:rPr>
        <w:t>1、</w:t>
      </w:r>
      <w:r>
        <w:rPr>
          <w:rFonts w:eastAsia="楷体_GB2312"/>
          <w:b/>
          <w:sz w:val="32"/>
          <w:szCs w:val="32"/>
        </w:rPr>
        <w:t>年度整体支出绩效目标</w:t>
      </w:r>
    </w:p>
    <w:p w14:paraId="1592C774">
      <w:pPr>
        <w:spacing w:line="600" w:lineRule="exact"/>
        <w:ind w:firstLine="640" w:firstLineChars="200"/>
        <w:rPr>
          <w:rFonts w:eastAsia="楷体_GB2312"/>
          <w:b/>
          <w:color w:val="FF0000"/>
          <w:sz w:val="32"/>
          <w:szCs w:val="32"/>
        </w:rPr>
      </w:pPr>
      <w:r>
        <w:rPr>
          <w:rFonts w:hint="eastAsia" w:ascii="Calibri" w:hAnsi="Calibri" w:eastAsia="仿宋" w:cs="Times New Roman"/>
          <w:color w:val="auto"/>
          <w:kern w:val="2"/>
          <w:sz w:val="32"/>
          <w:szCs w:val="32"/>
          <w:lang w:val="en-US" w:eastAsia="zh-CN" w:bidi="ar-SA"/>
        </w:rPr>
        <w:t>统筹推进全局各项工作，保障人员日常办公需求，为全局工作更好更快进行提供坚实的保障，保障应急局在职人员、退休人员、无固定期限人员、政府雇员的正常办公、生活秩序。协调推进上下两级工作，完成上级交办的日常工作，指导各镇、办工作。</w:t>
      </w:r>
    </w:p>
    <w:p w14:paraId="3C0BF26B">
      <w:pPr>
        <w:spacing w:line="600" w:lineRule="exact"/>
        <w:ind w:firstLine="643" w:firstLineChars="200"/>
        <w:rPr>
          <w:rFonts w:eastAsia="楷体_GB2312"/>
          <w:b/>
          <w:sz w:val="32"/>
          <w:szCs w:val="32"/>
        </w:rPr>
      </w:pPr>
      <w:r>
        <w:rPr>
          <w:rFonts w:hint="eastAsia" w:eastAsia="楷体_GB2312"/>
          <w:b/>
          <w:sz w:val="32"/>
          <w:szCs w:val="32"/>
        </w:rPr>
        <w:t>2、</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2DD41EB0">
      <w:pPr>
        <w:pStyle w:val="5"/>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防灾减灾救灾专项（防汛抗旱、应急救援）：以应急队伍建设为重点、以实战演练为抓手、以提升保障能力为支撑，早部署、早预测、早准备、实现防灾减灾体系更完善、队伍更健全、保障更有力，实现2024年全区不发生自然灾害亡人事件，减少因灾害造成的人员伤亡和财产损失，针对地震、火灾、暴雨、台风、高温、大雪、山体滑坡等自然灾害的进行预防和紧急救援。</w:t>
      </w:r>
    </w:p>
    <w:p w14:paraId="625C977E">
      <w:pPr>
        <w:ind w:firstLine="640"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农房巨灾保险：根据实际摸排的10000户农村住房，按照16.5元每户的标准购买保险，其中省及财政承担50%，市级财政承担25%，区级财政承担25%。</w:t>
      </w:r>
    </w:p>
    <w:p w14:paraId="24E869A4">
      <w:pPr>
        <w:pStyle w:val="5"/>
        <w:rPr>
          <w:rFonts w:hint="default" w:ascii="Calibri" w:hAnsi="Calibri" w:eastAsia="仿宋" w:cs="Times New Roman"/>
          <w:color w:val="auto"/>
          <w:kern w:val="2"/>
          <w:sz w:val="32"/>
          <w:szCs w:val="32"/>
          <w:lang w:val="en-US" w:eastAsia="zh-CN" w:bidi="ar-SA"/>
        </w:rPr>
      </w:pPr>
      <w:r>
        <w:rPr>
          <w:rFonts w:hint="default" w:ascii="Calibri" w:hAnsi="Calibri" w:eastAsia="仿宋" w:cs="Times New Roman"/>
          <w:color w:val="auto"/>
          <w:kern w:val="2"/>
          <w:sz w:val="32"/>
          <w:szCs w:val="32"/>
          <w:lang w:val="en-US" w:eastAsia="zh-CN" w:bidi="ar-SA"/>
        </w:rPr>
        <w:t>安全监管和森林防灭火专项</w:t>
      </w:r>
      <w:r>
        <w:rPr>
          <w:rFonts w:hint="eastAsia" w:ascii="Calibri" w:hAnsi="Calibri" w:eastAsia="仿宋" w:cs="Times New Roman"/>
          <w:color w:val="auto"/>
          <w:kern w:val="2"/>
          <w:sz w:val="32"/>
          <w:szCs w:val="32"/>
          <w:lang w:val="en-US" w:eastAsia="zh-CN" w:bidi="ar-SA"/>
        </w:rPr>
        <w:t>：</w:t>
      </w:r>
      <w:r>
        <w:rPr>
          <w:rFonts w:hint="eastAsia" w:eastAsia="仿宋_GB2312"/>
          <w:sz w:val="32"/>
          <w:szCs w:val="32"/>
        </w:rPr>
        <w:t>一是推进安全生产考核体系进一步完善，建立规范性、综合性、长效性安全生产考核机制，调动各单位、企业安全生产工作积极性，促进安全生产各项工作贯彻落实到位，确保不发生较大以上安全生产事故，全区安全生产形势平稳可控。二是及时调查公布安全生产事故发生原因，维护社会稳定。三是通过开展多种形式的安全生产宣传教育演练活动，逐步提升全民安全生产意识。四是非煤矿山、烟花爆竹、危险化学品、工贸等行业领域安全生产秩序进一步规范，安全生产形势平稳可控。五是推动企业本质水平提升，非煤矿山、烟花爆竹、危险化学品、工贸等行业领域安全生产形势平稳可控。</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1、2024年预算资金247.29万元。</w:t>
      </w:r>
    </w:p>
    <w:p w14:paraId="36097CFC">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2、2024年度单位一般公共预算财政拨款收入642.48万元。</w:t>
      </w:r>
    </w:p>
    <w:p w14:paraId="65368BC4">
      <w:pPr>
        <w:spacing w:line="580" w:lineRule="exact"/>
        <w:ind w:firstLine="640" w:firstLineChars="200"/>
        <w:rPr>
          <w:rFonts w:hint="eastAsia" w:eastAsia="仿宋"/>
          <w:color w:val="0000FF"/>
          <w:sz w:val="32"/>
          <w:szCs w:val="32"/>
          <w:lang w:val="en-US" w:eastAsia="zh-CN"/>
        </w:rPr>
      </w:pPr>
      <w:r>
        <w:rPr>
          <w:rFonts w:hint="eastAsia" w:ascii="Times New Roman" w:hAnsi="Times New Roman" w:eastAsia="仿宋" w:cs="Times New Roman"/>
          <w:color w:val="auto"/>
          <w:kern w:val="2"/>
          <w:sz w:val="32"/>
          <w:szCs w:val="32"/>
          <w:lang w:val="en-US" w:eastAsia="zh-CN" w:bidi="ar-SA"/>
        </w:rPr>
        <w:t>3</w:t>
      </w:r>
      <w:r>
        <w:rPr>
          <w:rFonts w:hint="eastAsia"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202</w:t>
      </w:r>
      <w:r>
        <w:rPr>
          <w:rFonts w:hint="eastAsia" w:eastAsia="仿宋" w:cs="Times New Roman"/>
          <w:color w:val="auto"/>
          <w:kern w:val="2"/>
          <w:sz w:val="32"/>
          <w:szCs w:val="32"/>
          <w:lang w:val="en-US" w:eastAsia="zh-CN" w:bidi="ar-SA"/>
        </w:rPr>
        <w:t>4</w:t>
      </w:r>
      <w:r>
        <w:rPr>
          <w:rFonts w:hint="eastAsia" w:ascii="Times New Roman" w:hAnsi="Times New Roman" w:eastAsia="仿宋" w:cs="Times New Roman"/>
          <w:color w:val="auto"/>
          <w:kern w:val="2"/>
          <w:sz w:val="32"/>
          <w:szCs w:val="32"/>
          <w:lang w:val="en-US" w:eastAsia="zh-CN" w:bidi="ar-SA"/>
        </w:rPr>
        <w:t>年度单位一般公共预算财政拨款支出642.48</w:t>
      </w:r>
      <w:r>
        <w:rPr>
          <w:rFonts w:hint="eastAsia" w:eastAsia="仿宋" w:cs="Times New Roman"/>
          <w:color w:val="auto"/>
          <w:kern w:val="2"/>
          <w:sz w:val="32"/>
          <w:szCs w:val="32"/>
          <w:lang w:val="en-US" w:eastAsia="zh-CN" w:bidi="ar-SA"/>
        </w:rPr>
        <w:t>万元，</w:t>
      </w:r>
      <w:r>
        <w:rPr>
          <w:rFonts w:hint="eastAsia" w:ascii="Times New Roman" w:hAnsi="Times New Roman" w:eastAsia="仿宋" w:cs="Times New Roman"/>
          <w:color w:val="auto"/>
          <w:kern w:val="2"/>
          <w:sz w:val="32"/>
          <w:szCs w:val="32"/>
          <w:lang w:val="en-US" w:eastAsia="zh-CN" w:bidi="ar-SA"/>
        </w:rPr>
        <w:t>其中：项目支出403.05万元，基本支出239.43万元，其中：人员经费205.93万元，公用经费33.5万元。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度项目支出合计403.05万元，其中：1.国债项目257.07万元；2.安全生产18.93万元；3.疫情防控专项35.17万元；4.应急管理专项（非税）9.33万元；5.区级应急救援0.79万元；6.上级应急救援65.26万元；7.农房巨灾保险16.5万元。</w:t>
      </w:r>
    </w:p>
    <w:p w14:paraId="7FAE22B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6565B60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Style w:val="7"/>
          <w:rFonts w:hint="eastAsia" w:ascii="Times New Roman" w:hAnsi="Times New Roman" w:eastAsia="仿宋_GB2312" w:cs="Times New Roman"/>
          <w:sz w:val="32"/>
          <w:szCs w:val="32"/>
        </w:rPr>
        <w:t>无</w:t>
      </w:r>
      <w:r>
        <w:rPr>
          <w:rStyle w:val="7"/>
          <w:rFonts w:hint="eastAsia" w:ascii="Times New Roman" w:hAnsi="Times New Roman" w:eastAsia="仿宋_GB2312" w:cs="Times New Roman"/>
          <w:bCs/>
          <w:sz w:val="32"/>
          <w:szCs w:val="32"/>
        </w:rPr>
        <w:t>。</w:t>
      </w:r>
    </w:p>
    <w:p w14:paraId="222B2C09">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247C434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sz w:val="32"/>
          <w:szCs w:val="32"/>
          <w:lang w:eastAsia="zh-CN"/>
        </w:rPr>
      </w:pPr>
      <w:r>
        <w:rPr>
          <w:rStyle w:val="7"/>
          <w:rFonts w:hint="eastAsia" w:ascii="Times New Roman" w:hAnsi="Times New Roman" w:eastAsia="仿宋_GB2312" w:cs="Times New Roman"/>
          <w:sz w:val="32"/>
          <w:szCs w:val="32"/>
        </w:rPr>
        <w:t>无</w:t>
      </w:r>
      <w:r>
        <w:rPr>
          <w:rStyle w:val="7"/>
          <w:rFonts w:hint="eastAsia" w:ascii="Times New Roman" w:hAnsi="Times New Roman" w:eastAsia="仿宋_GB2312" w:cs="Times New Roman"/>
          <w:bCs/>
          <w:sz w:val="32"/>
          <w:szCs w:val="32"/>
        </w:rPr>
        <w:t>。</w:t>
      </w:r>
    </w:p>
    <w:p w14:paraId="6991341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71A590E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sz w:val="32"/>
          <w:szCs w:val="32"/>
        </w:rPr>
      </w:pPr>
      <w:r>
        <w:rPr>
          <w:rStyle w:val="7"/>
          <w:rFonts w:hint="eastAsia" w:ascii="Times New Roman" w:hAnsi="Times New Roman" w:eastAsia="仿宋_GB2312" w:cs="Times New Roman"/>
          <w:sz w:val="32"/>
          <w:szCs w:val="32"/>
        </w:rPr>
        <w:t>无</w:t>
      </w:r>
      <w:r>
        <w:rPr>
          <w:rStyle w:val="7"/>
          <w:rFonts w:hint="eastAsia" w:ascii="Times New Roman" w:hAnsi="Times New Roman" w:eastAsia="仿宋_GB2312" w:cs="Times New Roman"/>
          <w:bCs/>
          <w:sz w:val="32"/>
          <w:szCs w:val="32"/>
        </w:rPr>
        <w:t>。</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2024年，芦淞区应急管理局坚持以习近平新时代中国特色社会主义思想为指导，认真贯彻总书记关于防汛救灾工作重要指示和上级关于应急管理工作的各项部署，深入推进安全生产治本攻坚三年行动，着力抓好安全生产监管、自然灾害防控、应急能力提升等工作，持续压实工作责任，强化预警研判，全力防范风险，实现全区非煤矿山、烟花爆竹、危险化学品、工贸行业领域安全生产事故“零发生”，自然灾害“零伤亡”。建筑施工领域发生3起事故亡3人，保持事故总量和亡人数低位运行，安全生产和应急管理形势总体平稳可控。</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3103E16C">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本部门202</w:t>
      </w:r>
      <w:r>
        <w:rPr>
          <w:rFonts w:hint="eastAsia" w:eastAsia="仿宋_GB2312"/>
          <w:color w:val="000000"/>
          <w:sz w:val="32"/>
          <w:szCs w:val="32"/>
          <w:lang w:val="en-US" w:eastAsia="zh-CN"/>
        </w:rPr>
        <w:t>4</w:t>
      </w:r>
      <w:r>
        <w:rPr>
          <w:rFonts w:hint="eastAsia" w:eastAsia="仿宋_GB2312"/>
          <w:color w:val="000000"/>
          <w:sz w:val="32"/>
          <w:szCs w:val="32"/>
          <w:lang w:eastAsia="zh-CN"/>
        </w:rPr>
        <w:t>年专项资金共</w:t>
      </w:r>
      <w:r>
        <w:rPr>
          <w:rFonts w:hint="eastAsia" w:eastAsia="仿宋_GB2312"/>
          <w:color w:val="000000"/>
          <w:sz w:val="32"/>
          <w:szCs w:val="32"/>
          <w:highlight w:val="none"/>
          <w:lang w:val="en-US" w:eastAsia="zh-CN"/>
        </w:rPr>
        <w:t>6</w:t>
      </w:r>
      <w:r>
        <w:rPr>
          <w:rFonts w:hint="eastAsia" w:eastAsia="仿宋_GB2312"/>
          <w:color w:val="000000"/>
          <w:sz w:val="32"/>
          <w:szCs w:val="32"/>
          <w:lang w:eastAsia="zh-CN"/>
        </w:rPr>
        <w:t>个，具体如下：</w:t>
      </w:r>
    </w:p>
    <w:p w14:paraId="01E84BA0">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highlight w:val="none"/>
          <w:lang w:eastAsia="zh-CN"/>
        </w:rPr>
        <w:t>一是</w:t>
      </w:r>
      <w:r>
        <w:rPr>
          <w:rFonts w:hint="eastAsia" w:eastAsia="仿宋_GB2312"/>
          <w:color w:val="000000"/>
          <w:sz w:val="32"/>
          <w:szCs w:val="32"/>
          <w:lang w:eastAsia="zh-CN"/>
        </w:rPr>
        <w:t>安全监管和森林防灭火专项（包含安全生产专项），预算支出</w:t>
      </w:r>
      <w:r>
        <w:rPr>
          <w:rFonts w:hint="eastAsia" w:eastAsia="仿宋_GB2312"/>
          <w:color w:val="000000"/>
          <w:sz w:val="32"/>
          <w:szCs w:val="32"/>
          <w:lang w:val="en-US" w:eastAsia="zh-CN"/>
        </w:rPr>
        <w:t>28</w:t>
      </w:r>
      <w:r>
        <w:rPr>
          <w:rFonts w:hint="eastAsia" w:eastAsia="仿宋_GB2312"/>
          <w:color w:val="000000"/>
          <w:sz w:val="32"/>
          <w:szCs w:val="32"/>
          <w:lang w:eastAsia="zh-CN"/>
        </w:rPr>
        <w:t>万元，年中执行调增23.1万元，实际支出</w:t>
      </w:r>
      <w:r>
        <w:rPr>
          <w:rFonts w:hint="eastAsia" w:ascii="仿宋_GB2312" w:hAnsi="仿宋" w:eastAsia="仿宋_GB2312"/>
          <w:sz w:val="32"/>
          <w:szCs w:val="32"/>
        </w:rPr>
        <w:t>18.93</w:t>
      </w:r>
      <w:r>
        <w:rPr>
          <w:rFonts w:hint="eastAsia" w:eastAsia="仿宋_GB2312"/>
          <w:color w:val="000000"/>
          <w:sz w:val="32"/>
          <w:szCs w:val="32"/>
          <w:lang w:eastAsia="zh-CN"/>
        </w:rPr>
        <w:t>万元，结余结转0万元。该专</w:t>
      </w:r>
      <w:r>
        <w:rPr>
          <w:rFonts w:hint="eastAsia" w:eastAsia="仿宋_GB2312"/>
          <w:color w:val="000000"/>
          <w:sz w:val="32"/>
          <w:szCs w:val="32"/>
          <w:highlight w:val="yellow"/>
          <w:lang w:eastAsia="zh-CN"/>
        </w:rPr>
        <w:t>项资金支</w:t>
      </w:r>
      <w:r>
        <w:rPr>
          <w:rFonts w:hint="eastAsia" w:eastAsia="仿宋_GB2312"/>
          <w:color w:val="000000"/>
          <w:sz w:val="32"/>
          <w:szCs w:val="32"/>
          <w:lang w:eastAsia="zh-CN"/>
        </w:rPr>
        <w:t>出</w:t>
      </w:r>
      <w:r>
        <w:rPr>
          <w:rFonts w:hint="eastAsia" w:eastAsia="仿宋_GB2312"/>
          <w:color w:val="000000"/>
          <w:sz w:val="32"/>
          <w:szCs w:val="32"/>
          <w:lang w:val="en-US" w:eastAsia="zh-CN"/>
        </w:rPr>
        <w:t>主要用于</w:t>
      </w:r>
    </w:p>
    <w:p w14:paraId="242FA89E">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二是疫情防控专项，预算支出0万元，年中执行调增35.17万元，实际支出35.17万元，结余结转0万元。该专项资金支出</w:t>
      </w:r>
      <w:r>
        <w:rPr>
          <w:rFonts w:hint="eastAsia" w:eastAsia="仿宋_GB2312"/>
          <w:color w:val="000000"/>
          <w:sz w:val="32"/>
          <w:szCs w:val="32"/>
          <w:highlight w:val="yellow"/>
          <w:lang w:eastAsia="zh-CN"/>
        </w:rPr>
        <w:t>主要用</w:t>
      </w:r>
      <w:r>
        <w:rPr>
          <w:rFonts w:hint="eastAsia" w:eastAsia="仿宋_GB2312"/>
          <w:color w:val="000000"/>
          <w:sz w:val="32"/>
          <w:szCs w:val="32"/>
          <w:lang w:eastAsia="zh-CN"/>
        </w:rPr>
        <w:t>于</w:t>
      </w:r>
    </w:p>
    <w:p w14:paraId="240DEBC4">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三是应急管理专项（非税）专项，预算支出0万元，年中执行调增9.33万元，实际支出9.33万元，结余结转0万元。该专项资金</w:t>
      </w:r>
      <w:r>
        <w:rPr>
          <w:rFonts w:hint="eastAsia" w:eastAsia="仿宋_GB2312"/>
          <w:color w:val="000000"/>
          <w:sz w:val="32"/>
          <w:szCs w:val="32"/>
          <w:highlight w:val="yellow"/>
          <w:lang w:eastAsia="zh-CN"/>
        </w:rPr>
        <w:t>支出主要用于</w:t>
      </w:r>
    </w:p>
    <w:p w14:paraId="62BAFB1A">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四是农村住房巨灾保险，预算支出4.13万元，年中执行调</w:t>
      </w:r>
      <w:r>
        <w:rPr>
          <w:rFonts w:hint="eastAsia" w:eastAsia="仿宋_GB2312"/>
          <w:color w:val="000000"/>
          <w:sz w:val="32"/>
          <w:szCs w:val="32"/>
          <w:lang w:val="en-US" w:eastAsia="zh-CN"/>
        </w:rPr>
        <w:t>增12.37</w:t>
      </w:r>
      <w:r>
        <w:rPr>
          <w:rFonts w:hint="eastAsia" w:eastAsia="仿宋_GB2312"/>
          <w:color w:val="000000"/>
          <w:sz w:val="32"/>
          <w:szCs w:val="32"/>
          <w:lang w:eastAsia="zh-CN"/>
        </w:rPr>
        <w:t>万元，实际支出</w:t>
      </w:r>
      <w:r>
        <w:rPr>
          <w:rFonts w:hint="eastAsia" w:ascii="仿宋_GB2312" w:hAnsi="仿宋" w:eastAsia="仿宋_GB2312"/>
          <w:sz w:val="32"/>
          <w:szCs w:val="32"/>
          <w:lang w:val="en-US" w:eastAsia="zh-CN"/>
        </w:rPr>
        <w:t>16.5</w:t>
      </w:r>
      <w:r>
        <w:rPr>
          <w:rFonts w:hint="eastAsia" w:eastAsia="仿宋_GB2312"/>
          <w:color w:val="000000"/>
          <w:sz w:val="32"/>
          <w:szCs w:val="32"/>
          <w:lang w:eastAsia="zh-CN"/>
        </w:rPr>
        <w:t>万元，结余结转0万元。该专项资金支</w:t>
      </w:r>
      <w:r>
        <w:rPr>
          <w:rFonts w:hint="eastAsia" w:eastAsia="仿宋_GB2312"/>
          <w:color w:val="000000"/>
          <w:sz w:val="32"/>
          <w:szCs w:val="32"/>
          <w:highlight w:val="yellow"/>
          <w:lang w:eastAsia="zh-CN"/>
        </w:rPr>
        <w:t>出</w:t>
      </w:r>
      <w:r>
        <w:rPr>
          <w:rFonts w:hint="eastAsia" w:eastAsia="仿宋_GB2312"/>
          <w:color w:val="000000"/>
          <w:sz w:val="32"/>
          <w:szCs w:val="32"/>
          <w:highlight w:val="yellow"/>
          <w:lang w:val="en-US" w:eastAsia="zh-CN"/>
        </w:rPr>
        <w:t>主要用于</w:t>
      </w:r>
    </w:p>
    <w:p w14:paraId="34A0D9CB">
      <w:pPr>
        <w:numPr>
          <w:ilvl w:val="0"/>
          <w:numId w:val="0"/>
        </w:numPr>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eastAsia="zh-CN"/>
        </w:rPr>
        <w:t>五是防灾减灾救灾专项（防汛抗旱、应急救援），预算支出3万元，年中执行调</w:t>
      </w:r>
      <w:r>
        <w:rPr>
          <w:rFonts w:hint="eastAsia" w:eastAsia="仿宋_GB2312"/>
          <w:color w:val="000000"/>
          <w:sz w:val="32"/>
          <w:szCs w:val="32"/>
          <w:lang w:val="en-US" w:eastAsia="zh-CN"/>
        </w:rPr>
        <w:t>增63.05</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66.05</w:t>
      </w:r>
      <w:r>
        <w:rPr>
          <w:rFonts w:hint="eastAsia" w:eastAsia="仿宋_GB2312"/>
          <w:color w:val="000000"/>
          <w:sz w:val="32"/>
          <w:szCs w:val="32"/>
          <w:lang w:eastAsia="zh-CN"/>
        </w:rPr>
        <w:t>万元，结余结转0万元。该专项资金支</w:t>
      </w:r>
      <w:r>
        <w:rPr>
          <w:rFonts w:hint="eastAsia" w:eastAsia="仿宋_GB2312"/>
          <w:color w:val="000000"/>
          <w:sz w:val="32"/>
          <w:szCs w:val="32"/>
          <w:highlight w:val="yellow"/>
          <w:lang w:eastAsia="zh-CN"/>
        </w:rPr>
        <w:t>出</w:t>
      </w:r>
      <w:r>
        <w:rPr>
          <w:rFonts w:hint="eastAsia" w:eastAsia="仿宋_GB2312"/>
          <w:color w:val="000000"/>
          <w:sz w:val="32"/>
          <w:szCs w:val="32"/>
          <w:highlight w:val="yellow"/>
          <w:lang w:val="en-US" w:eastAsia="zh-CN"/>
        </w:rPr>
        <w:t>主要用</w:t>
      </w:r>
      <w:r>
        <w:rPr>
          <w:rFonts w:hint="eastAsia" w:eastAsia="仿宋_GB2312"/>
          <w:color w:val="000000"/>
          <w:sz w:val="32"/>
          <w:szCs w:val="32"/>
          <w:lang w:val="en-US" w:eastAsia="zh-CN"/>
        </w:rPr>
        <w:t>于</w:t>
      </w:r>
    </w:p>
    <w:p w14:paraId="5741ADE5">
      <w:pPr>
        <w:numPr>
          <w:ilvl w:val="0"/>
          <w:numId w:val="0"/>
        </w:num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六是</w:t>
      </w:r>
      <w:r>
        <w:rPr>
          <w:rFonts w:hint="eastAsia" w:ascii="仿宋_GB2312" w:hAnsi="仿宋" w:eastAsia="仿宋_GB2312"/>
          <w:sz w:val="32"/>
          <w:szCs w:val="32"/>
          <w:highlight w:val="none"/>
          <w:lang w:val="en-US" w:eastAsia="zh-CN"/>
        </w:rPr>
        <w:t>国债项目，</w:t>
      </w:r>
      <w:r>
        <w:rPr>
          <w:rFonts w:hint="eastAsia" w:eastAsia="仿宋_GB2312"/>
          <w:color w:val="000000"/>
          <w:sz w:val="32"/>
          <w:szCs w:val="32"/>
          <w:lang w:eastAsia="zh-CN"/>
        </w:rPr>
        <w:t>预算支出</w:t>
      </w:r>
      <w:r>
        <w:rPr>
          <w:rFonts w:hint="eastAsia" w:eastAsia="仿宋_GB2312"/>
          <w:color w:val="000000"/>
          <w:sz w:val="32"/>
          <w:szCs w:val="32"/>
          <w:lang w:val="en-US" w:eastAsia="zh-CN"/>
        </w:rPr>
        <w:t>0</w:t>
      </w:r>
      <w:r>
        <w:rPr>
          <w:rFonts w:hint="eastAsia" w:eastAsia="仿宋_GB2312"/>
          <w:color w:val="000000"/>
          <w:sz w:val="32"/>
          <w:szCs w:val="32"/>
          <w:lang w:eastAsia="zh-CN"/>
        </w:rPr>
        <w:t>万元，年中执行调</w:t>
      </w:r>
      <w:r>
        <w:rPr>
          <w:rFonts w:hint="eastAsia" w:eastAsia="仿宋_GB2312"/>
          <w:color w:val="000000"/>
          <w:sz w:val="32"/>
          <w:szCs w:val="32"/>
          <w:lang w:val="en-US" w:eastAsia="zh-CN"/>
        </w:rPr>
        <w:t>增257.07</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257.07</w:t>
      </w:r>
      <w:r>
        <w:rPr>
          <w:rFonts w:hint="eastAsia" w:eastAsia="仿宋_GB2312"/>
          <w:color w:val="000000"/>
          <w:sz w:val="32"/>
          <w:szCs w:val="32"/>
          <w:lang w:eastAsia="zh-CN"/>
        </w:rPr>
        <w:t>万元，结余结转0万元。该专项资金支</w:t>
      </w:r>
      <w:r>
        <w:rPr>
          <w:rFonts w:hint="eastAsia" w:eastAsia="仿宋_GB2312"/>
          <w:color w:val="000000"/>
          <w:sz w:val="32"/>
          <w:szCs w:val="32"/>
          <w:highlight w:val="yellow"/>
          <w:lang w:eastAsia="zh-CN"/>
        </w:rPr>
        <w:t>出</w:t>
      </w:r>
      <w:r>
        <w:rPr>
          <w:rFonts w:hint="eastAsia" w:eastAsia="仿宋_GB2312"/>
          <w:color w:val="000000"/>
          <w:sz w:val="32"/>
          <w:szCs w:val="32"/>
          <w:highlight w:val="yellow"/>
          <w:lang w:val="en-US" w:eastAsia="zh-CN"/>
        </w:rPr>
        <w:t>主要用</w:t>
      </w:r>
      <w:r>
        <w:rPr>
          <w:rFonts w:hint="eastAsia" w:eastAsia="仿宋_GB2312"/>
          <w:color w:val="000000"/>
          <w:sz w:val="32"/>
          <w:szCs w:val="32"/>
          <w:lang w:val="en-US" w:eastAsia="zh-CN"/>
        </w:rPr>
        <w:t>于</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70C46B0A">
      <w:pPr>
        <w:spacing w:line="600" w:lineRule="exact"/>
        <w:ind w:firstLine="640" w:firstLineChars="200"/>
        <w:rPr>
          <w:rFonts w:eastAsia="仿宋_GB2312"/>
          <w:sz w:val="32"/>
          <w:szCs w:val="32"/>
        </w:rPr>
      </w:pPr>
      <w:r>
        <w:rPr>
          <w:rFonts w:hint="eastAsia" w:eastAsia="仿宋_GB2312"/>
          <w:sz w:val="32"/>
          <w:szCs w:val="32"/>
        </w:rPr>
        <w:t>无</w:t>
      </w:r>
    </w:p>
    <w:p w14:paraId="5ABFBA2F">
      <w:pPr>
        <w:spacing w:line="600" w:lineRule="exact"/>
        <w:ind w:firstLine="640" w:firstLineChars="200"/>
        <w:rPr>
          <w:rFonts w:eastAsia="黑体"/>
          <w:sz w:val="32"/>
          <w:szCs w:val="32"/>
        </w:rPr>
      </w:pPr>
      <w:r>
        <w:rPr>
          <w:rFonts w:eastAsia="黑体"/>
          <w:sz w:val="32"/>
          <w:szCs w:val="32"/>
        </w:rPr>
        <w:t>八、下一步改进措施</w:t>
      </w:r>
    </w:p>
    <w:p w14:paraId="275A5894">
      <w:pPr>
        <w:spacing w:line="600" w:lineRule="exact"/>
        <w:ind w:firstLine="640" w:firstLineChars="200"/>
        <w:rPr>
          <w:rFonts w:eastAsia="黑体"/>
          <w:sz w:val="32"/>
          <w:szCs w:val="32"/>
        </w:rPr>
      </w:pPr>
      <w:r>
        <w:rPr>
          <w:rFonts w:hint="eastAsia" w:eastAsia="仿宋_GB2312"/>
          <w:sz w:val="32"/>
          <w:szCs w:val="32"/>
        </w:rPr>
        <w:t>无</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0345F5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黑体"/>
          <w:sz w:val="32"/>
          <w:szCs w:val="32"/>
        </w:rPr>
      </w:pPr>
      <w:r>
        <w:rPr>
          <w:rFonts w:hint="eastAsia" w:ascii="Times New Roman" w:hAnsi="Times New Roman" w:eastAsia="仿宋_GB2312" w:cs="Times New Roman"/>
          <w:sz w:val="32"/>
          <w:szCs w:val="32"/>
        </w:rPr>
        <w:t>芦淞区政府门户网统一公示公开，接受社会监督。</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462EB1FC">
      <w:pPr>
        <w:spacing w:line="600" w:lineRule="exact"/>
        <w:ind w:firstLine="640" w:firstLineChars="200"/>
        <w:rPr>
          <w:rFonts w:eastAsia="黑体"/>
          <w:sz w:val="32"/>
          <w:szCs w:val="32"/>
        </w:rPr>
      </w:pPr>
      <w:r>
        <w:rPr>
          <w:rFonts w:hint="eastAsia" w:eastAsia="仿宋_GB2312"/>
          <w:sz w:val="32"/>
          <w:szCs w:val="32"/>
        </w:rPr>
        <w:t>无</w:t>
      </w:r>
    </w:p>
    <w:p w14:paraId="5D2F1411">
      <w:pPr>
        <w:spacing w:line="600" w:lineRule="exact"/>
        <w:ind w:firstLine="640" w:firstLineChars="200"/>
        <w:rPr>
          <w:rFonts w:eastAsia="仿宋_GB2312"/>
          <w:sz w:val="32"/>
          <w:szCs w:val="32"/>
        </w:rPr>
      </w:pP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61EB9"/>
    <w:rsid w:val="03287320"/>
    <w:rsid w:val="03AE3AC0"/>
    <w:rsid w:val="03FA6217"/>
    <w:rsid w:val="045B44B4"/>
    <w:rsid w:val="046063A3"/>
    <w:rsid w:val="048E4A8E"/>
    <w:rsid w:val="04A8621F"/>
    <w:rsid w:val="052D1124"/>
    <w:rsid w:val="05841760"/>
    <w:rsid w:val="058C239E"/>
    <w:rsid w:val="062E1E31"/>
    <w:rsid w:val="06334EF1"/>
    <w:rsid w:val="06377F01"/>
    <w:rsid w:val="06FB3B03"/>
    <w:rsid w:val="071E5F82"/>
    <w:rsid w:val="072B45AB"/>
    <w:rsid w:val="077C5356"/>
    <w:rsid w:val="07BB6AF4"/>
    <w:rsid w:val="07EF4D29"/>
    <w:rsid w:val="08470747"/>
    <w:rsid w:val="08493425"/>
    <w:rsid w:val="0893725C"/>
    <w:rsid w:val="089572CF"/>
    <w:rsid w:val="08A00773"/>
    <w:rsid w:val="08A4283C"/>
    <w:rsid w:val="08C74B52"/>
    <w:rsid w:val="08EF0DD0"/>
    <w:rsid w:val="08F027B4"/>
    <w:rsid w:val="090A5A61"/>
    <w:rsid w:val="09544BDC"/>
    <w:rsid w:val="09783F74"/>
    <w:rsid w:val="09DE4B40"/>
    <w:rsid w:val="0A3D57A2"/>
    <w:rsid w:val="0A4370BC"/>
    <w:rsid w:val="0A4D6F7D"/>
    <w:rsid w:val="0A8C015C"/>
    <w:rsid w:val="0A94795B"/>
    <w:rsid w:val="0AB4192F"/>
    <w:rsid w:val="0ADC375E"/>
    <w:rsid w:val="0AE84FF2"/>
    <w:rsid w:val="0B1103B5"/>
    <w:rsid w:val="0B1F6B23"/>
    <w:rsid w:val="0B4524E9"/>
    <w:rsid w:val="0B4D2798"/>
    <w:rsid w:val="0BA804E2"/>
    <w:rsid w:val="0BB94E2C"/>
    <w:rsid w:val="0BE27487"/>
    <w:rsid w:val="0C4F7C96"/>
    <w:rsid w:val="0C8E7A46"/>
    <w:rsid w:val="0C93502E"/>
    <w:rsid w:val="0C966F7F"/>
    <w:rsid w:val="0CCA6CB7"/>
    <w:rsid w:val="0CFF5FF0"/>
    <w:rsid w:val="0D1C42A9"/>
    <w:rsid w:val="0D205F17"/>
    <w:rsid w:val="0D366EDE"/>
    <w:rsid w:val="0D4B57FA"/>
    <w:rsid w:val="0D60161F"/>
    <w:rsid w:val="0E897C2B"/>
    <w:rsid w:val="0ED94D9B"/>
    <w:rsid w:val="0F93599B"/>
    <w:rsid w:val="0F957EE7"/>
    <w:rsid w:val="0F9A0948"/>
    <w:rsid w:val="0FA108F2"/>
    <w:rsid w:val="0FAF74CA"/>
    <w:rsid w:val="0FB873C3"/>
    <w:rsid w:val="0FD77389"/>
    <w:rsid w:val="10480942"/>
    <w:rsid w:val="10593E88"/>
    <w:rsid w:val="108C68C3"/>
    <w:rsid w:val="10C17504"/>
    <w:rsid w:val="10F06DED"/>
    <w:rsid w:val="11107299"/>
    <w:rsid w:val="1134034B"/>
    <w:rsid w:val="115176A2"/>
    <w:rsid w:val="11BB0823"/>
    <w:rsid w:val="128959F9"/>
    <w:rsid w:val="129D6027"/>
    <w:rsid w:val="13242D1C"/>
    <w:rsid w:val="132B7780"/>
    <w:rsid w:val="138C5037"/>
    <w:rsid w:val="13A52CDF"/>
    <w:rsid w:val="144E65DE"/>
    <w:rsid w:val="146C1DD9"/>
    <w:rsid w:val="148E15C6"/>
    <w:rsid w:val="14BF24DE"/>
    <w:rsid w:val="14CC54C7"/>
    <w:rsid w:val="14DD5FD7"/>
    <w:rsid w:val="14E33844"/>
    <w:rsid w:val="14EA23A8"/>
    <w:rsid w:val="15420170"/>
    <w:rsid w:val="15A27FE2"/>
    <w:rsid w:val="15E47979"/>
    <w:rsid w:val="1627453B"/>
    <w:rsid w:val="16C16063"/>
    <w:rsid w:val="16F10DB0"/>
    <w:rsid w:val="17197045"/>
    <w:rsid w:val="175B29DE"/>
    <w:rsid w:val="175C6F5E"/>
    <w:rsid w:val="179A7791"/>
    <w:rsid w:val="17DC3DC3"/>
    <w:rsid w:val="181F357B"/>
    <w:rsid w:val="187B08B7"/>
    <w:rsid w:val="188345AC"/>
    <w:rsid w:val="18AC1086"/>
    <w:rsid w:val="195E168F"/>
    <w:rsid w:val="196A7CDF"/>
    <w:rsid w:val="19C72BF8"/>
    <w:rsid w:val="19CA553D"/>
    <w:rsid w:val="1A4E2E8E"/>
    <w:rsid w:val="1AF51455"/>
    <w:rsid w:val="1B6E410D"/>
    <w:rsid w:val="1B9D302A"/>
    <w:rsid w:val="1BF446CE"/>
    <w:rsid w:val="1C704031"/>
    <w:rsid w:val="1D271A66"/>
    <w:rsid w:val="1D533029"/>
    <w:rsid w:val="1DC964EA"/>
    <w:rsid w:val="1DCB47DF"/>
    <w:rsid w:val="1E53644F"/>
    <w:rsid w:val="1E601115"/>
    <w:rsid w:val="1E64416A"/>
    <w:rsid w:val="1EB03217"/>
    <w:rsid w:val="1EFD3064"/>
    <w:rsid w:val="1F000FB0"/>
    <w:rsid w:val="1F111AD7"/>
    <w:rsid w:val="1F5A1E7F"/>
    <w:rsid w:val="1FA173F5"/>
    <w:rsid w:val="1FA707DF"/>
    <w:rsid w:val="1FB91219"/>
    <w:rsid w:val="1FFE7B8C"/>
    <w:rsid w:val="20217943"/>
    <w:rsid w:val="203C025A"/>
    <w:rsid w:val="20775CA3"/>
    <w:rsid w:val="20AB78A8"/>
    <w:rsid w:val="217A1AB1"/>
    <w:rsid w:val="224F7F58"/>
    <w:rsid w:val="22695B47"/>
    <w:rsid w:val="22C70E9C"/>
    <w:rsid w:val="243235AA"/>
    <w:rsid w:val="24B10BAC"/>
    <w:rsid w:val="24D2061D"/>
    <w:rsid w:val="251132F3"/>
    <w:rsid w:val="253C38DE"/>
    <w:rsid w:val="25B24E22"/>
    <w:rsid w:val="262B4FF6"/>
    <w:rsid w:val="264810A7"/>
    <w:rsid w:val="265A7CC8"/>
    <w:rsid w:val="26962DDB"/>
    <w:rsid w:val="26F121F0"/>
    <w:rsid w:val="27014400"/>
    <w:rsid w:val="271B2298"/>
    <w:rsid w:val="27490680"/>
    <w:rsid w:val="274D4B08"/>
    <w:rsid w:val="276D0D8C"/>
    <w:rsid w:val="27DE2311"/>
    <w:rsid w:val="2833607F"/>
    <w:rsid w:val="286C33CA"/>
    <w:rsid w:val="28E4125D"/>
    <w:rsid w:val="29BB6A7E"/>
    <w:rsid w:val="29EC49AF"/>
    <w:rsid w:val="2AC43DDE"/>
    <w:rsid w:val="2AEF4956"/>
    <w:rsid w:val="2B1C41DD"/>
    <w:rsid w:val="2BBE35CD"/>
    <w:rsid w:val="2BC94961"/>
    <w:rsid w:val="2BD6382B"/>
    <w:rsid w:val="2C7A0558"/>
    <w:rsid w:val="2C933EBB"/>
    <w:rsid w:val="2C9B4CBA"/>
    <w:rsid w:val="2CDD6A28"/>
    <w:rsid w:val="2CDF6E04"/>
    <w:rsid w:val="2D284D02"/>
    <w:rsid w:val="2D3A266F"/>
    <w:rsid w:val="2D8470B0"/>
    <w:rsid w:val="2D85399E"/>
    <w:rsid w:val="2DC65E1F"/>
    <w:rsid w:val="2DCB2E2D"/>
    <w:rsid w:val="2DF720F5"/>
    <w:rsid w:val="2E1C0F3D"/>
    <w:rsid w:val="2E69253C"/>
    <w:rsid w:val="2E955D79"/>
    <w:rsid w:val="2EEF2198"/>
    <w:rsid w:val="2EF20691"/>
    <w:rsid w:val="2EF54E99"/>
    <w:rsid w:val="2EF6291B"/>
    <w:rsid w:val="2F0246FC"/>
    <w:rsid w:val="2F080155"/>
    <w:rsid w:val="30343502"/>
    <w:rsid w:val="30470CFF"/>
    <w:rsid w:val="306918BE"/>
    <w:rsid w:val="30A37680"/>
    <w:rsid w:val="30ED1751"/>
    <w:rsid w:val="30F2365A"/>
    <w:rsid w:val="31A81E84"/>
    <w:rsid w:val="31AF70F0"/>
    <w:rsid w:val="32D24F00"/>
    <w:rsid w:val="32D963A9"/>
    <w:rsid w:val="32ED21B4"/>
    <w:rsid w:val="32FC6F32"/>
    <w:rsid w:val="32FE0237"/>
    <w:rsid w:val="331926DE"/>
    <w:rsid w:val="3371728B"/>
    <w:rsid w:val="33A6194A"/>
    <w:rsid w:val="33BD4DF2"/>
    <w:rsid w:val="341C738A"/>
    <w:rsid w:val="34681A08"/>
    <w:rsid w:val="35124AFB"/>
    <w:rsid w:val="35164EC9"/>
    <w:rsid w:val="355F671C"/>
    <w:rsid w:val="35925C72"/>
    <w:rsid w:val="35C51944"/>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99E5818"/>
    <w:rsid w:val="39C656D7"/>
    <w:rsid w:val="3A003CFF"/>
    <w:rsid w:val="3A1339C4"/>
    <w:rsid w:val="3AF63590"/>
    <w:rsid w:val="3B06110B"/>
    <w:rsid w:val="3B9B7004"/>
    <w:rsid w:val="3BBD1F8F"/>
    <w:rsid w:val="3BCF551C"/>
    <w:rsid w:val="3C87456A"/>
    <w:rsid w:val="3CA231F4"/>
    <w:rsid w:val="3CDC3CFC"/>
    <w:rsid w:val="3CFC20B7"/>
    <w:rsid w:val="3DBC1A54"/>
    <w:rsid w:val="3E694CE7"/>
    <w:rsid w:val="3E835DD7"/>
    <w:rsid w:val="3EB0781B"/>
    <w:rsid w:val="3EC819BA"/>
    <w:rsid w:val="3EEE35A4"/>
    <w:rsid w:val="3F7004CB"/>
    <w:rsid w:val="3FFC7781"/>
    <w:rsid w:val="405317F7"/>
    <w:rsid w:val="40754FF3"/>
    <w:rsid w:val="407A60D5"/>
    <w:rsid w:val="40CE715B"/>
    <w:rsid w:val="40D508AB"/>
    <w:rsid w:val="40E640CC"/>
    <w:rsid w:val="40EE0612"/>
    <w:rsid w:val="415A0FC6"/>
    <w:rsid w:val="41916F22"/>
    <w:rsid w:val="41D57B43"/>
    <w:rsid w:val="42EB2656"/>
    <w:rsid w:val="43141345"/>
    <w:rsid w:val="43420DA9"/>
    <w:rsid w:val="435C781C"/>
    <w:rsid w:val="437C0F5D"/>
    <w:rsid w:val="44B87D18"/>
    <w:rsid w:val="45283286"/>
    <w:rsid w:val="45316114"/>
    <w:rsid w:val="453A160B"/>
    <w:rsid w:val="45E2026E"/>
    <w:rsid w:val="45F85A17"/>
    <w:rsid w:val="463747B7"/>
    <w:rsid w:val="46C042A0"/>
    <w:rsid w:val="46CA4BB0"/>
    <w:rsid w:val="47212ECA"/>
    <w:rsid w:val="47323108"/>
    <w:rsid w:val="47D51345"/>
    <w:rsid w:val="47E11557"/>
    <w:rsid w:val="47F87820"/>
    <w:rsid w:val="47FA65A7"/>
    <w:rsid w:val="48196B29"/>
    <w:rsid w:val="4885603F"/>
    <w:rsid w:val="491722FF"/>
    <w:rsid w:val="491D74A7"/>
    <w:rsid w:val="492B471A"/>
    <w:rsid w:val="497C7C2F"/>
    <w:rsid w:val="498176A7"/>
    <w:rsid w:val="498307B4"/>
    <w:rsid w:val="49882B9B"/>
    <w:rsid w:val="49AF4809"/>
    <w:rsid w:val="49B324BE"/>
    <w:rsid w:val="49DA57B7"/>
    <w:rsid w:val="4A3763F6"/>
    <w:rsid w:val="4A5007FC"/>
    <w:rsid w:val="4A885383"/>
    <w:rsid w:val="4ABC3BAC"/>
    <w:rsid w:val="4AE85958"/>
    <w:rsid w:val="4AF51ADF"/>
    <w:rsid w:val="4AFD5436"/>
    <w:rsid w:val="4B7C2BF9"/>
    <w:rsid w:val="4B920728"/>
    <w:rsid w:val="4B9357A5"/>
    <w:rsid w:val="4BA9472E"/>
    <w:rsid w:val="4BC67BFF"/>
    <w:rsid w:val="4C19263D"/>
    <w:rsid w:val="4C253F32"/>
    <w:rsid w:val="4C442E20"/>
    <w:rsid w:val="4C714499"/>
    <w:rsid w:val="4C845F8F"/>
    <w:rsid w:val="4D36566E"/>
    <w:rsid w:val="4D4A3E5A"/>
    <w:rsid w:val="4DBB24B5"/>
    <w:rsid w:val="4E03467F"/>
    <w:rsid w:val="4EE91176"/>
    <w:rsid w:val="4EF96755"/>
    <w:rsid w:val="4EFF6E71"/>
    <w:rsid w:val="4F3F3010"/>
    <w:rsid w:val="4F7317CB"/>
    <w:rsid w:val="4F7C135A"/>
    <w:rsid w:val="4F8F4094"/>
    <w:rsid w:val="4FC01EDA"/>
    <w:rsid w:val="50281CF3"/>
    <w:rsid w:val="506C277D"/>
    <w:rsid w:val="506F3702"/>
    <w:rsid w:val="507E5F1B"/>
    <w:rsid w:val="509154B6"/>
    <w:rsid w:val="50BB4683"/>
    <w:rsid w:val="50EC10F9"/>
    <w:rsid w:val="5177797E"/>
    <w:rsid w:val="5245110A"/>
    <w:rsid w:val="52F6075F"/>
    <w:rsid w:val="53086FF5"/>
    <w:rsid w:val="534D0228"/>
    <w:rsid w:val="53AB142E"/>
    <w:rsid w:val="53AE15D6"/>
    <w:rsid w:val="53E72A34"/>
    <w:rsid w:val="53F41D4A"/>
    <w:rsid w:val="541212FA"/>
    <w:rsid w:val="54207C51"/>
    <w:rsid w:val="54D10433"/>
    <w:rsid w:val="54DA727F"/>
    <w:rsid w:val="54E65F5A"/>
    <w:rsid w:val="557D2E1D"/>
    <w:rsid w:val="55804F6C"/>
    <w:rsid w:val="55914FEE"/>
    <w:rsid w:val="564516B7"/>
    <w:rsid w:val="56685DC5"/>
    <w:rsid w:val="567C109E"/>
    <w:rsid w:val="567E6210"/>
    <w:rsid w:val="56933523"/>
    <w:rsid w:val="569F51AC"/>
    <w:rsid w:val="56BA55C6"/>
    <w:rsid w:val="57124CDD"/>
    <w:rsid w:val="574A5644"/>
    <w:rsid w:val="576D1203"/>
    <w:rsid w:val="57837BDE"/>
    <w:rsid w:val="57935E95"/>
    <w:rsid w:val="58152013"/>
    <w:rsid w:val="58CE683B"/>
    <w:rsid w:val="58DF34DC"/>
    <w:rsid w:val="598900F2"/>
    <w:rsid w:val="59A40B9B"/>
    <w:rsid w:val="5A3C1A0D"/>
    <w:rsid w:val="5A6A2A29"/>
    <w:rsid w:val="5A9244F7"/>
    <w:rsid w:val="5AF97A89"/>
    <w:rsid w:val="5B1A7584"/>
    <w:rsid w:val="5B352171"/>
    <w:rsid w:val="5B514882"/>
    <w:rsid w:val="5B5C757D"/>
    <w:rsid w:val="5B6B124E"/>
    <w:rsid w:val="5C4F1B7F"/>
    <w:rsid w:val="5CD268D5"/>
    <w:rsid w:val="5D155819"/>
    <w:rsid w:val="5D656D7E"/>
    <w:rsid w:val="5DCE0C96"/>
    <w:rsid w:val="5DE454AE"/>
    <w:rsid w:val="5DEC70B2"/>
    <w:rsid w:val="5E1F095F"/>
    <w:rsid w:val="5E482C04"/>
    <w:rsid w:val="5E5D637B"/>
    <w:rsid w:val="5EC735B0"/>
    <w:rsid w:val="5F0F193D"/>
    <w:rsid w:val="5F2B6724"/>
    <w:rsid w:val="60AD7EAA"/>
    <w:rsid w:val="60C055B7"/>
    <w:rsid w:val="611B62E0"/>
    <w:rsid w:val="612D4EDB"/>
    <w:rsid w:val="61F20913"/>
    <w:rsid w:val="624B0B8B"/>
    <w:rsid w:val="62923B3C"/>
    <w:rsid w:val="62C32DEC"/>
    <w:rsid w:val="630B320C"/>
    <w:rsid w:val="630D66DA"/>
    <w:rsid w:val="639F4202"/>
    <w:rsid w:val="63B0031B"/>
    <w:rsid w:val="63F6668D"/>
    <w:rsid w:val="640D5FD9"/>
    <w:rsid w:val="641E0B92"/>
    <w:rsid w:val="642C6292"/>
    <w:rsid w:val="643B0B1A"/>
    <w:rsid w:val="645E3C0F"/>
    <w:rsid w:val="647D1024"/>
    <w:rsid w:val="649324AE"/>
    <w:rsid w:val="64B66725"/>
    <w:rsid w:val="64C074E1"/>
    <w:rsid w:val="65025750"/>
    <w:rsid w:val="65164566"/>
    <w:rsid w:val="65191B9C"/>
    <w:rsid w:val="653021A9"/>
    <w:rsid w:val="65374A9B"/>
    <w:rsid w:val="65D07218"/>
    <w:rsid w:val="65EB60C2"/>
    <w:rsid w:val="66022946"/>
    <w:rsid w:val="66A877C4"/>
    <w:rsid w:val="67192A32"/>
    <w:rsid w:val="67303E4C"/>
    <w:rsid w:val="67347CE6"/>
    <w:rsid w:val="675A5E15"/>
    <w:rsid w:val="677549A9"/>
    <w:rsid w:val="67F2708D"/>
    <w:rsid w:val="68030691"/>
    <w:rsid w:val="6844251F"/>
    <w:rsid w:val="689E76A5"/>
    <w:rsid w:val="68DB1AF2"/>
    <w:rsid w:val="68E0427F"/>
    <w:rsid w:val="68F75735"/>
    <w:rsid w:val="694757F4"/>
    <w:rsid w:val="69B8286F"/>
    <w:rsid w:val="6A4A3B6E"/>
    <w:rsid w:val="6B3B48D5"/>
    <w:rsid w:val="6B8A44FA"/>
    <w:rsid w:val="6BBF4B8D"/>
    <w:rsid w:val="6BC12456"/>
    <w:rsid w:val="6BFF1F3B"/>
    <w:rsid w:val="6C01543E"/>
    <w:rsid w:val="6C14445E"/>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93531A"/>
    <w:rsid w:val="6FDC0F91"/>
    <w:rsid w:val="6FE61A56"/>
    <w:rsid w:val="704C412C"/>
    <w:rsid w:val="706B131D"/>
    <w:rsid w:val="709F4552"/>
    <w:rsid w:val="70A01FD4"/>
    <w:rsid w:val="70AD1C74"/>
    <w:rsid w:val="71151F93"/>
    <w:rsid w:val="711C4732"/>
    <w:rsid w:val="71DB64D8"/>
    <w:rsid w:val="72696BF8"/>
    <w:rsid w:val="729B6917"/>
    <w:rsid w:val="73023D3C"/>
    <w:rsid w:val="731E7DE9"/>
    <w:rsid w:val="734F28D5"/>
    <w:rsid w:val="734F3820"/>
    <w:rsid w:val="7393582A"/>
    <w:rsid w:val="73F11B0B"/>
    <w:rsid w:val="7455119F"/>
    <w:rsid w:val="749B3E5E"/>
    <w:rsid w:val="749B7B08"/>
    <w:rsid w:val="74B015AB"/>
    <w:rsid w:val="74BF00CF"/>
    <w:rsid w:val="74CF5344"/>
    <w:rsid w:val="75275C40"/>
    <w:rsid w:val="75786376"/>
    <w:rsid w:val="75801B52"/>
    <w:rsid w:val="75F34010"/>
    <w:rsid w:val="765D45B4"/>
    <w:rsid w:val="76735213"/>
    <w:rsid w:val="76A209B0"/>
    <w:rsid w:val="76A22F2E"/>
    <w:rsid w:val="772B072A"/>
    <w:rsid w:val="778F1D5A"/>
    <w:rsid w:val="7836349E"/>
    <w:rsid w:val="78A55F95"/>
    <w:rsid w:val="78F227FE"/>
    <w:rsid w:val="79173937"/>
    <w:rsid w:val="794F5B82"/>
    <w:rsid w:val="79E234DF"/>
    <w:rsid w:val="7A0966D2"/>
    <w:rsid w:val="7A0F2FD7"/>
    <w:rsid w:val="7A1B3CD1"/>
    <w:rsid w:val="7A327907"/>
    <w:rsid w:val="7A5B19C4"/>
    <w:rsid w:val="7A5D61CD"/>
    <w:rsid w:val="7A702BF0"/>
    <w:rsid w:val="7AD51068"/>
    <w:rsid w:val="7AFA7350"/>
    <w:rsid w:val="7B091C7D"/>
    <w:rsid w:val="7B8514B2"/>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 w:type="paragraph" w:customStyle="1" w:styleId="5">
    <w:name w:val="正文-公1"/>
    <w:basedOn w:val="6"/>
    <w:next w:val="1"/>
    <w:qFormat/>
    <w:uiPriority w:val="0"/>
    <w:pPr>
      <w:ind w:firstLine="200" w:firstLine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Times New Roman" w:hAnsi="Times New Roman" w:eastAsia="宋体" w:cs="Times New Roman"/>
      <w:kern w:val="2"/>
      <w:sz w:val="21"/>
      <w:lang w:val="en-US" w:eastAsia="zh-CN"/>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3245</Words>
  <Characters>3414</Characters>
  <Lines>0</Lines>
  <Paragraphs>0</Paragraphs>
  <TotalTime>0</TotalTime>
  <ScaleCrop>false</ScaleCrop>
  <LinksUpToDate>false</LinksUpToDate>
  <CharactersWithSpaces>3419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2025-12-10T06:52:03Z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E2D40F9231564E53AAE1D51806B9BB07_13</vt:lpwstr>
  </property>
</Properties>
</file>