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49DF4">
      <w:pPr>
        <w:shd w:val="clear"/>
        <w:tabs>
          <w:tab w:val="left" w:pos="7560"/>
        </w:tabs>
        <w:adjustRightInd w:val="0"/>
        <w:snapToGrid w:val="0"/>
        <w:spacing w:line="560" w:lineRule="exact"/>
        <w:jc w:val="left"/>
        <w:rPr>
          <w:rFonts w:hint="eastAsia" w:ascii="Times New Roman" w:hAnsi="Times New Roman" w:eastAsia="黑体" w:cs="Times New Roman"/>
          <w:sz w:val="32"/>
          <w:szCs w:val="32"/>
          <w:highlight w:val="none"/>
        </w:rPr>
      </w:pPr>
      <w:bookmarkStart w:id="0" w:name="_GoBack"/>
      <w:bookmarkEnd w:id="0"/>
      <w:r>
        <w:rPr>
          <w:rFonts w:hint="eastAsia" w:ascii="Times New Roman" w:hAnsi="Times New Roman" w:eastAsia="黑体" w:cs="Times New Roman"/>
          <w:sz w:val="32"/>
          <w:szCs w:val="32"/>
          <w:highlight w:val="none"/>
        </w:rPr>
        <w:t>附件1</w:t>
      </w:r>
    </w:p>
    <w:p w14:paraId="6495F306">
      <w:pPr>
        <w:shd w:val="clear"/>
        <w:tabs>
          <w:tab w:val="left" w:pos="7560"/>
        </w:tabs>
        <w:adjustRightInd w:val="0"/>
        <w:snapToGrid w:val="0"/>
        <w:spacing w:line="560" w:lineRule="exact"/>
        <w:jc w:val="left"/>
        <w:rPr>
          <w:rFonts w:ascii="Times New Roman" w:hAnsi="Times New Roman" w:eastAsia="黑体" w:cs="Times New Roman"/>
          <w:sz w:val="32"/>
          <w:szCs w:val="32"/>
          <w:highlight w:val="none"/>
        </w:rPr>
      </w:pPr>
    </w:p>
    <w:p w14:paraId="4A5B07AA">
      <w:pPr>
        <w:snapToGrid w:val="0"/>
        <w:spacing w:line="560" w:lineRule="exact"/>
        <w:jc w:val="center"/>
        <w:rPr>
          <w:rFonts w:hint="eastAsia" w:ascii="Times New Roman" w:hAnsi="Times New Roman" w:eastAsia="方正大标宋简体" w:cs="Times New Roman"/>
          <w:sz w:val="48"/>
          <w:szCs w:val="52"/>
          <w:highlight w:val="none"/>
        </w:rPr>
      </w:pPr>
      <w:r>
        <w:rPr>
          <w:rFonts w:hint="eastAsia" w:ascii="Times New Roman" w:hAnsi="Times New Roman" w:eastAsia="方正小标宋简体" w:cs="Times New Roman"/>
          <w:sz w:val="48"/>
          <w:szCs w:val="44"/>
          <w:highlight w:val="none"/>
        </w:rPr>
        <w:t>202</w:t>
      </w:r>
      <w:r>
        <w:rPr>
          <w:rFonts w:hint="eastAsia" w:eastAsia="方正小标宋简体" w:cs="Times New Roman"/>
          <w:sz w:val="48"/>
          <w:szCs w:val="44"/>
          <w:highlight w:val="none"/>
          <w:lang w:val="en-US" w:eastAsia="zh-CN"/>
        </w:rPr>
        <w:t>4</w:t>
      </w:r>
      <w:r>
        <w:rPr>
          <w:rFonts w:hint="eastAsia" w:ascii="Times New Roman" w:hAnsi="Times New Roman" w:eastAsia="方正小标宋简体" w:cs="Times New Roman"/>
          <w:sz w:val="48"/>
          <w:szCs w:val="44"/>
          <w:highlight w:val="none"/>
        </w:rPr>
        <w:t>年度中国共产党株洲市芦淞区委员会组织部整体支出绩效自评报告</w:t>
      </w:r>
    </w:p>
    <w:p w14:paraId="06510275">
      <w:pPr>
        <w:snapToGrid w:val="0"/>
        <w:spacing w:line="560" w:lineRule="exact"/>
        <w:jc w:val="center"/>
        <w:rPr>
          <w:rFonts w:hint="eastAsia" w:ascii="Times New Roman" w:hAnsi="Times New Roman" w:eastAsia="方正小标宋简体" w:cs="Times New Roman"/>
          <w:sz w:val="48"/>
          <w:szCs w:val="44"/>
          <w:highlight w:val="none"/>
        </w:rPr>
      </w:pPr>
    </w:p>
    <w:p w14:paraId="179345ED">
      <w:pPr>
        <w:spacing w:line="600" w:lineRule="exact"/>
        <w:ind w:firstLine="3520" w:firstLineChars="1100"/>
        <w:jc w:val="left"/>
        <w:rPr>
          <w:rFonts w:ascii="Times New Roman" w:hAnsi="Times New Roman" w:eastAsia="仿宋_GB2312" w:cs="Times New Roman"/>
          <w:sz w:val="32"/>
          <w:szCs w:val="32"/>
          <w:highlight w:val="none"/>
        </w:rPr>
      </w:pPr>
    </w:p>
    <w:p w14:paraId="512EB511">
      <w:pPr>
        <w:jc w:val="center"/>
        <w:rPr>
          <w:rFonts w:ascii="Times New Roman" w:hAnsi="Times New Roman" w:eastAsia="楷体_GB2312" w:cs="Times New Roman"/>
          <w:b/>
          <w:sz w:val="32"/>
          <w:szCs w:val="32"/>
          <w:highlight w:val="none"/>
        </w:rPr>
      </w:pPr>
    </w:p>
    <w:p w14:paraId="2B0891C6">
      <w:pPr>
        <w:jc w:val="center"/>
        <w:rPr>
          <w:rFonts w:ascii="Times New Roman" w:hAnsi="Times New Roman" w:eastAsia="楷体_GB2312" w:cs="Times New Roman"/>
          <w:b/>
          <w:sz w:val="32"/>
          <w:szCs w:val="32"/>
          <w:highlight w:val="none"/>
        </w:rPr>
      </w:pPr>
    </w:p>
    <w:p w14:paraId="6A4E8BC3">
      <w:pPr>
        <w:jc w:val="center"/>
        <w:rPr>
          <w:rFonts w:ascii="Times New Roman" w:hAnsi="Times New Roman" w:eastAsia="楷体_GB2312" w:cs="Times New Roman"/>
          <w:b/>
          <w:sz w:val="32"/>
          <w:szCs w:val="32"/>
          <w:highlight w:val="none"/>
        </w:rPr>
      </w:pPr>
    </w:p>
    <w:p w14:paraId="11BF0CB7">
      <w:pPr>
        <w:jc w:val="center"/>
        <w:rPr>
          <w:rFonts w:ascii="Times New Roman" w:hAnsi="Times New Roman" w:eastAsia="楷体_GB2312" w:cs="Times New Roman"/>
          <w:b/>
          <w:sz w:val="32"/>
          <w:szCs w:val="32"/>
          <w:highlight w:val="none"/>
        </w:rPr>
      </w:pPr>
    </w:p>
    <w:p w14:paraId="27D37928">
      <w:pPr>
        <w:jc w:val="center"/>
        <w:rPr>
          <w:rFonts w:ascii="Times New Roman" w:hAnsi="Times New Roman" w:eastAsia="楷体_GB2312" w:cs="Times New Roman"/>
          <w:b/>
          <w:sz w:val="32"/>
          <w:szCs w:val="32"/>
          <w:highlight w:val="none"/>
        </w:rPr>
      </w:pPr>
    </w:p>
    <w:p w14:paraId="41F9E52B">
      <w:pPr>
        <w:jc w:val="center"/>
        <w:rPr>
          <w:rFonts w:ascii="Times New Roman" w:hAnsi="Times New Roman" w:eastAsia="楷体_GB2312" w:cs="Times New Roman"/>
          <w:b/>
          <w:sz w:val="32"/>
          <w:szCs w:val="32"/>
          <w:highlight w:val="none"/>
        </w:rPr>
      </w:pPr>
    </w:p>
    <w:p w14:paraId="55E546B2">
      <w:pPr>
        <w:jc w:val="center"/>
        <w:rPr>
          <w:rFonts w:ascii="Times New Roman" w:hAnsi="Times New Roman" w:eastAsia="黑体" w:cs="Times New Roman"/>
          <w:sz w:val="32"/>
          <w:szCs w:val="32"/>
          <w:highlight w:val="none"/>
        </w:rPr>
      </w:pPr>
    </w:p>
    <w:p w14:paraId="282A1FCF">
      <w:pPr>
        <w:jc w:val="center"/>
        <w:rPr>
          <w:rFonts w:ascii="Times New Roman" w:hAnsi="Times New Roman" w:eastAsia="黑体" w:cs="Times New Roman"/>
          <w:sz w:val="32"/>
          <w:szCs w:val="32"/>
          <w:highlight w:val="none"/>
        </w:rPr>
      </w:pPr>
    </w:p>
    <w:p w14:paraId="2D40CD77">
      <w:pPr>
        <w:jc w:val="center"/>
        <w:rPr>
          <w:rFonts w:ascii="Times New Roman" w:hAnsi="Times New Roman" w:eastAsia="黑体" w:cs="Times New Roman"/>
          <w:sz w:val="32"/>
          <w:szCs w:val="32"/>
          <w:highlight w:val="none"/>
        </w:rPr>
      </w:pPr>
    </w:p>
    <w:p w14:paraId="463EE744">
      <w:pPr>
        <w:jc w:val="center"/>
        <w:rPr>
          <w:rFonts w:ascii="Times New Roman" w:hAnsi="Times New Roman" w:eastAsia="黑体" w:cs="Times New Roman"/>
          <w:sz w:val="32"/>
          <w:szCs w:val="32"/>
          <w:highlight w:val="none"/>
        </w:rPr>
      </w:pPr>
    </w:p>
    <w:p w14:paraId="662E8725">
      <w:pPr>
        <w:jc w:val="center"/>
        <w:rPr>
          <w:rFonts w:ascii="Times New Roman" w:hAnsi="Times New Roman" w:eastAsia="黑体" w:cs="Times New Roman"/>
          <w:sz w:val="32"/>
          <w:szCs w:val="32"/>
          <w:highlight w:val="none"/>
        </w:rPr>
      </w:pPr>
    </w:p>
    <w:p w14:paraId="34F5139B">
      <w:pPr>
        <w:jc w:val="center"/>
        <w:rPr>
          <w:rFonts w:ascii="Times New Roman" w:hAnsi="Times New Roman" w:eastAsia="黑体" w:cs="Times New Roman"/>
          <w:sz w:val="32"/>
          <w:szCs w:val="32"/>
          <w:highlight w:val="none"/>
        </w:rPr>
      </w:pPr>
    </w:p>
    <w:p w14:paraId="0E39BB7F">
      <w:pPr>
        <w:jc w:val="center"/>
        <w:rPr>
          <w:rFonts w:ascii="Times New Roman" w:hAnsi="Times New Roman" w:eastAsia="黑体" w:cs="Times New Roman"/>
          <w:sz w:val="32"/>
          <w:szCs w:val="32"/>
          <w:highlight w:val="none"/>
        </w:rPr>
      </w:pPr>
    </w:p>
    <w:p w14:paraId="351FBF74">
      <w:pPr>
        <w:jc w:val="center"/>
        <w:rPr>
          <w:rFonts w:ascii="Times New Roman" w:hAnsi="Times New Roman" w:eastAsia="黑体" w:cs="Times New Roman"/>
          <w:sz w:val="32"/>
          <w:szCs w:val="32"/>
          <w:highlight w:val="none"/>
        </w:rPr>
      </w:pPr>
    </w:p>
    <w:p w14:paraId="5026E499">
      <w:pPr>
        <w:jc w:val="center"/>
        <w:rPr>
          <w:rFonts w:ascii="Times New Roman" w:hAnsi="Times New Roman" w:eastAsia="黑体" w:cs="Times New Roman"/>
          <w:sz w:val="32"/>
          <w:szCs w:val="32"/>
          <w:highlight w:val="none"/>
        </w:rPr>
      </w:pPr>
    </w:p>
    <w:p w14:paraId="02B86DD1">
      <w:pPr>
        <w:jc w:val="center"/>
        <w:rPr>
          <w:rFonts w:ascii="Times New Roman" w:hAnsi="Times New Roman" w:eastAsia="黑体" w:cs="Times New Roman"/>
          <w:sz w:val="32"/>
          <w:szCs w:val="32"/>
          <w:highlight w:val="none"/>
        </w:rPr>
      </w:pPr>
    </w:p>
    <w:p w14:paraId="7649AE33">
      <w:pPr>
        <w:shd w:val="clear"/>
        <w:spacing w:line="600" w:lineRule="exact"/>
        <w:jc w:val="center"/>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u w:val="single"/>
        </w:rPr>
        <w:t>中国共产党株洲市芦淞区委员会组织部（盖章）</w:t>
      </w:r>
    </w:p>
    <w:p w14:paraId="4963C3DD">
      <w:pPr>
        <w:shd w:val="clear"/>
        <w:spacing w:line="600" w:lineRule="exact"/>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年 </w:t>
      </w: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月 </w:t>
      </w: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日</w:t>
      </w:r>
    </w:p>
    <w:p w14:paraId="0B605C72">
      <w:pPr>
        <w:shd w:val="clear"/>
        <w:jc w:val="center"/>
        <w:rPr>
          <w:rFonts w:hint="eastAsia" w:ascii="Times New Roman" w:hAnsi="Times New Roman" w:eastAsia="仿宋_GB2312" w:cs="Times New Roman"/>
          <w:sz w:val="32"/>
          <w:szCs w:val="32"/>
          <w:highlight w:val="none"/>
        </w:rPr>
      </w:pPr>
    </w:p>
    <w:p w14:paraId="09A50789">
      <w:pPr>
        <w:shd w:val="clear"/>
        <w:ind w:firstLine="3200" w:firstLineChars="1000"/>
        <w:rPr>
          <w:rFonts w:hint="eastAsia" w:ascii="Times New Roman" w:hAnsi="Times New Roman" w:eastAsia="仿宋_GB2312" w:cs="Times New Roman"/>
          <w:sz w:val="32"/>
          <w:szCs w:val="32"/>
          <w:highlight w:val="none"/>
        </w:rPr>
      </w:pPr>
    </w:p>
    <w:p w14:paraId="0D8BB939">
      <w:pPr>
        <w:shd w:val="clear"/>
        <w:jc w:val="left"/>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br w:type="page"/>
      </w:r>
    </w:p>
    <w:p w14:paraId="417C5E76">
      <w:pPr>
        <w:shd w:val="clear"/>
        <w:jc w:val="center"/>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t>202</w:t>
      </w:r>
      <w:r>
        <w:rPr>
          <w:rFonts w:hint="eastAsia" w:eastAsia="方正小标宋简体" w:cs="Times New Roman"/>
          <w:sz w:val="40"/>
          <w:szCs w:val="32"/>
          <w:highlight w:val="none"/>
          <w:lang w:val="en-US" w:eastAsia="zh-CN"/>
        </w:rPr>
        <w:t>4</w:t>
      </w:r>
      <w:r>
        <w:rPr>
          <w:rFonts w:hint="eastAsia" w:ascii="Times New Roman" w:hAnsi="Times New Roman" w:eastAsia="方正小标宋简体" w:cs="Times New Roman"/>
          <w:sz w:val="40"/>
          <w:szCs w:val="32"/>
          <w:highlight w:val="none"/>
        </w:rPr>
        <w:t>年度中国共产党株洲市芦淞区委员会组织部整体支出绩效自评报告</w:t>
      </w:r>
    </w:p>
    <w:p w14:paraId="58AF724F">
      <w:pPr>
        <w:shd w:val="clear"/>
        <w:jc w:val="left"/>
        <w:rPr>
          <w:rFonts w:ascii="Times New Roman" w:hAnsi="Times New Roman" w:eastAsia="仿宋_GB2312" w:cs="Times New Roman"/>
          <w:sz w:val="32"/>
          <w:szCs w:val="32"/>
          <w:highlight w:val="none"/>
        </w:rPr>
      </w:pPr>
    </w:p>
    <w:p w14:paraId="6D7A2AA9">
      <w:pPr>
        <w:shd w:val="clear"/>
        <w:jc w:val="left"/>
        <w:rPr>
          <w:rFonts w:ascii="Times New Roman" w:hAnsi="Times New Roman" w:eastAsia="仿宋_GB2312" w:cs="Times New Roman"/>
          <w:sz w:val="32"/>
          <w:szCs w:val="32"/>
          <w:highlight w:val="none"/>
        </w:rPr>
      </w:pPr>
    </w:p>
    <w:p w14:paraId="7187FB1A">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一、基本情况</w:t>
      </w:r>
    </w:p>
    <w:p w14:paraId="68783C62">
      <w:pPr>
        <w:shd w:val="clear"/>
        <w:tabs>
          <w:tab w:val="left" w:pos="7560"/>
        </w:tabs>
        <w:adjustRightInd w:val="0"/>
        <w:snapToGrid w:val="0"/>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eastAsia="zh-CN"/>
        </w:rPr>
        <w:t>（一）</w:t>
      </w:r>
      <w:r>
        <w:rPr>
          <w:rFonts w:hint="eastAsia" w:eastAsia="仿宋_GB2312" w:cs="Times New Roman"/>
          <w:b/>
          <w:bCs/>
          <w:sz w:val="32"/>
          <w:szCs w:val="32"/>
          <w:highlight w:val="none"/>
          <w:lang w:eastAsia="zh-CN"/>
        </w:rPr>
        <w:t>单位基本情况</w:t>
      </w:r>
    </w:p>
    <w:p w14:paraId="4C899D57">
      <w:pPr>
        <w:shd w:val="clea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1.主要职能</w:t>
      </w:r>
    </w:p>
    <w:p w14:paraId="35EF2AAF">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贯彻执行中央、省委、市委关于新时期党的组织路线。负责全区党的基层组织、干部、人才、老干部队伍建设。</w:t>
      </w:r>
    </w:p>
    <w:p w14:paraId="776E54BE">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负责研究和指导全区党组织建设以及党组织的设置、隶属关系和活动内容、工作方式等有关工作。负责全区干部队伍建设的宏观管理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负责公务员综合管理工作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牵头负责全区人才工作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负责指导全区老干部工作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负责宏观指导和协调人事、机构编制工作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完成区委交办的其他任务。</w:t>
      </w:r>
    </w:p>
    <w:p w14:paraId="2DBB74F9">
      <w:pPr>
        <w:shd w:val="clea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机构设置</w:t>
      </w:r>
    </w:p>
    <w:p w14:paraId="58CBA322">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机构改革后，所属事业单位3个（含3个副科级单位），分别为：区人才服务中心、区党员教育中心、区老干部服务中心。</w:t>
      </w:r>
    </w:p>
    <w:p w14:paraId="5C31E7CB">
      <w:pPr>
        <w:shd w:val="clear"/>
        <w:tabs>
          <w:tab w:val="left" w:pos="7560"/>
        </w:tabs>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人员情况</w:t>
      </w:r>
    </w:p>
    <w:p w14:paraId="741F2961">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现有在职2</w:t>
      </w:r>
      <w:r>
        <w:rPr>
          <w:rFonts w:hint="eastAsia"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lang w:eastAsia="zh-CN"/>
        </w:rPr>
        <w:t>人，退休12人。</w:t>
      </w:r>
    </w:p>
    <w:p w14:paraId="306DF98B">
      <w:pPr>
        <w:keepNext w:val="0"/>
        <w:keepLines w:val="0"/>
        <w:pageBreakBefore w:val="0"/>
        <w:kinsoku/>
        <w:wordWrap/>
        <w:overflowPunct/>
        <w:topLinePunct w:val="0"/>
        <w:bidi w:val="0"/>
        <w:spacing w:line="56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（二）单位年度整体支出绩效目标，部门专项资金绩效目标、其他项目支出（除省级专项资金以外）绩效目标</w:t>
      </w:r>
    </w:p>
    <w:p w14:paraId="34F94035">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继续推进继续推进党员教育、机关党建、市场非公企业党建等工作；继续推进党支部“五化”建设工作；推进新建两新党组织活动，加强村（社区）工作；加强农村基层党组织领导，学习贯彻党的二十大精神稳步向前。</w:t>
      </w:r>
    </w:p>
    <w:p w14:paraId="5C3D8A25">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完成干部档案整理和干部档案数字化建设工作；按要求开展党员干部教育培训工作；按要求对公务员工资系统进行购买和维护；认真开展考务工作和教育培训工作；按上级要求，做好省级科技创新人才、株洲市领军人才资金发放工作；做好新引进高层次人才的安家补贴和慰问；认真开展各类人才交流活动。</w:t>
      </w:r>
    </w:p>
    <w:p w14:paraId="4F2E26B5">
      <w:pPr>
        <w:keepNext w:val="0"/>
        <w:keepLines w:val="0"/>
        <w:pageBreakBefore w:val="0"/>
        <w:widowControl/>
        <w:kinsoku/>
        <w:wordWrap/>
        <w:overflowPunct/>
        <w:topLinePunct w:val="0"/>
        <w:bidi w:val="0"/>
        <w:spacing w:line="560" w:lineRule="exact"/>
        <w:ind w:left="0" w:leftChars="0" w:firstLine="640" w:firstLineChars="200"/>
        <w:jc w:val="both"/>
        <w:textAlignment w:val="auto"/>
        <w:rPr>
          <w:rFonts w:hint="eastAsia"/>
        </w:rPr>
      </w:pPr>
      <w:r>
        <w:rPr>
          <w:rFonts w:hint="default" w:ascii="Times New Roman" w:hAnsi="Times New Roman" w:eastAsia="仿宋_GB2312" w:cs="Times New Roman"/>
          <w:sz w:val="32"/>
          <w:szCs w:val="32"/>
          <w:highlight w:val="none"/>
          <w:lang w:val="en-US" w:eastAsia="zh-CN"/>
        </w:rPr>
        <w:t>3、进一步落实好老干政策性经费，认真开展离退休老干工作，做好离退休干部服务管理；顺利开展老干部的春节团拜活动，做好老年节等重点节日走访慰问活动；认真开展关心下一代工作。</w:t>
      </w:r>
    </w:p>
    <w:p w14:paraId="5591E982">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二、一般公共预算支出情况</w:t>
      </w:r>
    </w:p>
    <w:p w14:paraId="24F247C4">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（一）基本支出情况</w:t>
      </w:r>
    </w:p>
    <w:p w14:paraId="43CCA8D9">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年预算资金1,894.30万元。</w:t>
      </w:r>
    </w:p>
    <w:p w14:paraId="72F81463">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年度单位一般公共预算财政拨款收入2,312.29万元。</w:t>
      </w:r>
    </w:p>
    <w:p w14:paraId="3F0BD364">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年度单位一般公共预算财政拨款支出2,312.29万元。其中：项目支出1,811.75万元，基本支出500.54万元，其中：人员经费433.58万元，公用经费66.96万元。</w:t>
      </w:r>
    </w:p>
    <w:p w14:paraId="2358FEE5">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（二）项目支出情况</w:t>
      </w:r>
    </w:p>
    <w:p w14:paraId="45453DAA">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1.党建经费项目支出</w:t>
      </w:r>
      <w:r>
        <w:rPr>
          <w:rFonts w:hint="eastAsia" w:eastAsia="仿宋_GB2312" w:cs="Times New Roman"/>
          <w:sz w:val="32"/>
          <w:szCs w:val="32"/>
          <w:highlight w:val="none"/>
          <w:lang w:val="en-US" w:eastAsia="zh-CN"/>
        </w:rPr>
        <w:t>363.33</w:t>
      </w:r>
      <w:r>
        <w:rPr>
          <w:rFonts w:hint="eastAsia" w:ascii="Times New Roman" w:hAnsi="Times New Roman" w:eastAsia="仿宋_GB2312" w:cs="Times New Roman"/>
          <w:sz w:val="32"/>
          <w:szCs w:val="32"/>
          <w:highlight w:val="none"/>
        </w:rPr>
        <w:t>万元；2.老干工作经费项目支出</w:t>
      </w:r>
      <w:r>
        <w:rPr>
          <w:rFonts w:hint="eastAsia" w:eastAsia="仿宋_GB2312" w:cs="Times New Roman"/>
          <w:sz w:val="32"/>
          <w:szCs w:val="32"/>
          <w:highlight w:val="none"/>
          <w:lang w:val="en-US" w:eastAsia="zh-CN"/>
        </w:rPr>
        <w:t>76.08</w:t>
      </w:r>
      <w:r>
        <w:rPr>
          <w:rFonts w:hint="eastAsia" w:ascii="Times New Roman" w:hAnsi="Times New Roman" w:eastAsia="仿宋_GB2312" w:cs="Times New Roman"/>
          <w:sz w:val="32"/>
          <w:szCs w:val="32"/>
          <w:highlight w:val="none"/>
        </w:rPr>
        <w:t>万元；3.人才专项项目支出</w:t>
      </w:r>
      <w:r>
        <w:rPr>
          <w:rFonts w:hint="eastAsia" w:eastAsia="仿宋_GB2312" w:cs="Times New Roman"/>
          <w:sz w:val="32"/>
          <w:szCs w:val="32"/>
          <w:highlight w:val="none"/>
          <w:lang w:val="en-US" w:eastAsia="zh-CN"/>
        </w:rPr>
        <w:t>167.16</w:t>
      </w:r>
      <w:r>
        <w:rPr>
          <w:rFonts w:hint="eastAsia" w:ascii="Times New Roman" w:hAnsi="Times New Roman" w:eastAsia="仿宋_GB2312" w:cs="Times New Roman"/>
          <w:sz w:val="32"/>
          <w:szCs w:val="32"/>
          <w:highlight w:val="none"/>
        </w:rPr>
        <w:t>万元；4.村级运转经费</w:t>
      </w:r>
      <w:r>
        <w:rPr>
          <w:rFonts w:hint="eastAsia" w:eastAsia="仿宋_GB2312" w:cs="Times New Roman"/>
          <w:sz w:val="32"/>
          <w:szCs w:val="32"/>
          <w:highlight w:val="none"/>
          <w:lang w:val="en-US" w:eastAsia="zh-CN"/>
        </w:rPr>
        <w:t>1,195.17</w:t>
      </w:r>
      <w:r>
        <w:rPr>
          <w:rFonts w:hint="eastAsia" w:ascii="Times New Roman" w:hAnsi="Times New Roman" w:eastAsia="仿宋_GB2312" w:cs="Times New Roman"/>
          <w:sz w:val="32"/>
          <w:szCs w:val="32"/>
          <w:highlight w:val="none"/>
        </w:rPr>
        <w:t>万元；5.扶持村级集体经济资金</w:t>
      </w:r>
      <w:r>
        <w:rPr>
          <w:rFonts w:hint="eastAsia" w:eastAsia="仿宋_GB2312" w:cs="Times New Roman"/>
          <w:sz w:val="32"/>
          <w:szCs w:val="32"/>
          <w:highlight w:val="none"/>
          <w:lang w:val="en-US" w:eastAsia="zh-CN"/>
        </w:rPr>
        <w:t>10.00</w:t>
      </w:r>
      <w:r>
        <w:rPr>
          <w:rFonts w:hint="eastAsia" w:ascii="Times New Roman" w:hAnsi="Times New Roman" w:eastAsia="仿宋_GB2312" w:cs="Times New Roman"/>
          <w:sz w:val="32"/>
          <w:szCs w:val="32"/>
          <w:highlight w:val="none"/>
        </w:rPr>
        <w:t>万元。</w:t>
      </w:r>
    </w:p>
    <w:p w14:paraId="3E5B28BF">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三、政府性基金预算支出情况</w:t>
      </w:r>
    </w:p>
    <w:p w14:paraId="779BF19C">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无。</w:t>
      </w:r>
    </w:p>
    <w:p w14:paraId="35333AC4">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四、国有资本经营预算支出情况</w:t>
      </w:r>
    </w:p>
    <w:p w14:paraId="42A5CF19">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无。</w:t>
      </w:r>
    </w:p>
    <w:p w14:paraId="376335C0">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五、社会保险基金预算支出情况</w:t>
      </w:r>
    </w:p>
    <w:p w14:paraId="5FBC2B0E">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无。</w:t>
      </w:r>
    </w:p>
    <w:p w14:paraId="3AF58B7C">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六、资金使用及绩效情况（包含单位管理的公共专项）</w:t>
      </w:r>
    </w:p>
    <w:p w14:paraId="037FA8B2">
      <w:pPr>
        <w:keepNext w:val="0"/>
        <w:keepLines w:val="0"/>
        <w:pageBreakBefore w:val="0"/>
        <w:widowControl w:val="0"/>
        <w:shd w:val="clea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（一）整体支出绩效情况</w:t>
      </w:r>
    </w:p>
    <w:p w14:paraId="2AF45642">
      <w:pPr>
        <w:keepNext w:val="0"/>
        <w:keepLines w:val="0"/>
        <w:pageBreakBefore w:val="0"/>
        <w:widowControl w:val="0"/>
        <w:shd w:val="clea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本单位202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年年初预算资金总计</w:t>
      </w:r>
      <w:r>
        <w:rPr>
          <w:rFonts w:hint="eastAsia" w:ascii="Times New Roman" w:hAnsi="Times New Roman" w:eastAsia="仿宋_GB2312" w:cs="Times New Roman"/>
          <w:sz w:val="32"/>
          <w:szCs w:val="32"/>
          <w:highlight w:val="none"/>
          <w:lang w:val="en-US" w:eastAsia="zh-CN"/>
        </w:rPr>
        <w:t>1,894.30</w:t>
      </w:r>
      <w:r>
        <w:rPr>
          <w:rFonts w:hint="eastAsia" w:ascii="Times New Roman" w:hAnsi="Times New Roman" w:eastAsia="仿宋_GB2312" w:cs="Times New Roman"/>
          <w:sz w:val="32"/>
          <w:szCs w:val="32"/>
          <w:highlight w:val="none"/>
        </w:rPr>
        <w:t>万元，实际单位年度总支出2,312.29万元，预算执行率为</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聚焦选优配强，干部“精气神”有效激发。培育选拔年轻干部。共调整干部7批次168人次，其中提拔、进一步使用43人，调任6人，推动党委部门、政府工作部门及镇（街道）领导班子平均年龄较换届前分别下降1.8岁、1岁、1.1岁。推进干部能上能下，对3名工作表现不佳、不适宜担任现职的干部予以调整，稳妥推进1名干部重新使用。抓实干部教育培训。全覆盖开展全区副科级以上干部学习贯彻习近平新时代中国特色社会主义思想和党的二十届三中全会精神专题学习，全年累计培训学员1000余人次。举办首期学制为1个月的中青年干部进修班，对全区33名40岁以下优秀干部定向培养。搭建干事创业舞台。对任职年限较长、经历单一的12名干部轮岗交流，推荐2名优秀年轻干部到市产业链办公室跟班学习，组织12名新提拔副科职领导干部、新录用公务员和事业单位管理人员到信访局跟班学习，抽调58人次干部参与巡视巡察工作，选派400余名干部参与服博会、航博会等志愿服务工作。强化日常管理监督。严格因私出国（境）管理工作，及时清退2例领导干部社会组织不规范兼职情形，召开全区职级干部大会，常态化开展职级干部工作情况督查。激励干部担当作为。提升乡镇（街道）较高职级使用率，注重向基层一线倾斜，完成公务员职级晋升110人次，配备乡镇（街道）较高职级干部12名；对69名2023年度表现优异的机关事业单位干部记三等功，给予589位干部优秀个人表彰。</w:t>
      </w:r>
    </w:p>
    <w:p w14:paraId="304D22C0">
      <w:pPr>
        <w:keepNext w:val="0"/>
        <w:keepLines w:val="0"/>
        <w:pageBreakBefore w:val="0"/>
        <w:widowControl w:val="0"/>
        <w:shd w:val="clea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（二）项目支出绩效情况</w:t>
      </w:r>
    </w:p>
    <w:p w14:paraId="76C89E16">
      <w:pPr>
        <w:pStyle w:val="10"/>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本部门202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年年初预算专项资金共</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eastAsia="zh-CN"/>
        </w:rPr>
        <w:t>个，具体情况如下：</w:t>
      </w:r>
    </w:p>
    <w:p w14:paraId="48BD9D6C">
      <w:pPr>
        <w:keepNext w:val="0"/>
        <w:keepLines w:val="0"/>
        <w:pageBreakBefore w:val="0"/>
        <w:widowControl w:val="0"/>
        <w:shd w:val="clea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一是党建经费：年初预算资金96.8</w:t>
      </w:r>
      <w:r>
        <w:rPr>
          <w:rFonts w:hint="eastAsia" w:eastAsia="仿宋_GB2312" w:cs="Times New Roman"/>
          <w:color w:val="000000"/>
          <w:kern w:val="2"/>
          <w:sz w:val="32"/>
          <w:szCs w:val="32"/>
          <w:highlight w:val="none"/>
          <w:lang w:val="en-US" w:eastAsia="zh-CN" w:bidi="ar-SA"/>
        </w:rPr>
        <w:t>0</w:t>
      </w:r>
      <w:r>
        <w:rPr>
          <w:rFonts w:hint="eastAsia"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sz w:val="32"/>
          <w:szCs w:val="32"/>
          <w:highlight w:val="none"/>
        </w:rPr>
        <w:t>年中执行调</w:t>
      </w:r>
      <w:r>
        <w:rPr>
          <w:rFonts w:hint="eastAsia" w:eastAsia="仿宋_GB2312" w:cs="Times New Roman"/>
          <w:sz w:val="32"/>
          <w:szCs w:val="32"/>
          <w:highlight w:val="none"/>
          <w:lang w:eastAsia="zh-CN"/>
        </w:rPr>
        <w:t>增</w:t>
      </w:r>
      <w:r>
        <w:rPr>
          <w:rFonts w:hint="eastAsia" w:eastAsia="仿宋_GB2312" w:cs="Times New Roman"/>
          <w:sz w:val="32"/>
          <w:szCs w:val="32"/>
          <w:highlight w:val="none"/>
          <w:lang w:val="en-US" w:eastAsia="zh-CN"/>
        </w:rPr>
        <w:t>279.19</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kern w:val="2"/>
          <w:sz w:val="32"/>
          <w:szCs w:val="32"/>
          <w:highlight w:val="none"/>
          <w:lang w:val="en-US" w:eastAsia="zh-CN" w:bidi="ar-SA"/>
        </w:rPr>
        <w:t>实际支出363.33万元</w:t>
      </w:r>
      <w:r>
        <w:rPr>
          <w:rFonts w:hint="eastAsia"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sz w:val="32"/>
          <w:szCs w:val="32"/>
          <w:highlight w:val="none"/>
        </w:rPr>
        <w:t>结余结转12.66万元（其他资金结余）。</w:t>
      </w:r>
      <w:r>
        <w:rPr>
          <w:rFonts w:hint="eastAsia" w:ascii="Times New Roman" w:hAnsi="Times New Roman" w:eastAsia="仿宋_GB2312" w:cs="Times New Roman"/>
          <w:color w:val="000000"/>
          <w:kern w:val="2"/>
          <w:sz w:val="32"/>
          <w:szCs w:val="32"/>
          <w:highlight w:val="none"/>
          <w:lang w:val="en-US" w:eastAsia="zh-CN" w:bidi="ar-SA"/>
        </w:rPr>
        <w:t>该专项资金主要用于党支部“五化”建设回头看，开展党员教育管理工作；远程教育站点维护；“农民大学生培养计划”学费补助；全区共有区本级党代表221名，按要求需拨付代表调研视察、驻室接待、走访慰问工作经费。二是人才发展专项资金：年初预算资金128.25万元，</w:t>
      </w:r>
      <w:r>
        <w:rPr>
          <w:rFonts w:hint="eastAsia" w:ascii="Times New Roman" w:hAnsi="Times New Roman" w:eastAsia="仿宋_GB2312" w:cs="Times New Roman"/>
          <w:sz w:val="32"/>
          <w:szCs w:val="32"/>
          <w:highlight w:val="none"/>
        </w:rPr>
        <w:t>年中执行调</w:t>
      </w:r>
      <w:r>
        <w:rPr>
          <w:rFonts w:hint="eastAsia" w:eastAsia="仿宋_GB2312" w:cs="Times New Roman"/>
          <w:sz w:val="32"/>
          <w:szCs w:val="32"/>
          <w:highlight w:val="none"/>
          <w:lang w:eastAsia="zh-CN"/>
        </w:rPr>
        <w:t>增</w:t>
      </w:r>
      <w:r>
        <w:rPr>
          <w:rFonts w:hint="eastAsia" w:eastAsia="仿宋_GB2312" w:cs="Times New Roman"/>
          <w:sz w:val="32"/>
          <w:szCs w:val="32"/>
          <w:highlight w:val="none"/>
          <w:lang w:val="en-US" w:eastAsia="zh-CN"/>
        </w:rPr>
        <w:t>38.91</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kern w:val="2"/>
          <w:sz w:val="32"/>
          <w:szCs w:val="32"/>
          <w:highlight w:val="none"/>
          <w:lang w:val="en-US" w:eastAsia="zh-CN" w:bidi="ar-SA"/>
        </w:rPr>
        <w:t>实际支出167.16万元，</w:t>
      </w:r>
      <w:r>
        <w:rPr>
          <w:rFonts w:hint="eastAsia" w:ascii="Times New Roman" w:hAnsi="Times New Roman" w:eastAsia="仿宋_GB2312" w:cs="Times New Roman"/>
          <w:sz w:val="32"/>
          <w:szCs w:val="32"/>
          <w:highlight w:val="none"/>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kern w:val="2"/>
          <w:sz w:val="32"/>
          <w:szCs w:val="32"/>
          <w:highlight w:val="none"/>
          <w:lang w:val="en-US" w:eastAsia="zh-CN" w:bidi="ar-SA"/>
        </w:rPr>
        <w:t>该专项资金支出</w:t>
      </w:r>
      <w:r>
        <w:rPr>
          <w:rFonts w:hint="eastAsia" w:eastAsia="仿宋_GB2312" w:cs="Times New Roman"/>
          <w:color w:val="000000"/>
          <w:kern w:val="2"/>
          <w:sz w:val="32"/>
          <w:szCs w:val="32"/>
          <w:highlight w:val="none"/>
          <w:lang w:val="en-US" w:eastAsia="zh-CN" w:bidi="ar-SA"/>
        </w:rPr>
        <w:t>用于</w:t>
      </w:r>
      <w:r>
        <w:rPr>
          <w:rFonts w:hint="eastAsia" w:ascii="Times New Roman" w:hAnsi="Times New Roman" w:eastAsia="仿宋_GB2312" w:cs="Times New Roman"/>
          <w:color w:val="000000"/>
          <w:kern w:val="2"/>
          <w:sz w:val="32"/>
          <w:szCs w:val="32"/>
          <w:highlight w:val="none"/>
          <w:lang w:val="en-US" w:eastAsia="zh-CN" w:bidi="ar-SA"/>
        </w:rPr>
        <w:t>人才活动资金、干部信息化及公务员招录及教育、干部教育培训(含湘江大讲堂22万)、系统推护</w:t>
      </w:r>
      <w:r>
        <w:rPr>
          <w:rFonts w:hint="eastAsia" w:eastAsia="仿宋_GB2312" w:cs="Times New Roman"/>
          <w:color w:val="000000"/>
          <w:kern w:val="2"/>
          <w:sz w:val="32"/>
          <w:szCs w:val="32"/>
          <w:highlight w:val="none"/>
          <w:lang w:val="en-US" w:eastAsia="zh-CN" w:bidi="ar-SA"/>
        </w:rPr>
        <w:t>费等。</w:t>
      </w:r>
      <w:r>
        <w:rPr>
          <w:rFonts w:hint="eastAsia" w:ascii="Times New Roman" w:hAnsi="Times New Roman" w:eastAsia="仿宋_GB2312" w:cs="Times New Roman"/>
          <w:color w:val="000000"/>
          <w:kern w:val="2"/>
          <w:sz w:val="32"/>
          <w:szCs w:val="32"/>
          <w:highlight w:val="none"/>
          <w:lang w:val="en-US" w:eastAsia="zh-CN" w:bidi="ar-SA"/>
        </w:rPr>
        <w:t>三是老干经费，年初预算资金107.55万元，</w:t>
      </w:r>
      <w:r>
        <w:rPr>
          <w:rFonts w:hint="eastAsia" w:ascii="Times New Roman" w:hAnsi="Times New Roman" w:eastAsia="仿宋_GB2312" w:cs="Times New Roman"/>
          <w:sz w:val="32"/>
          <w:szCs w:val="32"/>
          <w:highlight w:val="none"/>
        </w:rPr>
        <w:t>年中执行调减</w:t>
      </w:r>
      <w:r>
        <w:rPr>
          <w:rFonts w:hint="eastAsia" w:eastAsia="仿宋_GB2312" w:cs="Times New Roman"/>
          <w:sz w:val="32"/>
          <w:szCs w:val="32"/>
          <w:highlight w:val="none"/>
          <w:lang w:val="en-US" w:eastAsia="zh-CN"/>
        </w:rPr>
        <w:t>31.47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kern w:val="2"/>
          <w:sz w:val="32"/>
          <w:szCs w:val="32"/>
          <w:highlight w:val="none"/>
          <w:lang w:val="en-US" w:eastAsia="zh-CN" w:bidi="ar-SA"/>
        </w:rPr>
        <w:t>实际支出76.08万元，</w:t>
      </w:r>
      <w:r>
        <w:rPr>
          <w:rFonts w:hint="eastAsia" w:ascii="Times New Roman" w:hAnsi="Times New Roman" w:eastAsia="仿宋_GB2312" w:cs="Times New Roman"/>
          <w:sz w:val="32"/>
          <w:szCs w:val="32"/>
          <w:highlight w:val="none"/>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color w:val="000000"/>
          <w:kern w:val="2"/>
          <w:sz w:val="32"/>
          <w:szCs w:val="32"/>
          <w:highlight w:val="none"/>
          <w:lang w:val="en-US" w:eastAsia="zh-CN" w:bidi="ar-SA"/>
        </w:rPr>
        <w:t>该专项资金支出用于离退休干部政治、生活待遇充分落实，离退休干部服务管理工作再上水平，离退休干部独特作用充分发挥。</w:t>
      </w:r>
      <w:r>
        <w:rPr>
          <w:rFonts w:hint="eastAsia" w:eastAsia="仿宋_GB2312" w:cs="Times New Roman"/>
          <w:color w:val="000000"/>
          <w:kern w:val="2"/>
          <w:sz w:val="32"/>
          <w:szCs w:val="32"/>
          <w:highlight w:val="none"/>
          <w:lang w:val="en-US" w:eastAsia="zh-CN" w:bidi="ar-SA"/>
        </w:rPr>
        <w:t>四是村级运转经费，年初预算资金1,128.00万元，年中执行调减67.17万元，实际支出1,195.17万元，结余结转0万元。该专项资金支出用于保障全区170名村干部正常待遇以及确保32个村级党组织正常运转。</w:t>
      </w:r>
    </w:p>
    <w:p w14:paraId="1BACDE2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另外，实际决算项目</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个，有</w:t>
      </w: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个项目未列入年初预算。坚持以习近平新时代中国特色社会主义思想为指导，认真贯彻落实中央、省</w:t>
      </w:r>
      <w:r>
        <w:rPr>
          <w:rFonts w:hint="eastAsia" w:eastAsia="仿宋_GB2312" w:cs="Times New Roman"/>
          <w:sz w:val="32"/>
          <w:szCs w:val="32"/>
          <w:highlight w:val="none"/>
          <w:lang w:eastAsia="zh-CN"/>
        </w:rPr>
        <w:t>委</w:t>
      </w:r>
      <w:r>
        <w:rPr>
          <w:rFonts w:hint="eastAsia" w:ascii="Times New Roman" w:hAnsi="Times New Roman" w:eastAsia="仿宋_GB2312" w:cs="Times New Roman"/>
          <w:sz w:val="32"/>
          <w:szCs w:val="32"/>
          <w:highlight w:val="none"/>
        </w:rPr>
        <w:t>、市</w:t>
      </w:r>
      <w:r>
        <w:rPr>
          <w:rFonts w:hint="eastAsia" w:eastAsia="仿宋_GB2312" w:cs="Times New Roman"/>
          <w:sz w:val="32"/>
          <w:szCs w:val="32"/>
          <w:highlight w:val="none"/>
          <w:lang w:eastAsia="zh-CN"/>
        </w:rPr>
        <w:t>委、区委</w:t>
      </w:r>
      <w:r>
        <w:rPr>
          <w:rFonts w:hint="eastAsia" w:ascii="Times New Roman" w:hAnsi="Times New Roman" w:eastAsia="仿宋_GB2312" w:cs="Times New Roman"/>
          <w:sz w:val="32"/>
          <w:szCs w:val="32"/>
          <w:highlight w:val="none"/>
        </w:rPr>
        <w:t>决策部署以及各级会议精神，以党建引领为抓手，不断提升乡村产业发展水平、乡村建设水平、乡村治理水平为重点，抢抓机遇，主动作为，统筹推进，重点突破，大力开展乡村振兴工作</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具体情况如下：</w:t>
      </w:r>
    </w:p>
    <w:p w14:paraId="2E0A922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扶持村级集体经济资金10.00万元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结余结转</w:t>
      </w:r>
      <w:r>
        <w:rPr>
          <w:rFonts w:hint="eastAsia"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主要用于</w:t>
      </w:r>
      <w:r>
        <w:rPr>
          <w:rFonts w:hint="eastAsia" w:ascii="Times New Roman" w:hAnsi="Times New Roman" w:eastAsia="仿宋_GB2312" w:cs="Times New Roman"/>
          <w:color w:val="auto"/>
          <w:sz w:val="32"/>
          <w:szCs w:val="32"/>
          <w:highlight w:val="none"/>
          <w:lang w:val="en-US" w:eastAsia="zh-CN"/>
        </w:rPr>
        <w:t>白关镇姚家坝村中央扶持资金补助</w:t>
      </w:r>
      <w:r>
        <w:rPr>
          <w:rFonts w:hint="eastAsia" w:eastAsia="仿宋_GB2312" w:cs="Times New Roman"/>
          <w:color w:val="auto"/>
          <w:sz w:val="32"/>
          <w:szCs w:val="32"/>
          <w:highlight w:val="none"/>
          <w:lang w:val="en-US" w:eastAsia="zh-CN"/>
        </w:rPr>
        <w:t>。</w:t>
      </w:r>
    </w:p>
    <w:p w14:paraId="64869EAF">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14:paraId="6911A8AE">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09A9E1A4">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八、下一步改进措施</w:t>
      </w:r>
    </w:p>
    <w:p w14:paraId="561A3F77">
      <w:pPr>
        <w:shd w:val="clea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无。</w:t>
      </w:r>
    </w:p>
    <w:p w14:paraId="675A47C6">
      <w:pPr>
        <w:shd w:val="clear"/>
        <w:tabs>
          <w:tab w:val="left" w:pos="7560"/>
        </w:tabs>
        <w:adjustRightInd w:val="0"/>
        <w:snapToGrid w:val="0"/>
        <w:spacing w:line="56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九、部门整体支出绩效自评结果拟应用和公开情况</w:t>
      </w:r>
    </w:p>
    <w:p w14:paraId="7F0BDA1A">
      <w:pPr>
        <w:keepNext w:val="0"/>
        <w:keepLines w:val="0"/>
        <w:pageBreakBefore w:val="0"/>
        <w:widowControl w:val="0"/>
        <w:shd w:val="clea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通过绩效自评，进一步掌握了资金使用情况和取得的效果。</w:t>
      </w:r>
    </w:p>
    <w:p w14:paraId="0737FC2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本单位没有独立网站，此次绩效自评报告将与202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年部门决算一起在芦淞区政府信息公开专栏中公开，接受群众监督。</w:t>
      </w:r>
    </w:p>
    <w:p w14:paraId="266E2535">
      <w:pPr>
        <w:spacing w:line="560" w:lineRule="exact"/>
        <w:ind w:firstLine="640" w:firstLineChars="200"/>
        <w:rPr>
          <w:rFonts w:ascii="Times New Roman" w:hAnsi="Times New Roman" w:eastAsia="仿宋_GB2312" w:cs="Times New Roman"/>
          <w:sz w:val="32"/>
          <w:szCs w:val="32"/>
          <w:highlight w:val="none"/>
        </w:rPr>
      </w:pPr>
    </w:p>
    <w:p w14:paraId="4F5D4981">
      <w:pPr>
        <w:shd w:val="clear"/>
        <w:spacing w:after="0" w:afterLines="-2147483648" w:line="240" w:lineRule="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十、其他需要说明的情况</w:t>
      </w:r>
    </w:p>
    <w:p w14:paraId="604B69DA">
      <w:pPr>
        <w:rPr>
          <w:rFonts w:hint="eastAsia" w:ascii="Times New Roman" w:hAnsi="Times New Roman" w:eastAsia="黑体"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 xml:space="preserve">  无。</w:t>
      </w:r>
      <w:r>
        <w:rPr>
          <w:rFonts w:ascii="Times New Roman" w:hAnsi="Times New Roman" w:eastAsia="黑体" w:cs="Times New Roman"/>
          <w:sz w:val="32"/>
          <w:szCs w:val="32"/>
          <w:highlight w:val="none"/>
        </w:rPr>
        <w:br w:type="page"/>
      </w:r>
    </w:p>
    <w:sectPr>
      <w:footerReference r:id="rId3" w:type="default"/>
      <w:pgSz w:w="11906" w:h="16838"/>
      <w:pgMar w:top="2098" w:right="1531" w:bottom="1984" w:left="1531"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53AC">
    <w:pPr>
      <w:pStyle w:val="5"/>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7738BEE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cf38bc32-c484-428b-89a9-938d39f8ee07"/>
  </w:docVars>
  <w:rsids>
    <w:rsidRoot w:val="3B7EF2ED"/>
    <w:rsid w:val="006B73A6"/>
    <w:rsid w:val="019C3E3B"/>
    <w:rsid w:val="02FA436A"/>
    <w:rsid w:val="05E37BAA"/>
    <w:rsid w:val="08134534"/>
    <w:rsid w:val="08C6352F"/>
    <w:rsid w:val="08EA06EB"/>
    <w:rsid w:val="094208F3"/>
    <w:rsid w:val="0E4E3A32"/>
    <w:rsid w:val="0EA655CA"/>
    <w:rsid w:val="12597257"/>
    <w:rsid w:val="12DB620E"/>
    <w:rsid w:val="131B400F"/>
    <w:rsid w:val="13851E3E"/>
    <w:rsid w:val="14A86A48"/>
    <w:rsid w:val="1A6C22C7"/>
    <w:rsid w:val="1AF45C8C"/>
    <w:rsid w:val="1B8826F1"/>
    <w:rsid w:val="1B9D58C7"/>
    <w:rsid w:val="1F3635E5"/>
    <w:rsid w:val="1F3B2C7D"/>
    <w:rsid w:val="1F6C5F03"/>
    <w:rsid w:val="20647654"/>
    <w:rsid w:val="2115303D"/>
    <w:rsid w:val="215A033C"/>
    <w:rsid w:val="21F05090"/>
    <w:rsid w:val="234C5D05"/>
    <w:rsid w:val="23855713"/>
    <w:rsid w:val="265A4302"/>
    <w:rsid w:val="26AD4416"/>
    <w:rsid w:val="27514CF0"/>
    <w:rsid w:val="29E83175"/>
    <w:rsid w:val="2A263E66"/>
    <w:rsid w:val="2CC8579F"/>
    <w:rsid w:val="2D927BB3"/>
    <w:rsid w:val="2E5013CC"/>
    <w:rsid w:val="30856BAF"/>
    <w:rsid w:val="30B50B57"/>
    <w:rsid w:val="32B93363"/>
    <w:rsid w:val="32D94A99"/>
    <w:rsid w:val="32E73A00"/>
    <w:rsid w:val="32F11C30"/>
    <w:rsid w:val="340E2FE4"/>
    <w:rsid w:val="348C463E"/>
    <w:rsid w:val="3531689F"/>
    <w:rsid w:val="37701EC6"/>
    <w:rsid w:val="37AB62CE"/>
    <w:rsid w:val="3885236D"/>
    <w:rsid w:val="3A865F28"/>
    <w:rsid w:val="3B7EF2ED"/>
    <w:rsid w:val="3CEE19C5"/>
    <w:rsid w:val="3F47465D"/>
    <w:rsid w:val="3F7D3E1F"/>
    <w:rsid w:val="4073076C"/>
    <w:rsid w:val="41264360"/>
    <w:rsid w:val="420C084E"/>
    <w:rsid w:val="4256380C"/>
    <w:rsid w:val="42956CCA"/>
    <w:rsid w:val="44125EDD"/>
    <w:rsid w:val="44EE6B1E"/>
    <w:rsid w:val="456556D1"/>
    <w:rsid w:val="47D51995"/>
    <w:rsid w:val="480F7446"/>
    <w:rsid w:val="484703E9"/>
    <w:rsid w:val="4917669E"/>
    <w:rsid w:val="49511398"/>
    <w:rsid w:val="49585EB4"/>
    <w:rsid w:val="4BB768E2"/>
    <w:rsid w:val="4CA52A63"/>
    <w:rsid w:val="4CBD61DA"/>
    <w:rsid w:val="4CF15BCB"/>
    <w:rsid w:val="4DF44A1C"/>
    <w:rsid w:val="50F93660"/>
    <w:rsid w:val="52D801E9"/>
    <w:rsid w:val="542067C5"/>
    <w:rsid w:val="555C5501"/>
    <w:rsid w:val="568046F6"/>
    <w:rsid w:val="56C97471"/>
    <w:rsid w:val="577D2735"/>
    <w:rsid w:val="5C1E0493"/>
    <w:rsid w:val="5CA14C15"/>
    <w:rsid w:val="5CF277FA"/>
    <w:rsid w:val="5E50292A"/>
    <w:rsid w:val="631443C4"/>
    <w:rsid w:val="6354064A"/>
    <w:rsid w:val="654149DF"/>
    <w:rsid w:val="672C45DB"/>
    <w:rsid w:val="68892EBB"/>
    <w:rsid w:val="6C2A30DF"/>
    <w:rsid w:val="6CAD6DF8"/>
    <w:rsid w:val="6D7224E0"/>
    <w:rsid w:val="6EAF0C0D"/>
    <w:rsid w:val="6EEA5861"/>
    <w:rsid w:val="6FEC6252"/>
    <w:rsid w:val="70863ED8"/>
    <w:rsid w:val="73351E1C"/>
    <w:rsid w:val="737D5782"/>
    <w:rsid w:val="74AA1714"/>
    <w:rsid w:val="74B14503"/>
    <w:rsid w:val="764C2C2B"/>
    <w:rsid w:val="78560FFF"/>
    <w:rsid w:val="78F11E97"/>
    <w:rsid w:val="79005C4D"/>
    <w:rsid w:val="796830DB"/>
    <w:rsid w:val="7A326F58"/>
    <w:rsid w:val="7B4C39DA"/>
    <w:rsid w:val="7C415CD2"/>
    <w:rsid w:val="7C604A57"/>
    <w:rsid w:val="7CBD206A"/>
    <w:rsid w:val="7D4C2355"/>
    <w:rsid w:val="7E454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ind w:firstLine="200" w:firstLineChars="200"/>
    </w:pPr>
    <w:rPr>
      <w:rFonts w:eastAsia="仿宋_GB2312"/>
      <w:sz w:val="30"/>
      <w:szCs w:val="3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正文文字"/>
    <w:basedOn w:val="1"/>
    <w:next w:val="1"/>
    <w:qFormat/>
    <w:uiPriority w:val="99"/>
    <w:pPr>
      <w:spacing w:after="120"/>
    </w:pPr>
  </w:style>
  <w:style w:type="paragraph" w:customStyle="1"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2411</Words>
  <Characters>2634</Characters>
  <Lines>0</Lines>
  <Paragraphs>0</Paragraphs>
  <TotalTime>0</TotalTime>
  <ScaleCrop>false</ScaleCrop>
  <LinksUpToDate>false</LinksUpToDate>
  <CharactersWithSpaces>2640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宗</cp:lastModifiedBy>
  <dcterms:modified xsi:type="dcterms:W3CDTF">2025-12-17T02:11:29Z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60576F5D61B94712AEF7A9909053169A_13</vt:lpwstr>
  </property>
</Properties>
</file>