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41778">
      <w:pPr>
        <w:jc w:val="center"/>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eastAsia="zh-CN"/>
        </w:rPr>
        <w:t>芦淞区商务局</w:t>
      </w:r>
      <w:r>
        <w:rPr>
          <w:rFonts w:eastAsia="方正小标宋_GBK"/>
          <w:sz w:val="48"/>
          <w:szCs w:val="48"/>
        </w:rPr>
        <w:t>部门（单位）</w:t>
      </w:r>
    </w:p>
    <w:p w14:paraId="4B79F359">
      <w:pPr>
        <w:jc w:val="center"/>
        <w:rPr>
          <w:rFonts w:eastAsia="方正小标宋_GBK"/>
          <w:sz w:val="48"/>
          <w:szCs w:val="48"/>
        </w:rPr>
      </w:pPr>
      <w:r>
        <w:rPr>
          <w:rFonts w:hint="eastAsia" w:eastAsia="方正小标宋_GBK"/>
          <w:sz w:val="48"/>
          <w:szCs w:val="48"/>
          <w:lang w:eastAsia="zh-CN"/>
        </w:rPr>
        <w:t>整体</w:t>
      </w:r>
      <w:r>
        <w:rPr>
          <w:rFonts w:eastAsia="方正小标宋_GBK"/>
          <w:sz w:val="48"/>
          <w:szCs w:val="48"/>
        </w:rPr>
        <w:t>支出</w:t>
      </w:r>
    </w:p>
    <w:p w14:paraId="3EEB206C">
      <w:pPr>
        <w:jc w:val="center"/>
        <w:rPr>
          <w:rFonts w:eastAsia="方正小标宋_GBK"/>
          <w:sz w:val="48"/>
          <w:szCs w:val="48"/>
        </w:rPr>
      </w:pPr>
      <w:r>
        <w:rPr>
          <w:rFonts w:eastAsia="方正小标宋_GBK"/>
          <w:sz w:val="48"/>
          <w:szCs w:val="48"/>
        </w:rPr>
        <w:t>绩效自评报告</w:t>
      </w:r>
    </w:p>
    <w:p w14:paraId="6B27C7BF">
      <w:pPr>
        <w:jc w:val="center"/>
        <w:rPr>
          <w:rFonts w:eastAsia="黑体"/>
          <w:sz w:val="32"/>
          <w:szCs w:val="32"/>
        </w:rPr>
      </w:pPr>
    </w:p>
    <w:p w14:paraId="5CF5C2D2">
      <w:pPr>
        <w:jc w:val="center"/>
        <w:rPr>
          <w:rFonts w:eastAsia="黑体"/>
          <w:sz w:val="32"/>
          <w:szCs w:val="32"/>
        </w:rPr>
      </w:pPr>
    </w:p>
    <w:p w14:paraId="2E2D20D0">
      <w:pPr>
        <w:jc w:val="center"/>
        <w:rPr>
          <w:rFonts w:eastAsia="黑体"/>
          <w:sz w:val="32"/>
          <w:szCs w:val="32"/>
        </w:rPr>
      </w:pPr>
    </w:p>
    <w:p w14:paraId="35205765">
      <w:pPr>
        <w:jc w:val="center"/>
        <w:rPr>
          <w:rFonts w:eastAsia="黑体"/>
          <w:sz w:val="32"/>
          <w:szCs w:val="32"/>
        </w:rPr>
      </w:pPr>
    </w:p>
    <w:p w14:paraId="168EE803">
      <w:pPr>
        <w:jc w:val="center"/>
        <w:rPr>
          <w:rFonts w:eastAsia="黑体"/>
          <w:sz w:val="32"/>
          <w:szCs w:val="32"/>
        </w:rPr>
      </w:pPr>
    </w:p>
    <w:p w14:paraId="7ED02D51">
      <w:pPr>
        <w:jc w:val="center"/>
        <w:rPr>
          <w:rFonts w:eastAsia="黑体"/>
          <w:sz w:val="32"/>
          <w:szCs w:val="32"/>
        </w:rPr>
      </w:pPr>
    </w:p>
    <w:p w14:paraId="0C97339A">
      <w:pPr>
        <w:jc w:val="center"/>
        <w:rPr>
          <w:rFonts w:eastAsia="黑体"/>
          <w:sz w:val="32"/>
          <w:szCs w:val="32"/>
        </w:rPr>
      </w:pPr>
    </w:p>
    <w:p w14:paraId="4B60B59D">
      <w:pPr>
        <w:ind w:firstLine="880" w:firstLineChars="200"/>
        <w:jc w:val="center"/>
        <w:rPr>
          <w:rFonts w:eastAsia="黑体"/>
          <w:sz w:val="44"/>
          <w:szCs w:val="44"/>
        </w:rPr>
      </w:pPr>
    </w:p>
    <w:p w14:paraId="2FBE4ED9">
      <w:pPr>
        <w:ind w:firstLine="880" w:firstLineChars="200"/>
        <w:jc w:val="center"/>
        <w:rPr>
          <w:rFonts w:eastAsia="黑体"/>
          <w:sz w:val="44"/>
          <w:szCs w:val="44"/>
        </w:rPr>
      </w:pPr>
    </w:p>
    <w:p w14:paraId="725E6E34">
      <w:pPr>
        <w:ind w:firstLine="880" w:firstLineChars="200"/>
        <w:jc w:val="center"/>
        <w:rPr>
          <w:rFonts w:eastAsia="黑体"/>
          <w:sz w:val="44"/>
          <w:szCs w:val="44"/>
        </w:rPr>
      </w:pPr>
    </w:p>
    <w:p w14:paraId="156AF85E">
      <w:pPr>
        <w:ind w:firstLine="720" w:firstLineChars="200"/>
        <w:jc w:val="center"/>
        <w:rPr>
          <w:rFonts w:eastAsia="黑体"/>
          <w:sz w:val="36"/>
          <w:szCs w:val="36"/>
        </w:rPr>
      </w:pPr>
      <w:r>
        <w:rPr>
          <w:rFonts w:eastAsia="黑体"/>
          <w:sz w:val="36"/>
          <w:szCs w:val="36"/>
        </w:rPr>
        <w:t>单位名称（盖章）：</w:t>
      </w:r>
    </w:p>
    <w:p w14:paraId="793A2D3F">
      <w:pPr>
        <w:jc w:val="center"/>
        <w:rPr>
          <w:rFonts w:eastAsia="黑体"/>
          <w:sz w:val="36"/>
          <w:szCs w:val="36"/>
        </w:rPr>
      </w:pPr>
    </w:p>
    <w:p w14:paraId="7573603A">
      <w:pPr>
        <w:jc w:val="center"/>
        <w:rPr>
          <w:rFonts w:eastAsia="黑体"/>
          <w:sz w:val="32"/>
          <w:szCs w:val="32"/>
        </w:rPr>
      </w:pPr>
    </w:p>
    <w:p w14:paraId="73904568">
      <w:pPr>
        <w:jc w:val="center"/>
        <w:rPr>
          <w:rFonts w:eastAsia="黑体"/>
          <w:sz w:val="32"/>
          <w:szCs w:val="32"/>
        </w:rPr>
      </w:pPr>
    </w:p>
    <w:p w14:paraId="451BE6CE">
      <w:pPr>
        <w:jc w:val="center"/>
        <w:rPr>
          <w:rFonts w:eastAsia="黑体"/>
          <w:sz w:val="32"/>
          <w:szCs w:val="32"/>
        </w:rPr>
      </w:pPr>
    </w:p>
    <w:p w14:paraId="4C830A49">
      <w:pPr>
        <w:jc w:val="center"/>
        <w:rPr>
          <w:rFonts w:eastAsia="黑体"/>
          <w:sz w:val="32"/>
          <w:szCs w:val="32"/>
        </w:rPr>
      </w:pPr>
    </w:p>
    <w:p w14:paraId="354A0679">
      <w:pPr>
        <w:jc w:val="center"/>
        <w:rPr>
          <w:rFonts w:eastAsia="黑体"/>
          <w:sz w:val="32"/>
          <w:szCs w:val="32"/>
        </w:rPr>
      </w:pPr>
    </w:p>
    <w:p w14:paraId="3BEC5408">
      <w:pPr>
        <w:jc w:val="center"/>
        <w:rPr>
          <w:rFonts w:eastAsia="黑体"/>
          <w:sz w:val="32"/>
          <w:szCs w:val="32"/>
        </w:rPr>
      </w:pPr>
    </w:p>
    <w:p w14:paraId="21004C77">
      <w:pPr>
        <w:jc w:val="center"/>
        <w:rPr>
          <w:rFonts w:eastAsia="仿宋_GB2312"/>
          <w:sz w:val="32"/>
          <w:szCs w:val="32"/>
        </w:rPr>
      </w:pPr>
      <w:r>
        <w:rPr>
          <w:rFonts w:eastAsia="仿宋_GB2312"/>
          <w:sz w:val="32"/>
          <w:szCs w:val="32"/>
        </w:rPr>
        <w:t>（此页为封面）</w:t>
      </w:r>
    </w:p>
    <w:p w14:paraId="07F3A3C5">
      <w:pPr>
        <w:jc w:val="center"/>
        <w:rPr>
          <w:rFonts w:eastAsia="仿宋_GB2312"/>
          <w:sz w:val="32"/>
          <w:szCs w:val="32"/>
        </w:rPr>
      </w:pPr>
    </w:p>
    <w:p w14:paraId="69EC0CC8">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B0EEF50">
      <w:pPr>
        <w:spacing w:line="600" w:lineRule="exact"/>
        <w:ind w:firstLine="643" w:firstLineChars="200"/>
        <w:rPr>
          <w:rFonts w:eastAsia="楷体_GB2312"/>
          <w:b/>
          <w:sz w:val="32"/>
          <w:szCs w:val="32"/>
        </w:rPr>
      </w:pPr>
      <w:r>
        <w:rPr>
          <w:rFonts w:eastAsia="楷体_GB2312"/>
          <w:b/>
          <w:sz w:val="32"/>
          <w:szCs w:val="32"/>
        </w:rPr>
        <w:t>（一）部门（单位）基本情况</w:t>
      </w:r>
    </w:p>
    <w:p w14:paraId="7723BB1C">
      <w:pPr>
        <w:tabs>
          <w:tab w:val="left" w:pos="7560"/>
        </w:tabs>
        <w:adjustRightInd w:val="0"/>
        <w:snapToGrid w:val="0"/>
        <w:spacing w:line="560" w:lineRule="exact"/>
        <w:ind w:firstLine="640" w:firstLineChars="200"/>
        <w:rPr>
          <w:rFonts w:hint="eastAsia" w:ascii="Times New Roman" w:hAnsi="Times New Roman" w:eastAsia="仿宋_GB2312" w:cs="Times New Roman"/>
          <w:bCs w:val="0"/>
          <w:kern w:val="2"/>
          <w:sz w:val="32"/>
          <w:szCs w:val="32"/>
          <w:highlight w:val="none"/>
          <w:lang w:val="en-US" w:eastAsia="zh-CN"/>
        </w:rPr>
      </w:pPr>
      <w:r>
        <w:rPr>
          <w:rFonts w:hint="eastAsia" w:ascii="Times New Roman" w:hAnsi="Times New Roman" w:eastAsia="仿宋_GB2312" w:cs="Times New Roman"/>
          <w:bCs w:val="0"/>
          <w:kern w:val="2"/>
          <w:sz w:val="32"/>
          <w:szCs w:val="32"/>
          <w:highlight w:val="none"/>
          <w:lang w:eastAsia="zh-CN"/>
        </w:rPr>
        <w:t>株洲市芦淞区商务局</w:t>
      </w:r>
      <w:r>
        <w:rPr>
          <w:rFonts w:hint="eastAsia" w:ascii="Times New Roman" w:hAnsi="Times New Roman" w:eastAsia="仿宋_GB2312" w:cs="Times New Roman"/>
          <w:bCs w:val="0"/>
          <w:kern w:val="2"/>
          <w:sz w:val="32"/>
          <w:szCs w:val="32"/>
          <w:highlight w:val="none"/>
        </w:rPr>
        <w:t>内设机构设置。株洲市芦淞区商务局内设机构包括：办公室、市场建设与调节股、对外贸易和经济合作股、投资促进服务中心</w:t>
      </w:r>
      <w:r>
        <w:rPr>
          <w:rFonts w:hint="eastAsia" w:ascii="Times New Roman" w:hAnsi="Times New Roman" w:eastAsia="仿宋_GB2312" w:cs="Times New Roman"/>
          <w:bCs w:val="0"/>
          <w:kern w:val="2"/>
          <w:sz w:val="32"/>
          <w:szCs w:val="32"/>
          <w:highlight w:val="none"/>
          <w:lang w:eastAsia="zh-CN"/>
        </w:rPr>
        <w:t>。在职人员</w:t>
      </w:r>
      <w:r>
        <w:rPr>
          <w:rFonts w:hint="eastAsia" w:ascii="Times New Roman" w:hAnsi="Times New Roman" w:eastAsia="仿宋_GB2312" w:cs="Times New Roman"/>
          <w:bCs w:val="0"/>
          <w:kern w:val="2"/>
          <w:sz w:val="32"/>
          <w:szCs w:val="32"/>
          <w:highlight w:val="none"/>
          <w:lang w:val="en-US" w:eastAsia="zh-CN"/>
        </w:rPr>
        <w:t>14人，无固期人员1人。</w:t>
      </w:r>
    </w:p>
    <w:p w14:paraId="136BB361">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根据芦办发〔2019〕33 号文件的规定，我部门的主要职责是：</w:t>
      </w:r>
    </w:p>
    <w:p w14:paraId="471289F2">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一）贯彻落实国家、省、市有关内外贸易、国际经济合作和招商引资的法律、法规和方针、政策；拟订全区贸易中长期发展规划、规定、办法及措施；拟订并组织实施全区加快商贸流通业发展的地方性扶持措施。</w:t>
      </w:r>
    </w:p>
    <w:p w14:paraId="35437B0A">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二）研究提出流通体制改革意见；制定区域内市场发展规划，指导、协调区域内大型市场、重点市场的建设管理；贯彻落实市商品蔬菜专业市场建设发展规划和布局要求，协助监督管理商品蔬菜的流通工作；协助开展市商务局归口的商品流通业和商贸服务业的监督管理工作；推进流通产业结构调整和发展连锁经营、物流配送、电子商务等现代流通方式，指导流通行业管理工作；指导全区流通领域信息网和电子商务建设。</w:t>
      </w:r>
    </w:p>
    <w:p w14:paraId="3D9CDB40">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三）规范流通领域市场体系和流通秩序，建立健全统一、开放、竞争、有序的市场体系；负责全区内外贸易的统计及信息收集、整理和上报工作；负责区域市场预测、预警和信息上报，拟订市场运行及调控的措施和建议，组织协调市场运行的有关重大问题；配合开展监测分析市场运行和重点商品供求状况工作、组织实施重要消费品市场调控和重要生产资料流通管理工作。</w:t>
      </w:r>
    </w:p>
    <w:p w14:paraId="723F5FFA">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四）研究制定全区会展经济的发展规划，组织参与商务部、省人民政府、市人民政府举办的内外贸易促销活动和招商引资、对外经济技术合作活动；组织指导协调以芦淞区名义举办的各种内外贸交易会、展览会、展销会和招商引资等活动；指导全区各类商品商贸行业协会、学会等社团组织工作。</w:t>
      </w:r>
    </w:p>
    <w:p w14:paraId="7DE3A625">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（五）收集、分析投资信息，建立项目信息数据库，承担招商统计、信息发布、信息咨询有关工作；负责编制、储备和推介招商项目；建立流通领域信息网络和电子招商网络，拓宽招商渠道。</w:t>
      </w:r>
    </w:p>
    <w:p w14:paraId="6E61FCDE">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（六）负责编制内外资金年度招商引资目标计划和工作方案，对招商引资方案组织落实并完成引资任务；协调、调度全区内外资签约项目的履约落地工作；参与制定全区对外招商引资优惠政策。</w:t>
      </w:r>
    </w:p>
    <w:p w14:paraId="3167501B">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七）指导全区外商投资工作，负责核准重大外商投资项目的合同章程及法律特别规定的重大变更事项；监督检查外商投资企业执行有关法律法规和合同章程的情况；组织协调外来投资者的考察、洽谈，并提供投资咨询及跟踪服务；指导和管理外商投资企业的进出口工作。</w:t>
      </w:r>
    </w:p>
    <w:p w14:paraId="1A22A247">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（八）负责编制、储备和推介招商项目；收集、分析投资信息，建立项目信息数据库；承担招商统计、信息发布、信息咨询有关工作。</w:t>
      </w:r>
    </w:p>
    <w:p w14:paraId="7B6AE85B">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（九）配合开展全市进出口商品管理的有关工作；落实服务贸易、促进服务出口和服务外包发展的规划。</w:t>
      </w:r>
    </w:p>
    <w:p w14:paraId="566CE2B7">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（十）完成区委、区政府交办的其他任务。</w:t>
      </w:r>
    </w:p>
    <w:p w14:paraId="159A4D4E">
      <w:pPr>
        <w:tabs>
          <w:tab w:val="left" w:pos="7560"/>
        </w:tabs>
        <w:adjustRightInd w:val="0"/>
        <w:snapToGrid w:val="0"/>
        <w:spacing w:line="560" w:lineRule="exact"/>
        <w:ind w:firstLine="640" w:firstLineChars="200"/>
        <w:rPr>
          <w:rFonts w:eastAsia="楷体_GB2312"/>
          <w:b/>
          <w:sz w:val="32"/>
          <w:szCs w:val="32"/>
        </w:rPr>
      </w:pPr>
      <w:r>
        <w:rPr>
          <w:rFonts w:hint="eastAsia" w:ascii="Times New Roman" w:hAnsi="Times New Roman" w:eastAsia="仿宋_GB2312" w:cs="Times New Roman"/>
          <w:kern w:val="2"/>
          <w:sz w:val="32"/>
          <w:szCs w:val="32"/>
          <w:lang w:val="en-US" w:eastAsia="zh-CN"/>
        </w:rPr>
        <w:t>根据芦编办〔2022〕16号文件，我局的粮食和物资储股管理职责已于2022年划入区发展和改革局。</w:t>
      </w:r>
    </w:p>
    <w:p w14:paraId="03332B0D">
      <w:pPr>
        <w:numPr>
          <w:ilvl w:val="0"/>
          <w:numId w:val="1"/>
        </w:numPr>
        <w:spacing w:line="600" w:lineRule="exact"/>
        <w:ind w:firstLine="643" w:firstLineChars="200"/>
        <w:rPr>
          <w:rFonts w:hint="eastAsia" w:eastAsia="楷体_GB2312"/>
          <w:b/>
          <w:sz w:val="32"/>
          <w:szCs w:val="32"/>
          <w:lang w:eastAsia="zh-CN"/>
        </w:rPr>
      </w:pPr>
      <w:r>
        <w:rPr>
          <w:rFonts w:eastAsia="楷体_GB2312"/>
          <w:b/>
          <w:sz w:val="32"/>
          <w:szCs w:val="32"/>
        </w:rPr>
        <w:t>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3B392694">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eastAsia="仿宋_GB2312" w:cs="Times New Roman"/>
          <w:kern w:val="2"/>
          <w:sz w:val="32"/>
          <w:szCs w:val="32"/>
          <w:lang w:val="en-US" w:eastAsia="zh-CN"/>
        </w:rPr>
        <w:t>招商引资：</w:t>
      </w:r>
      <w:r>
        <w:rPr>
          <w:rFonts w:hint="eastAsia" w:ascii="Times New Roman" w:hAnsi="Times New Roman" w:eastAsia="仿宋_GB2312" w:cs="Times New Roman"/>
          <w:kern w:val="2"/>
          <w:sz w:val="32"/>
          <w:szCs w:val="32"/>
          <w:lang w:val="en-US" w:eastAsia="zh-CN"/>
        </w:rPr>
        <w:t>1.抓培训，强队伍，培育能招会谈的招商团队。2.强举措，增实效，积极营造全员招商氛围。3.强目标，整资源，锚定突出产业链招商。</w:t>
      </w:r>
    </w:p>
    <w:p w14:paraId="7F0C8208">
      <w:pPr>
        <w:tabs>
          <w:tab w:val="left" w:pos="7560"/>
        </w:tabs>
        <w:adjustRightInd w:val="0"/>
        <w:snapToGrid w:val="0"/>
        <w:spacing w:line="560" w:lineRule="exact"/>
        <w:ind w:firstLine="640" w:firstLineChars="200"/>
        <w:rPr>
          <w:rFonts w:hint="eastAsia" w:eastAsia="仿宋_GB2312" w:cs="Times New Roman"/>
          <w:kern w:val="2"/>
          <w:sz w:val="32"/>
          <w:szCs w:val="32"/>
          <w:lang w:val="en-US" w:eastAsia="zh-CN"/>
        </w:rPr>
      </w:pPr>
      <w:r>
        <w:rPr>
          <w:rFonts w:hint="eastAsia" w:eastAsia="仿宋_GB2312" w:cs="Times New Roman"/>
          <w:kern w:val="2"/>
          <w:sz w:val="32"/>
          <w:szCs w:val="32"/>
          <w:lang w:val="en-US" w:eastAsia="zh-CN"/>
        </w:rPr>
        <w:t>内贸流通：1.提前谋划，理顺运行机制。2.开展促消费活动，深挖消费潜力。3.培育限上企业，夯实社零基础。</w:t>
      </w:r>
    </w:p>
    <w:p w14:paraId="23B13AA9">
      <w:pPr>
        <w:tabs>
          <w:tab w:val="left" w:pos="7560"/>
        </w:tabs>
        <w:adjustRightInd w:val="0"/>
        <w:snapToGrid w:val="0"/>
        <w:spacing w:line="560" w:lineRule="exact"/>
        <w:ind w:firstLine="640" w:firstLineChars="200"/>
        <w:rPr>
          <w:rFonts w:hint="eastAsia" w:eastAsia="仿宋_GB2312" w:cs="Times New Roman"/>
          <w:kern w:val="2"/>
          <w:sz w:val="32"/>
          <w:szCs w:val="32"/>
          <w:lang w:val="en-US" w:eastAsia="zh-CN"/>
        </w:rPr>
      </w:pPr>
      <w:r>
        <w:rPr>
          <w:rFonts w:hint="eastAsia" w:eastAsia="仿宋_GB2312" w:cs="Times New Roman"/>
          <w:kern w:val="2"/>
          <w:sz w:val="32"/>
          <w:szCs w:val="32"/>
          <w:lang w:val="en-US" w:eastAsia="zh-CN"/>
        </w:rPr>
        <w:t>对外贸易：1.组织企业参加“广交会”“进博会”“中非经贸博览会”等国内展会，帮助企业开拓国际市场。2.鼓励服饰、新材料企业参加境外展会，到海外抢订单。3.是深入开展“重点外贸企业帮扶”工作，加大对外贸企业的走访力度，送政策、送服务。</w:t>
      </w:r>
    </w:p>
    <w:p w14:paraId="5D7F6704">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eastAsia="仿宋_GB2312" w:cs="Times New Roman"/>
          <w:kern w:val="2"/>
          <w:sz w:val="32"/>
          <w:szCs w:val="32"/>
          <w:lang w:val="en-US" w:eastAsia="zh-CN"/>
        </w:rPr>
        <w:t>电子商务：借助“国家电子商务示范基地”，重点引进和培育与服饰产业基础契合度高的跨境电商卖家企业、平台企业、服务企业，推动芦淞服饰跨境电商产业带、线上综合服务平台建设；加大电商培育支持力度，打造汇通金港电商直播基地。</w:t>
      </w:r>
    </w:p>
    <w:p w14:paraId="24197EB6">
      <w:pPr>
        <w:pStyle w:val="5"/>
        <w:spacing w:line="600" w:lineRule="exact"/>
        <w:ind w:firstLine="640"/>
        <w:rPr>
          <w:rFonts w:ascii="Times New Roman" w:hAnsi="Times New Roman" w:eastAsia="黑体"/>
          <w:sz w:val="32"/>
          <w:szCs w:val="32"/>
          <w:highlight w:val="none"/>
        </w:rPr>
      </w:pPr>
      <w:r>
        <w:rPr>
          <w:rFonts w:ascii="Times New Roman" w:hAnsi="Times New Roman" w:eastAsia="黑体"/>
          <w:sz w:val="32"/>
          <w:szCs w:val="32"/>
          <w:highlight w:val="none"/>
        </w:rPr>
        <w:t>二、一般公共预算支出情况</w:t>
      </w:r>
    </w:p>
    <w:p w14:paraId="221B313F">
      <w:pPr>
        <w:pStyle w:val="5"/>
        <w:spacing w:line="600" w:lineRule="exact"/>
        <w:ind w:firstLine="643"/>
        <w:rPr>
          <w:rFonts w:ascii="Times New Roman" w:hAnsi="Times New Roman" w:eastAsia="楷体_GB2312"/>
          <w:b/>
          <w:sz w:val="32"/>
          <w:szCs w:val="32"/>
          <w:highlight w:val="none"/>
        </w:rPr>
      </w:pPr>
      <w:r>
        <w:rPr>
          <w:rFonts w:ascii="Times New Roman" w:hAnsi="Times New Roman" w:eastAsia="楷体_GB2312"/>
          <w:b/>
          <w:sz w:val="32"/>
          <w:szCs w:val="32"/>
          <w:highlight w:val="none"/>
        </w:rPr>
        <w:t>（一）基本支出情况</w:t>
      </w:r>
    </w:p>
    <w:p w14:paraId="51814562">
      <w:pPr>
        <w:pStyle w:val="5"/>
        <w:spacing w:line="600" w:lineRule="exact"/>
        <w:ind w:firstLine="643"/>
        <w:rPr>
          <w:rFonts w:hint="eastAsia" w:eastAsia="仿宋"/>
          <w:color w:val="000000"/>
          <w:sz w:val="32"/>
          <w:szCs w:val="32"/>
          <w:highlight w:val="none"/>
          <w:lang w:eastAsia="zh-CN"/>
        </w:rPr>
      </w:pPr>
      <w:r>
        <w:rPr>
          <w:rFonts w:hint="eastAsia" w:ascii="Times New Roman" w:hAnsi="Times New Roman" w:eastAsia="楷体_GB2312"/>
          <w:b/>
          <w:sz w:val="32"/>
          <w:szCs w:val="32"/>
          <w:highlight w:val="none"/>
          <w:lang w:val="en-US" w:eastAsia="zh-CN"/>
        </w:rPr>
        <w:t>1、</w:t>
      </w:r>
      <w:r>
        <w:rPr>
          <w:rFonts w:eastAsia="仿宋"/>
          <w:color w:val="000000"/>
          <w:sz w:val="32"/>
          <w:szCs w:val="32"/>
          <w:highlight w:val="none"/>
        </w:rPr>
        <w:t>202</w:t>
      </w:r>
      <w:r>
        <w:rPr>
          <w:rFonts w:hint="eastAsia" w:eastAsia="仿宋"/>
          <w:color w:val="000000"/>
          <w:sz w:val="32"/>
          <w:szCs w:val="32"/>
          <w:highlight w:val="none"/>
          <w:lang w:val="en-US" w:eastAsia="zh-CN"/>
        </w:rPr>
        <w:t>4</w:t>
      </w:r>
      <w:r>
        <w:rPr>
          <w:rFonts w:eastAsia="仿宋"/>
          <w:color w:val="000000"/>
          <w:sz w:val="32"/>
          <w:szCs w:val="32"/>
          <w:highlight w:val="none"/>
        </w:rPr>
        <w:t>年预算资金</w:t>
      </w:r>
      <w:r>
        <w:rPr>
          <w:rFonts w:hint="eastAsia" w:eastAsia="仿宋"/>
          <w:color w:val="000000"/>
          <w:sz w:val="32"/>
          <w:szCs w:val="32"/>
          <w:highlight w:val="none"/>
        </w:rPr>
        <w:t>226.06</w:t>
      </w:r>
      <w:r>
        <w:rPr>
          <w:rFonts w:hint="eastAsia" w:eastAsia="仿宋"/>
          <w:color w:val="000000"/>
          <w:sz w:val="32"/>
          <w:szCs w:val="32"/>
          <w:highlight w:val="none"/>
          <w:lang w:eastAsia="zh-CN"/>
        </w:rPr>
        <w:t>万元。</w:t>
      </w:r>
    </w:p>
    <w:p w14:paraId="5044A416">
      <w:pPr>
        <w:pStyle w:val="5"/>
        <w:spacing w:line="600" w:lineRule="exact"/>
        <w:ind w:firstLine="643"/>
        <w:rPr>
          <w:rFonts w:hint="default" w:eastAsia="仿宋"/>
          <w:color w:val="auto"/>
          <w:sz w:val="32"/>
          <w:szCs w:val="32"/>
          <w:highlight w:val="none"/>
          <w:lang w:val="en-US" w:eastAsia="zh-CN"/>
        </w:rPr>
      </w:pPr>
      <w:r>
        <w:rPr>
          <w:rFonts w:hint="eastAsia" w:eastAsia="仿宋"/>
          <w:color w:val="auto"/>
          <w:sz w:val="32"/>
          <w:szCs w:val="32"/>
          <w:highlight w:val="none"/>
          <w:lang w:val="en-US" w:eastAsia="zh-CN"/>
        </w:rPr>
        <w:t>2、2024年度</w:t>
      </w:r>
      <w:r>
        <w:rPr>
          <w:rFonts w:eastAsia="仿宋"/>
          <w:color w:val="auto"/>
          <w:sz w:val="32"/>
          <w:szCs w:val="32"/>
          <w:highlight w:val="none"/>
        </w:rPr>
        <w:t>单位</w:t>
      </w:r>
      <w:r>
        <w:rPr>
          <w:rFonts w:hint="eastAsia" w:eastAsia="仿宋"/>
          <w:color w:val="auto"/>
          <w:sz w:val="32"/>
          <w:szCs w:val="32"/>
          <w:highlight w:val="none"/>
        </w:rPr>
        <w:t>一般公共预算财政拨款</w:t>
      </w:r>
      <w:r>
        <w:rPr>
          <w:rFonts w:eastAsia="仿宋"/>
          <w:color w:val="auto"/>
          <w:sz w:val="32"/>
          <w:szCs w:val="32"/>
          <w:highlight w:val="none"/>
        </w:rPr>
        <w:t>收入</w:t>
      </w:r>
      <w:r>
        <w:rPr>
          <w:rFonts w:hint="eastAsia" w:eastAsia="仿宋"/>
          <w:color w:val="auto"/>
          <w:sz w:val="32"/>
          <w:szCs w:val="32"/>
          <w:highlight w:val="none"/>
          <w:lang w:eastAsia="zh-CN"/>
        </w:rPr>
        <w:t>1</w:t>
      </w:r>
      <w:r>
        <w:rPr>
          <w:rFonts w:hint="eastAsia" w:eastAsia="仿宋"/>
          <w:color w:val="auto"/>
          <w:sz w:val="32"/>
          <w:szCs w:val="32"/>
          <w:highlight w:val="none"/>
          <w:lang w:val="en-US" w:eastAsia="zh-CN"/>
        </w:rPr>
        <w:t>,</w:t>
      </w:r>
      <w:r>
        <w:rPr>
          <w:rFonts w:hint="eastAsia" w:eastAsia="仿宋"/>
          <w:color w:val="auto"/>
          <w:sz w:val="32"/>
          <w:szCs w:val="32"/>
          <w:highlight w:val="none"/>
          <w:lang w:eastAsia="zh-CN"/>
        </w:rPr>
        <w:t>117.78</w:t>
      </w:r>
      <w:r>
        <w:rPr>
          <w:rFonts w:hint="eastAsia" w:eastAsia="仿宋"/>
          <w:color w:val="auto"/>
          <w:sz w:val="32"/>
          <w:szCs w:val="32"/>
          <w:highlight w:val="none"/>
          <w:lang w:val="en-US" w:eastAsia="zh-CN"/>
        </w:rPr>
        <w:t>万元。</w:t>
      </w:r>
    </w:p>
    <w:p w14:paraId="1F6C9773">
      <w:pPr>
        <w:spacing w:line="580" w:lineRule="exact"/>
        <w:ind w:firstLine="640" w:firstLineChars="200"/>
        <w:rPr>
          <w:rFonts w:hint="eastAsia" w:eastAsia="仿宋"/>
          <w:color w:val="0000FF"/>
          <w:sz w:val="32"/>
          <w:szCs w:val="32"/>
          <w:highlight w:val="none"/>
          <w:lang w:val="en-US" w:eastAsia="zh-CN"/>
        </w:rPr>
      </w:pPr>
      <w:r>
        <w:rPr>
          <w:rFonts w:eastAsia="仿宋"/>
          <w:color w:val="auto"/>
          <w:sz w:val="32"/>
          <w:szCs w:val="32"/>
          <w:highlight w:val="none"/>
        </w:rPr>
        <w:t>3</w:t>
      </w:r>
      <w:r>
        <w:rPr>
          <w:rFonts w:hint="eastAsia" w:eastAsia="仿宋"/>
          <w:color w:val="auto"/>
          <w:sz w:val="32"/>
          <w:szCs w:val="32"/>
          <w:highlight w:val="none"/>
          <w:lang w:eastAsia="zh-CN"/>
        </w:rPr>
        <w:t>、</w:t>
      </w:r>
      <w:r>
        <w:rPr>
          <w:rFonts w:hint="eastAsia" w:eastAsia="仿宋"/>
          <w:color w:val="auto"/>
          <w:sz w:val="32"/>
          <w:szCs w:val="32"/>
          <w:highlight w:val="none"/>
          <w:lang w:val="en-US" w:eastAsia="zh-CN"/>
        </w:rPr>
        <w:t>2024年度</w:t>
      </w:r>
      <w:r>
        <w:rPr>
          <w:rFonts w:eastAsia="仿宋"/>
          <w:color w:val="auto"/>
          <w:sz w:val="32"/>
          <w:szCs w:val="32"/>
          <w:highlight w:val="none"/>
        </w:rPr>
        <w:t>单位</w:t>
      </w:r>
      <w:r>
        <w:rPr>
          <w:rFonts w:hint="eastAsia" w:eastAsia="仿宋"/>
          <w:color w:val="auto"/>
          <w:sz w:val="32"/>
          <w:szCs w:val="32"/>
          <w:highlight w:val="none"/>
        </w:rPr>
        <w:t>一般公共预算财政拨款</w:t>
      </w:r>
      <w:r>
        <w:rPr>
          <w:rFonts w:hint="eastAsia" w:eastAsia="仿宋"/>
          <w:color w:val="auto"/>
          <w:sz w:val="32"/>
          <w:szCs w:val="32"/>
          <w:highlight w:val="none"/>
          <w:lang w:eastAsia="zh-CN"/>
        </w:rPr>
        <w:t>支出1,117.78万元，</w:t>
      </w:r>
      <w:r>
        <w:rPr>
          <w:rFonts w:eastAsia="仿宋"/>
          <w:color w:val="auto"/>
          <w:sz w:val="32"/>
          <w:szCs w:val="32"/>
          <w:highlight w:val="none"/>
        </w:rPr>
        <w:t>其中：项目支出</w:t>
      </w:r>
      <w:r>
        <w:rPr>
          <w:rFonts w:hint="eastAsia" w:eastAsia="仿宋"/>
          <w:color w:val="auto"/>
          <w:sz w:val="32"/>
          <w:szCs w:val="32"/>
          <w:highlight w:val="none"/>
          <w:lang w:val="en-US" w:eastAsia="zh-CN"/>
        </w:rPr>
        <w:t>846.71</w:t>
      </w:r>
      <w:r>
        <w:rPr>
          <w:rFonts w:eastAsia="仿宋"/>
          <w:color w:val="auto"/>
          <w:sz w:val="32"/>
          <w:szCs w:val="32"/>
          <w:highlight w:val="none"/>
        </w:rPr>
        <w:t>万元，基本支出</w:t>
      </w:r>
      <w:r>
        <w:rPr>
          <w:rFonts w:hint="eastAsia" w:eastAsia="仿宋"/>
          <w:color w:val="auto"/>
          <w:sz w:val="32"/>
          <w:szCs w:val="32"/>
          <w:highlight w:val="none"/>
          <w:lang w:val="en-US" w:eastAsia="zh-CN"/>
        </w:rPr>
        <w:t>271.07</w:t>
      </w:r>
      <w:r>
        <w:rPr>
          <w:rFonts w:eastAsia="仿宋"/>
          <w:color w:val="auto"/>
          <w:sz w:val="32"/>
          <w:szCs w:val="32"/>
          <w:highlight w:val="none"/>
        </w:rPr>
        <w:t>万元，其中：人员经费</w:t>
      </w:r>
      <w:r>
        <w:rPr>
          <w:rFonts w:hint="eastAsia" w:eastAsia="仿宋"/>
          <w:color w:val="auto"/>
          <w:sz w:val="32"/>
          <w:szCs w:val="32"/>
          <w:highlight w:val="none"/>
          <w:lang w:val="en-US" w:eastAsia="zh-CN"/>
        </w:rPr>
        <w:t>226.92</w:t>
      </w:r>
      <w:r>
        <w:rPr>
          <w:rFonts w:eastAsia="仿宋"/>
          <w:color w:val="auto"/>
          <w:sz w:val="32"/>
          <w:szCs w:val="32"/>
          <w:highlight w:val="none"/>
        </w:rPr>
        <w:t>万元，公用经费</w:t>
      </w:r>
      <w:r>
        <w:rPr>
          <w:rFonts w:hint="eastAsia" w:eastAsia="仿宋"/>
          <w:color w:val="auto"/>
          <w:sz w:val="32"/>
          <w:szCs w:val="32"/>
          <w:highlight w:val="none"/>
          <w:lang w:val="en-US" w:eastAsia="zh-CN"/>
        </w:rPr>
        <w:t>44.15万</w:t>
      </w:r>
      <w:r>
        <w:rPr>
          <w:rFonts w:eastAsia="仿宋"/>
          <w:color w:val="auto"/>
          <w:sz w:val="32"/>
          <w:szCs w:val="32"/>
          <w:highlight w:val="none"/>
        </w:rPr>
        <w:t>元。</w:t>
      </w:r>
    </w:p>
    <w:p w14:paraId="45CF278B">
      <w:pPr>
        <w:pStyle w:val="5"/>
        <w:numPr>
          <w:ilvl w:val="0"/>
          <w:numId w:val="2"/>
        </w:numPr>
        <w:spacing w:line="600" w:lineRule="exact"/>
        <w:ind w:firstLine="643"/>
        <w:rPr>
          <w:rFonts w:ascii="Times New Roman" w:hAnsi="Times New Roman" w:eastAsia="楷体_GB2312"/>
          <w:b/>
          <w:sz w:val="32"/>
          <w:szCs w:val="32"/>
          <w:highlight w:val="none"/>
          <w:lang w:val="en-US" w:eastAsia="zh-CN"/>
        </w:rPr>
      </w:pPr>
      <w:r>
        <w:rPr>
          <w:rFonts w:ascii="Times New Roman" w:hAnsi="Times New Roman" w:eastAsia="楷体_GB2312"/>
          <w:b/>
          <w:sz w:val="32"/>
          <w:szCs w:val="32"/>
          <w:highlight w:val="none"/>
          <w:lang w:val="en-US" w:eastAsia="zh-CN"/>
        </w:rPr>
        <w:t>项目支出情况</w:t>
      </w:r>
    </w:p>
    <w:p w14:paraId="06A3793C">
      <w:pPr>
        <w:pStyle w:val="5"/>
        <w:spacing w:line="600" w:lineRule="exact"/>
        <w:ind w:firstLine="640"/>
        <w:rPr>
          <w:rFonts w:hint="eastAsia"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1.服博会项目支出62.14万元；2.农贸市场改造项目支出</w:t>
      </w:r>
      <w:r>
        <w:rPr>
          <w:rFonts w:hint="eastAsia" w:ascii="Times New Roman" w:hAnsi="Times New Roman" w:eastAsia="仿宋" w:cs="Times New Roman"/>
          <w:color w:val="auto"/>
          <w:kern w:val="2"/>
          <w:sz w:val="32"/>
          <w:szCs w:val="32"/>
          <w:highlight w:val="none"/>
          <w:lang w:val="en-US" w:eastAsia="zh-CN" w:bidi="ar-SA"/>
        </w:rPr>
        <w:tab/>
      </w:r>
      <w:r>
        <w:rPr>
          <w:rFonts w:hint="eastAsia" w:ascii="Times New Roman" w:hAnsi="Times New Roman" w:eastAsia="仿宋" w:cs="Times New Roman"/>
          <w:color w:val="auto"/>
          <w:kern w:val="2"/>
          <w:sz w:val="32"/>
          <w:szCs w:val="32"/>
          <w:highlight w:val="none"/>
          <w:lang w:val="en-US" w:eastAsia="zh-CN" w:bidi="ar-SA"/>
        </w:rPr>
        <w:t>66.60万元；3.招商引资及商贸流通项目97.31万元；4.企业培育资金1.80万元；5.防疫专项618.85万元。</w:t>
      </w:r>
    </w:p>
    <w:p w14:paraId="79ABDD1F">
      <w:pPr>
        <w:pStyle w:val="5"/>
        <w:spacing w:line="600" w:lineRule="exact"/>
        <w:ind w:firstLine="640"/>
        <w:rPr>
          <w:rFonts w:ascii="Times New Roman" w:hAnsi="Times New Roman" w:eastAsia="黑体"/>
          <w:sz w:val="32"/>
          <w:szCs w:val="32"/>
          <w:highlight w:val="none"/>
        </w:rPr>
      </w:pPr>
      <w:r>
        <w:rPr>
          <w:rFonts w:ascii="Times New Roman" w:hAnsi="Times New Roman" w:eastAsia="黑体"/>
          <w:sz w:val="32"/>
          <w:szCs w:val="32"/>
          <w:highlight w:val="none"/>
        </w:rPr>
        <w:t>三、政府性基金预算支出情况</w:t>
      </w:r>
    </w:p>
    <w:p w14:paraId="7912853C">
      <w:pPr>
        <w:pStyle w:val="5"/>
        <w:spacing w:line="600" w:lineRule="exact"/>
        <w:ind w:firstLine="64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无。</w:t>
      </w:r>
    </w:p>
    <w:p w14:paraId="1C841E6C">
      <w:pPr>
        <w:pStyle w:val="5"/>
        <w:spacing w:line="600" w:lineRule="exact"/>
        <w:ind w:firstLine="640"/>
        <w:rPr>
          <w:rFonts w:hint="eastAsia" w:ascii="Times New Roman" w:hAnsi="Times New Roman" w:eastAsia="黑体"/>
          <w:sz w:val="32"/>
          <w:szCs w:val="32"/>
          <w:highlight w:val="none"/>
          <w:lang w:eastAsia="zh-CN"/>
        </w:rPr>
      </w:pPr>
      <w:r>
        <w:rPr>
          <w:rFonts w:ascii="Times New Roman" w:hAnsi="Times New Roman" w:eastAsia="黑体"/>
          <w:sz w:val="32"/>
          <w:szCs w:val="32"/>
          <w:highlight w:val="none"/>
        </w:rPr>
        <w:t>四、国有资本经营预算支出情况</w:t>
      </w:r>
    </w:p>
    <w:p w14:paraId="4B64C057">
      <w:pPr>
        <w:pStyle w:val="5"/>
        <w:spacing w:line="600" w:lineRule="exact"/>
        <w:ind w:firstLine="64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无。</w:t>
      </w:r>
    </w:p>
    <w:p w14:paraId="3B041FF8">
      <w:pPr>
        <w:pStyle w:val="5"/>
        <w:spacing w:line="600" w:lineRule="exact"/>
        <w:ind w:firstLine="640"/>
        <w:rPr>
          <w:rFonts w:ascii="Times New Roman" w:hAnsi="Times New Roman" w:eastAsia="黑体"/>
          <w:sz w:val="32"/>
          <w:szCs w:val="32"/>
          <w:highlight w:val="none"/>
        </w:rPr>
      </w:pPr>
      <w:r>
        <w:rPr>
          <w:rFonts w:ascii="Times New Roman" w:hAnsi="Times New Roman" w:eastAsia="黑体"/>
          <w:sz w:val="32"/>
          <w:szCs w:val="32"/>
          <w:highlight w:val="none"/>
        </w:rPr>
        <w:t>五、社会保险基金预算支出情况</w:t>
      </w:r>
    </w:p>
    <w:p w14:paraId="38C6DD06">
      <w:pPr>
        <w:spacing w:line="600" w:lineRule="exact"/>
        <w:ind w:firstLine="640" w:firstLineChars="200"/>
        <w:rPr>
          <w:rFonts w:eastAsia="黑体"/>
          <w:sz w:val="32"/>
          <w:szCs w:val="32"/>
          <w:highlight w:val="none"/>
        </w:rPr>
      </w:pPr>
      <w:r>
        <w:rPr>
          <w:rFonts w:hint="eastAsia" w:eastAsia="黑体"/>
          <w:sz w:val="32"/>
          <w:szCs w:val="32"/>
          <w:highlight w:val="none"/>
        </w:rPr>
        <w:t>无。</w:t>
      </w:r>
    </w:p>
    <w:p w14:paraId="67399190">
      <w:pPr>
        <w:spacing w:line="600" w:lineRule="exact"/>
        <w:ind w:firstLine="640" w:firstLineChars="200"/>
        <w:rPr>
          <w:rFonts w:eastAsia="黑体"/>
          <w:sz w:val="32"/>
          <w:szCs w:val="32"/>
          <w:highlight w:val="none"/>
        </w:rPr>
      </w:pPr>
      <w:r>
        <w:rPr>
          <w:rFonts w:eastAsia="黑体"/>
          <w:sz w:val="32"/>
          <w:szCs w:val="32"/>
          <w:highlight w:val="none"/>
        </w:rPr>
        <w:t>六、</w:t>
      </w:r>
      <w:r>
        <w:rPr>
          <w:rFonts w:hint="eastAsia" w:eastAsia="黑体"/>
          <w:sz w:val="32"/>
          <w:szCs w:val="32"/>
          <w:highlight w:val="none"/>
          <w:lang w:eastAsia="zh-CN"/>
        </w:rPr>
        <w:t>资金使用及</w:t>
      </w:r>
      <w:r>
        <w:rPr>
          <w:rFonts w:eastAsia="黑体"/>
          <w:sz w:val="32"/>
          <w:szCs w:val="32"/>
          <w:highlight w:val="none"/>
        </w:rPr>
        <w:t>绩效情况</w:t>
      </w:r>
    </w:p>
    <w:p w14:paraId="69FD3F1A">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702DDA3F">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lang w:val="en-US" w:eastAsia="zh-CN"/>
        </w:rPr>
        <w:t>1.招商方面。</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val="0"/>
          <w:bCs w:val="0"/>
          <w:sz w:val="32"/>
          <w:szCs w:val="32"/>
        </w:rPr>
        <w:t>项目引进。1-1</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月，我区共完成</w:t>
      </w:r>
      <w:r>
        <w:rPr>
          <w:rFonts w:hint="default" w:ascii="Times New Roman" w:hAnsi="Times New Roman" w:eastAsia="仿宋_GB2312" w:cs="Times New Roman"/>
          <w:b w:val="0"/>
          <w:bCs w:val="0"/>
          <w:sz w:val="32"/>
          <w:szCs w:val="32"/>
          <w:lang w:val="en-US" w:eastAsia="zh-CN"/>
        </w:rPr>
        <w:t>一把手外出招商13次，</w:t>
      </w:r>
      <w:r>
        <w:rPr>
          <w:rFonts w:hint="default" w:ascii="Times New Roman" w:hAnsi="Times New Roman" w:eastAsia="仿宋_GB2312" w:cs="Times New Roman"/>
          <w:b w:val="0"/>
          <w:bCs w:val="0"/>
          <w:sz w:val="32"/>
          <w:szCs w:val="32"/>
        </w:rPr>
        <w:t>招商项目</w:t>
      </w:r>
      <w:r>
        <w:rPr>
          <w:rFonts w:hint="default" w:ascii="Times New Roman" w:hAnsi="Times New Roman" w:eastAsia="仿宋_GB2312" w:cs="Times New Roman"/>
          <w:b w:val="0"/>
          <w:bCs w:val="0"/>
          <w:sz w:val="32"/>
          <w:szCs w:val="32"/>
          <w:lang w:val="en-US" w:eastAsia="zh-CN"/>
        </w:rPr>
        <w:t>签约26</w:t>
      </w:r>
      <w:r>
        <w:rPr>
          <w:rFonts w:hint="default" w:ascii="Times New Roman" w:hAnsi="Times New Roman" w:eastAsia="仿宋_GB2312" w:cs="Times New Roman"/>
          <w:b w:val="0"/>
          <w:bCs w:val="0"/>
          <w:sz w:val="32"/>
          <w:szCs w:val="32"/>
        </w:rPr>
        <w:t>个</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签约亿元以上项目</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个</w:t>
      </w:r>
      <w:r>
        <w:rPr>
          <w:rFonts w:hint="default" w:ascii="Times New Roman" w:hAnsi="Times New Roman" w:eastAsia="仿宋_GB2312" w:cs="Times New Roman"/>
          <w:b w:val="0"/>
          <w:bCs w:val="0"/>
          <w:sz w:val="32"/>
          <w:szCs w:val="32"/>
          <w:lang w:eastAsia="zh-CN"/>
        </w:rPr>
        <w:t>（包含已签约亿元项目</w:t>
      </w:r>
      <w:r>
        <w:rPr>
          <w:rFonts w:hint="default" w:ascii="Times New Roman" w:hAnsi="Times New Roman" w:eastAsia="仿宋_GB2312" w:cs="Times New Roman"/>
          <w:b w:val="0"/>
          <w:bCs w:val="0"/>
          <w:sz w:val="32"/>
          <w:szCs w:val="32"/>
          <w:lang w:val="en-US" w:eastAsia="zh-CN"/>
        </w:rPr>
        <w:t>13个，重点推进亿元项目7个</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，10亿元以上产业项目1个</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b w:val="0"/>
          <w:bCs w:val="0"/>
          <w:sz w:val="32"/>
          <w:szCs w:val="32"/>
        </w:rPr>
        <w:t>项目履约。</w:t>
      </w:r>
      <w:r>
        <w:rPr>
          <w:rFonts w:hint="default" w:ascii="Times New Roman" w:hAnsi="Times New Roman" w:eastAsia="仿宋_GB2312" w:cs="Times New Roman"/>
          <w:b w:val="0"/>
          <w:bCs w:val="0"/>
          <w:sz w:val="32"/>
          <w:szCs w:val="32"/>
          <w:lang w:val="en-US" w:eastAsia="zh-CN"/>
        </w:rPr>
        <w:t>21个项目已完成履约，项目履约率为80.76%。</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b w:val="0"/>
          <w:bCs w:val="0"/>
          <w:sz w:val="32"/>
          <w:szCs w:val="32"/>
        </w:rPr>
        <w:t>内联引资。</w:t>
      </w:r>
      <w:r>
        <w:rPr>
          <w:rFonts w:hint="default" w:ascii="Times New Roman" w:hAnsi="Times New Roman" w:eastAsia="仿宋_GB2312" w:cs="Times New Roman"/>
          <w:b w:val="0"/>
          <w:bCs w:val="0"/>
          <w:sz w:val="32"/>
          <w:szCs w:val="32"/>
          <w:highlight w:val="none"/>
        </w:rPr>
        <w:t>1-1</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月内资到位</w:t>
      </w:r>
      <w:r>
        <w:rPr>
          <w:rFonts w:hint="default" w:ascii="Times New Roman" w:hAnsi="Times New Roman" w:eastAsia="仿宋_GB2312" w:cs="Times New Roman"/>
          <w:b w:val="0"/>
          <w:bCs w:val="0"/>
          <w:sz w:val="32"/>
          <w:szCs w:val="32"/>
          <w:highlight w:val="none"/>
          <w:lang w:val="en-US" w:eastAsia="zh-CN"/>
        </w:rPr>
        <w:t>20.94</w:t>
      </w:r>
      <w:r>
        <w:rPr>
          <w:rFonts w:hint="default" w:ascii="Times New Roman" w:hAnsi="Times New Roman" w:eastAsia="仿宋_GB2312" w:cs="Times New Roman"/>
          <w:b w:val="0"/>
          <w:bCs w:val="0"/>
          <w:sz w:val="32"/>
          <w:szCs w:val="32"/>
          <w:highlight w:val="none"/>
        </w:rPr>
        <w:t>亿元，完成全年任务8</w:t>
      </w:r>
      <w:r>
        <w:rPr>
          <w:rFonts w:hint="default" w:ascii="Times New Roman" w:hAnsi="Times New Roman" w:eastAsia="仿宋_GB2312" w:cs="Times New Roman"/>
          <w:b w:val="0"/>
          <w:bCs w:val="0"/>
          <w:sz w:val="32"/>
          <w:szCs w:val="32"/>
          <w:highlight w:val="none"/>
          <w:lang w:val="en-US" w:eastAsia="zh-CN"/>
        </w:rPr>
        <w:t>3.76</w:t>
      </w:r>
      <w:r>
        <w:rPr>
          <w:rFonts w:hint="default" w:ascii="Times New Roman" w:hAnsi="Times New Roman" w:eastAsia="仿宋_GB2312" w:cs="Times New Roman"/>
          <w:b w:val="0"/>
          <w:bCs w:val="0"/>
          <w:sz w:val="32"/>
          <w:szCs w:val="32"/>
          <w:highlight w:val="none"/>
        </w:rPr>
        <w:t>%，湘商回株投资新注册企业任务数</w:t>
      </w:r>
      <w:r>
        <w:rPr>
          <w:rFonts w:hint="default"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rPr>
        <w:t>个，完成全年任务1</w:t>
      </w:r>
      <w:r>
        <w:rPr>
          <w:rFonts w:hint="default" w:ascii="Times New Roman" w:hAnsi="Times New Roman" w:eastAsia="仿宋_GB2312" w:cs="Times New Roman"/>
          <w:b w:val="0"/>
          <w:bCs w:val="0"/>
          <w:sz w:val="32"/>
          <w:szCs w:val="32"/>
          <w:highlight w:val="none"/>
          <w:lang w:val="en-US" w:eastAsia="zh-CN"/>
        </w:rPr>
        <w:t>12.5</w:t>
      </w:r>
      <w:r>
        <w:rPr>
          <w:rFonts w:hint="default" w:ascii="Times New Roman" w:hAnsi="Times New Roman" w:eastAsia="仿宋_GB2312" w:cs="Times New Roman"/>
          <w:b w:val="0"/>
          <w:bCs w:val="0"/>
          <w:sz w:val="32"/>
          <w:szCs w:val="32"/>
          <w:highlight w:val="none"/>
        </w:rPr>
        <w:t>%，其中，完成涉税市场主体</w:t>
      </w:r>
      <w:r>
        <w:rPr>
          <w:rFonts w:hint="default" w:ascii="Times New Roman" w:hAnsi="Times New Roman" w:eastAsia="仿宋_GB2312" w:cs="Times New Roman"/>
          <w:b w:val="0"/>
          <w:bCs w:val="0"/>
          <w:sz w:val="32"/>
          <w:szCs w:val="32"/>
          <w:highlight w:val="none"/>
          <w:lang w:val="en-US" w:eastAsia="zh-CN"/>
        </w:rPr>
        <w:t>6</w:t>
      </w:r>
      <w:r>
        <w:rPr>
          <w:rFonts w:hint="default" w:ascii="Times New Roman" w:hAnsi="Times New Roman" w:eastAsia="仿宋_GB2312" w:cs="Times New Roman"/>
          <w:b w:val="0"/>
          <w:bCs w:val="0"/>
          <w:sz w:val="32"/>
          <w:szCs w:val="32"/>
          <w:highlight w:val="none"/>
        </w:rPr>
        <w:t>家</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b w:val="0"/>
          <w:bCs w:val="0"/>
          <w:sz w:val="32"/>
          <w:szCs w:val="32"/>
          <w:highlight w:val="none"/>
        </w:rPr>
        <w:t>外资到位。通过持续</w:t>
      </w:r>
      <w:r>
        <w:rPr>
          <w:rFonts w:hint="default" w:ascii="Times New Roman" w:hAnsi="Times New Roman" w:eastAsia="仿宋_GB2312" w:cs="Times New Roman"/>
          <w:b w:val="0"/>
          <w:bCs w:val="0"/>
          <w:sz w:val="32"/>
          <w:szCs w:val="32"/>
          <w:highlight w:val="none"/>
          <w:lang w:val="en-US" w:eastAsia="zh-CN"/>
        </w:rPr>
        <w:t>对接湖南港资科技发展有限责任公司，实现外资“破零”。</w:t>
      </w:r>
    </w:p>
    <w:p w14:paraId="17262EC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i w:val="0"/>
          <w:caps w:val="0"/>
          <w:color w:val="000000"/>
          <w:spacing w:val="0"/>
          <w:kern w:val="0"/>
          <w:sz w:val="32"/>
          <w:szCs w:val="32"/>
          <w:u w:val="none"/>
          <w:shd w:val="clear" w:color="auto" w:fill="FFFFFF"/>
          <w:lang w:val="en-US" w:eastAsia="zh-CN" w:bidi="ar"/>
        </w:rPr>
        <w:t>2.内贸方面。</w:t>
      </w:r>
      <w:r>
        <w:rPr>
          <w:rFonts w:hint="default" w:ascii="Times New Roman" w:hAnsi="Times New Roman" w:eastAsia="仿宋_GB2312" w:cs="Times New Roman"/>
          <w:b w:val="0"/>
          <w:bCs w:val="0"/>
          <w:color w:val="000000"/>
          <w:kern w:val="0"/>
          <w:sz w:val="32"/>
          <w:szCs w:val="32"/>
          <w:lang w:val="en-US" w:eastAsia="zh-CN" w:bidi="ar"/>
        </w:rPr>
        <w:t>截止1-10月底全区社会消费品零售总额完成208亿元，增速3.3%，</w:t>
      </w:r>
      <w:r>
        <w:rPr>
          <w:rFonts w:hint="default" w:ascii="Times New Roman" w:hAnsi="Times New Roman" w:eastAsia="仿宋_GB2312" w:cs="Times New Roman"/>
          <w:b w:val="0"/>
          <w:bCs w:val="0"/>
          <w:sz w:val="32"/>
          <w:szCs w:val="32"/>
          <w:lang w:val="en-US" w:eastAsia="zh-CN"/>
        </w:rPr>
        <w:t>其中十一月限上3.1亿元，增速16.8%。</w:t>
      </w:r>
      <w:r>
        <w:rPr>
          <w:rFonts w:hint="default" w:ascii="Times New Roman" w:hAnsi="Times New Roman" w:eastAsia="仿宋_GB2312" w:cs="Times New Roman"/>
          <w:b/>
          <w:bCs/>
          <w:i w:val="0"/>
          <w:caps w:val="0"/>
          <w:color w:val="000000"/>
          <w:spacing w:val="0"/>
          <w:kern w:val="0"/>
          <w:sz w:val="32"/>
          <w:szCs w:val="32"/>
          <w:u w:val="none"/>
          <w:shd w:val="clear" w:color="auto" w:fill="FFFFFF"/>
          <w:lang w:val="en-US" w:eastAsia="zh-CN" w:bidi="ar"/>
        </w:rPr>
        <w:t>一是</w:t>
      </w:r>
      <w:r>
        <w:rPr>
          <w:rFonts w:hint="default" w:ascii="Times New Roman" w:hAnsi="Times New Roman" w:eastAsia="仿宋_GB2312" w:cs="Times New Roman"/>
          <w:b w:val="0"/>
          <w:bCs w:val="0"/>
          <w:color w:val="auto"/>
          <w:kern w:val="2"/>
          <w:sz w:val="32"/>
          <w:szCs w:val="32"/>
          <w:lang w:val="en-US" w:eastAsia="zh-CN" w:bidi="ar-SA"/>
        </w:rPr>
        <w:t>做好</w:t>
      </w:r>
      <w:r>
        <w:rPr>
          <w:rFonts w:hint="default" w:ascii="Times New Roman" w:hAnsi="Times New Roman" w:eastAsia="仿宋_GB2312" w:cs="Times New Roman"/>
          <w:b w:val="0"/>
          <w:bCs w:val="0"/>
          <w:sz w:val="32"/>
          <w:szCs w:val="32"/>
          <w:lang w:val="en-US" w:eastAsia="zh-CN"/>
        </w:rPr>
        <w:t>规模以上商贸企业五经普的宣传和推动工作，聘请第三方机构为100余家规模以上商贸企业提供咨询、指导服务</w:t>
      </w:r>
      <w:r>
        <w:rPr>
          <w:rFonts w:hint="default" w:ascii="Times New Roman" w:hAnsi="Times New Roman" w:eastAsia="仿宋_GB2312" w:cs="Times New Roman"/>
          <w:b w:val="0"/>
          <w:bCs w:val="0"/>
          <w:sz w:val="32"/>
          <w:szCs w:val="32"/>
          <w:lang w:eastAsia="zh-CN"/>
        </w:rPr>
        <w:t>确保五经普</w:t>
      </w:r>
      <w:r>
        <w:rPr>
          <w:rFonts w:hint="default" w:ascii="Times New Roman" w:hAnsi="Times New Roman" w:eastAsia="仿宋_GB2312" w:cs="Times New Roman"/>
          <w:b w:val="0"/>
          <w:bCs w:val="0"/>
          <w:sz w:val="32"/>
          <w:szCs w:val="32"/>
          <w:lang w:val="en-US" w:eastAsia="zh-CN"/>
        </w:rPr>
        <w:t>规模以上商贸企业应统尽统、颗粒归仓。</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color w:val="auto"/>
          <w:kern w:val="2"/>
          <w:sz w:val="32"/>
          <w:szCs w:val="32"/>
          <w:lang w:val="en-US" w:eastAsia="zh-CN" w:bidi="ar-SA"/>
        </w:rPr>
        <w:t>大力发展夜间经济，形成集聚效益。大汉悦中心被评为首批株洲市夜间消费聚集示范区和第二批</w:t>
      </w:r>
      <w:r>
        <w:rPr>
          <w:rFonts w:hint="default" w:ascii="Times New Roman" w:hAnsi="Times New Roman" w:eastAsia="仿宋_GB2312" w:cs="Times New Roman"/>
          <w:b w:val="0"/>
          <w:bCs w:val="0"/>
          <w:sz w:val="32"/>
          <w:szCs w:val="32"/>
          <w:lang w:val="en-US" w:eastAsia="zh-CN"/>
        </w:rPr>
        <w:t>湖南省夜间消费聚集示范区；集文化、娱乐、观赏、互动、消费为一体的“梦回宋潮”国风主题文旅商业街区五一开街。</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节会活动大放异彩。举办悦中心跨年夜、株百广场节日盛典、王府星茂“星潮澎湃狂欢夜”跨年夜、2024芦淞服饰消费节等活动，持续拉动消费需求，同时在今年国庆期间，举办了“2024年航空嘉年华”活动，据统计，假期期间接待游客近60万人，拉动消费近1000万元。</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加强商业项目招引，夯实中心商圈。</w:t>
      </w:r>
      <w:r>
        <w:rPr>
          <w:rFonts w:hint="default" w:ascii="Times New Roman" w:hAnsi="Times New Roman" w:eastAsia="仿宋_GB2312" w:cs="Times New Roman"/>
          <w:b w:val="0"/>
          <w:bCs w:val="0"/>
          <w:color w:val="auto"/>
          <w:kern w:val="2"/>
          <w:sz w:val="32"/>
          <w:szCs w:val="32"/>
          <w:lang w:val="en-US" w:eastAsia="zh-CN" w:bidi="ar-SA"/>
        </w:rPr>
        <w:t>引进正荣集团在原平和堂开办荣时代商业广场，并引进国内知名生鲜超市连锁品牌盒马鲜生入驻荣时代，于10月1日开业。荣时代商业广场国庆节期间实现销售额4000万元；盒马鲜生开业至今已实现销售额3000余万元；引进经营面积1500平米的迪信通手机连锁超市入驻家润多商业广场，一楼自9月份开业以来，目前已完成1100万元销售额。</w:t>
      </w:r>
      <w:r>
        <w:rPr>
          <w:rFonts w:hint="default" w:ascii="Times New Roman" w:hAnsi="Times New Roman" w:eastAsia="仿宋_GB2312" w:cs="Times New Roman"/>
          <w:b/>
          <w:bCs/>
          <w:color w:val="auto"/>
          <w:kern w:val="2"/>
          <w:sz w:val="32"/>
          <w:szCs w:val="32"/>
          <w:lang w:val="en-US" w:eastAsia="zh-CN" w:bidi="ar-SA"/>
        </w:rPr>
        <w:t>五是</w:t>
      </w:r>
      <w:r>
        <w:rPr>
          <w:rFonts w:hint="default" w:ascii="Times New Roman" w:hAnsi="Times New Roman" w:eastAsia="仿宋_GB2312" w:cs="Times New Roman"/>
          <w:b w:val="0"/>
          <w:bCs w:val="0"/>
          <w:color w:val="auto"/>
          <w:kern w:val="2"/>
          <w:sz w:val="32"/>
          <w:szCs w:val="32"/>
          <w:lang w:val="en-US" w:eastAsia="zh-CN" w:bidi="ar-SA"/>
        </w:rPr>
        <w:t>大力落实国家政策，推进以旧换新。深入推进2024“惠购湘车”以旧换新活动，家电以旧换新共组织指导32家企业门店参加活动，家装以旧焕新共组织指导44家企业门店参加活动，汽车企业1家，电动自行车企业7家，其中家电以旧换新自开展以来，活动十分火爆效果非常明显，截止12月5日，已完成38096笔交易，销售金额1.63亿元，优惠补贴0.3亿元。</w:t>
      </w:r>
    </w:p>
    <w:p w14:paraId="35DC59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Style w:val="6"/>
          <w:rFonts w:hint="default" w:ascii="Times New Roman" w:hAnsi="Times New Roman" w:eastAsia="仿宋_GB2312" w:cs="Times New Roman"/>
          <w:b/>
          <w:bCs/>
          <w:color w:val="auto"/>
          <w:kern w:val="2"/>
          <w:sz w:val="32"/>
          <w:szCs w:val="32"/>
          <w:lang w:val="en-US" w:eastAsia="zh-CN" w:bidi="ar-SA"/>
        </w:rPr>
        <w:t>3.外贸方面。</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eastAsia="zh-CN"/>
        </w:rPr>
        <w:t>全区</w:t>
      </w:r>
      <w:r>
        <w:rPr>
          <w:rFonts w:hint="default" w:ascii="Times New Roman" w:hAnsi="Times New Roman" w:eastAsia="仿宋_GB2312" w:cs="Times New Roman"/>
          <w:b w:val="0"/>
          <w:bCs w:val="0"/>
          <w:sz w:val="32"/>
          <w:szCs w:val="32"/>
        </w:rPr>
        <w:t>完成进出口总额</w:t>
      </w:r>
      <w:r>
        <w:rPr>
          <w:rFonts w:hint="default" w:ascii="Times New Roman" w:hAnsi="Times New Roman" w:eastAsia="仿宋_GB2312" w:cs="Times New Roman"/>
          <w:b w:val="0"/>
          <w:bCs w:val="0"/>
          <w:sz w:val="32"/>
          <w:szCs w:val="32"/>
          <w:lang w:val="en-US" w:eastAsia="zh-CN"/>
        </w:rPr>
        <w:t>11.22</w:t>
      </w:r>
      <w:r>
        <w:rPr>
          <w:rFonts w:hint="default" w:ascii="Times New Roman" w:hAnsi="Times New Roman" w:eastAsia="仿宋_GB2312" w:cs="Times New Roman"/>
          <w:b w:val="0"/>
          <w:bCs w:val="0"/>
          <w:sz w:val="32"/>
          <w:szCs w:val="32"/>
        </w:rPr>
        <w:t>亿元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同比增长</w:t>
      </w:r>
      <w:r>
        <w:rPr>
          <w:rFonts w:hint="default" w:ascii="Times New Roman" w:hAnsi="Times New Roman" w:eastAsia="仿宋_GB2312" w:cs="Times New Roman"/>
          <w:b w:val="0"/>
          <w:bCs w:val="0"/>
          <w:sz w:val="32"/>
          <w:szCs w:val="32"/>
          <w:lang w:val="en-US" w:eastAsia="zh-CN"/>
        </w:rPr>
        <w:t>34.4</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完成年度指标任务</w:t>
      </w:r>
      <w:r>
        <w:rPr>
          <w:rFonts w:hint="default" w:ascii="Times New Roman" w:hAnsi="Times New Roman" w:eastAsia="仿宋_GB2312" w:cs="Times New Roman"/>
          <w:b w:val="0"/>
          <w:bCs w:val="0"/>
          <w:sz w:val="32"/>
          <w:szCs w:val="32"/>
          <w:lang w:val="en-US" w:eastAsia="zh-CN"/>
        </w:rPr>
        <w:t>101.08</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b w:val="0"/>
          <w:bCs w:val="0"/>
          <w:sz w:val="32"/>
          <w:szCs w:val="32"/>
          <w:lang w:val="en-US" w:eastAsia="zh-CN"/>
        </w:rPr>
        <w:t>壮大外贸主体。</w:t>
      </w:r>
      <w:r>
        <w:rPr>
          <w:rFonts w:hint="default" w:ascii="Times New Roman" w:hAnsi="Times New Roman" w:eastAsia="仿宋_GB2312" w:cs="Times New Roman"/>
          <w:b w:val="0"/>
          <w:bCs w:val="0"/>
          <w:color w:val="auto"/>
          <w:sz w:val="32"/>
          <w:szCs w:val="32"/>
          <w:lang w:val="en-US" w:eastAsia="zh-CN"/>
        </w:rPr>
        <w:t>1-11月份，</w:t>
      </w:r>
      <w:r>
        <w:rPr>
          <w:rFonts w:hint="default" w:ascii="Times New Roman" w:hAnsi="Times New Roman" w:eastAsia="仿宋_GB2312" w:cs="Times New Roman"/>
          <w:b w:val="0"/>
          <w:bCs w:val="0"/>
          <w:sz w:val="32"/>
          <w:szCs w:val="32"/>
        </w:rPr>
        <w:t>新增</w:t>
      </w:r>
      <w:r>
        <w:rPr>
          <w:rFonts w:hint="default" w:ascii="Times New Roman" w:hAnsi="Times New Roman" w:eastAsia="仿宋_GB2312" w:cs="Times New Roman"/>
          <w:b w:val="0"/>
          <w:bCs w:val="0"/>
          <w:sz w:val="32"/>
          <w:szCs w:val="32"/>
          <w:lang w:val="en-US" w:eastAsia="zh-CN"/>
        </w:rPr>
        <w:t>实绩</w:t>
      </w:r>
      <w:r>
        <w:rPr>
          <w:rFonts w:hint="default" w:ascii="Times New Roman" w:hAnsi="Times New Roman" w:eastAsia="仿宋_GB2312" w:cs="Times New Roman"/>
          <w:b w:val="0"/>
          <w:bCs w:val="0"/>
          <w:sz w:val="32"/>
          <w:szCs w:val="32"/>
        </w:rPr>
        <w:t>外贸企业</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全区累计</w:t>
      </w:r>
      <w:r>
        <w:rPr>
          <w:rFonts w:hint="default" w:ascii="Times New Roman" w:hAnsi="Times New Roman" w:eastAsia="仿宋_GB2312" w:cs="Times New Roman"/>
          <w:b w:val="0"/>
          <w:bCs w:val="0"/>
          <w:sz w:val="32"/>
          <w:szCs w:val="32"/>
          <w:lang w:val="en-US" w:eastAsia="zh-CN"/>
        </w:rPr>
        <w:t>完成实绩</w:t>
      </w:r>
      <w:r>
        <w:rPr>
          <w:rFonts w:hint="default" w:ascii="Times New Roman" w:hAnsi="Times New Roman" w:eastAsia="仿宋_GB2312" w:cs="Times New Roman"/>
          <w:b w:val="0"/>
          <w:bCs w:val="0"/>
          <w:sz w:val="32"/>
          <w:szCs w:val="32"/>
        </w:rPr>
        <w:t>外贸企业</w:t>
      </w:r>
      <w:r>
        <w:rPr>
          <w:rFonts w:hint="default" w:ascii="Times New Roman" w:hAnsi="Times New Roman" w:eastAsia="仿宋_GB2312" w:cs="Times New Roman"/>
          <w:b w:val="0"/>
          <w:bCs w:val="0"/>
          <w:sz w:val="32"/>
          <w:szCs w:val="32"/>
          <w:lang w:val="en-US" w:eastAsia="zh-CN"/>
        </w:rPr>
        <w:t>51</w:t>
      </w:r>
      <w:r>
        <w:rPr>
          <w:rFonts w:hint="default" w:ascii="Times New Roman" w:hAnsi="Times New Roman" w:eastAsia="仿宋_GB2312" w:cs="Times New Roman"/>
          <w:b w:val="0"/>
          <w:bCs w:val="0"/>
          <w:sz w:val="32"/>
          <w:szCs w:val="32"/>
        </w:rPr>
        <w:t>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超额完成全年任务。</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推动业绩回流。针对我区存在的服饰外贸企业“无自主订单，以代加工为主”的实际情况，引导企业通过线上、线下贸易推动服饰外贸业绩回流。一方面引导智连创园等企业参加“广交会”等国内大型展会及非洲地区的国际展会，增强企业产品的知名度；另一方面通过跨境电商平台推动服饰出口。2024年引进和培育跨境电商企业10家，通过希音、拼多多TEMU、阿里巴巴国际站等平台达成跨境出口近千万元。</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开拓国际市场。依靠上级领导，组织企业到哈萨克斯坦、阿联酋等国家参观考察，并邀请国外相关企业来我区参观考察，努力推动双边贸易。</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做好服务工作。组织参加业务培训。今年共组织企业参加外贸业务培训62人次，学习了出口退税、洗头报关、相关外贸政策解读等业务知识；为企业争取扶持。今年已为企业争取并到位外贸扶持资金30万元，同时组织企业申报2024年外贸促进资金62万元。</w:t>
      </w:r>
    </w:p>
    <w:p w14:paraId="016C209A">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 w:val="0"/>
          <w:bCs/>
          <w:color w:val="auto"/>
          <w:kern w:val="2"/>
          <w:sz w:val="32"/>
          <w:szCs w:val="32"/>
          <w:lang w:val="zh-CN" w:eastAsia="zh-CN" w:bidi="ar-SA"/>
        </w:rPr>
      </w:pPr>
      <w:r>
        <w:rPr>
          <w:rFonts w:hint="default" w:ascii="Times New Roman" w:hAnsi="Times New Roman" w:eastAsia="仿宋_GB2312" w:cs="Times New Roman"/>
          <w:b/>
          <w:bCs/>
          <w:kern w:val="2"/>
          <w:sz w:val="32"/>
          <w:szCs w:val="32"/>
          <w:lang w:val="en-US" w:eastAsia="zh-CN" w:bidi="ar-SA"/>
        </w:rPr>
        <w:t>4.电商及服饰方面。一是</w:t>
      </w:r>
      <w:r>
        <w:rPr>
          <w:rFonts w:hint="default" w:ascii="Times New Roman" w:hAnsi="Times New Roman" w:eastAsia="仿宋_GB2312" w:cs="Times New Roman"/>
          <w:b w:val="0"/>
          <w:bCs w:val="0"/>
          <w:kern w:val="2"/>
          <w:sz w:val="32"/>
          <w:szCs w:val="32"/>
          <w:lang w:val="en-US" w:eastAsia="zh-CN" w:bidi="ar-SA"/>
        </w:rPr>
        <w:t>电</w:t>
      </w:r>
      <w:r>
        <w:rPr>
          <w:rFonts w:hint="default" w:ascii="Times New Roman" w:hAnsi="Times New Roman" w:eastAsia="仿宋_GB2312" w:cs="Times New Roman"/>
          <w:b w:val="0"/>
          <w:bCs w:val="0"/>
          <w:sz w:val="32"/>
          <w:szCs w:val="32"/>
          <w:lang w:val="en-US" w:eastAsia="zh-CN"/>
        </w:rPr>
        <w:t>商企业数。截至目前引进跨境电商企业10家，已完成全年任务。9月21日，中国跨境电商及新电商交易博览会在福州召开，智连创园跨境电商产业园被评为优秀跨境电商园区。</w:t>
      </w:r>
      <w:r>
        <w:rPr>
          <w:rFonts w:hint="default" w:ascii="Times New Roman" w:hAnsi="Times New Roman" w:eastAsia="仿宋_GB2312" w:cs="Times New Roman"/>
          <w:b/>
          <w:bCs/>
          <w:color w:val="000000"/>
          <w:kern w:val="2"/>
          <w:sz w:val="32"/>
          <w:szCs w:val="32"/>
          <w:lang w:val="en-US" w:eastAsia="zh-CN" w:bidi="ar-SA"/>
        </w:rPr>
        <w:t>二是</w:t>
      </w:r>
      <w:r>
        <w:rPr>
          <w:rFonts w:hint="default" w:ascii="Times New Roman" w:hAnsi="Times New Roman" w:eastAsia="仿宋_GB2312" w:cs="Times New Roman"/>
          <w:b w:val="0"/>
          <w:bCs w:val="0"/>
          <w:color w:val="000000"/>
          <w:kern w:val="2"/>
          <w:sz w:val="32"/>
          <w:szCs w:val="32"/>
          <w:lang w:val="en-US" w:eastAsia="zh-CN" w:bidi="ar-SA"/>
        </w:rPr>
        <w:t>推动服饰外贸出海。组织童装协会、服饰生产企业</w:t>
      </w:r>
      <w:r>
        <w:rPr>
          <w:rFonts w:hint="default" w:ascii="Times New Roman" w:hAnsi="Times New Roman" w:eastAsia="仿宋_GB2312" w:cs="Times New Roman"/>
          <w:b w:val="0"/>
          <w:bCs w:val="0"/>
          <w:sz w:val="32"/>
          <w:szCs w:val="32"/>
          <w:lang w:val="en-US" w:eastAsia="zh-CN"/>
        </w:rPr>
        <w:t>赴中东开展经贸对接活动,邀请迪拜龙城采购商10月底来株考察洽谈。</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color w:val="000000"/>
          <w:kern w:val="2"/>
          <w:sz w:val="32"/>
          <w:szCs w:val="32"/>
          <w:lang w:val="en-US" w:eastAsia="zh-CN" w:bidi="ar-SA"/>
        </w:rPr>
        <w:t>株洲服饰大放异彩。</w:t>
      </w:r>
      <w:r>
        <w:rPr>
          <w:rFonts w:hint="default" w:ascii="Times New Roman" w:hAnsi="Times New Roman" w:eastAsia="仿宋_GB2312" w:cs="Times New Roman"/>
          <w:b w:val="0"/>
          <w:bCs w:val="0"/>
          <w:sz w:val="32"/>
          <w:szCs w:val="32"/>
          <w:lang w:val="en-US" w:eastAsia="zh-CN"/>
        </w:rPr>
        <w:t>9月13日闭幕的北京中国国际时装周上，来自株洲芦淞的设计师马乖携其品牌“素白”惊艳亮相，一举夺得第30届中国十佳时装设计师殊荣，同时，“素白”品牌也荣获了2024年度时尚品牌奖，为株洲乃至湖南的服饰产业再添辉煌。</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lang w:val="en-US" w:eastAsia="zh-CN"/>
        </w:rPr>
        <w:t>成功举办2024年湖南服饰博览会暨芦淞时装周。9月24日以“聚时尚、链国际、创未来”为主题的服博会开幕，</w:t>
      </w:r>
      <w:r>
        <w:rPr>
          <w:rFonts w:hint="default" w:ascii="Times New Roman" w:hAnsi="Times New Roman" w:eastAsia="仿宋_GB2312" w:cs="Times New Roman"/>
          <w:b w:val="0"/>
          <w:bCs/>
          <w:color w:val="auto"/>
          <w:kern w:val="2"/>
          <w:sz w:val="32"/>
          <w:szCs w:val="32"/>
          <w:lang w:val="zh-CN" w:eastAsia="zh-CN" w:bidi="ar-SA"/>
        </w:rPr>
        <w:t>活动共吸引领导嘉宾445人、全国各地客商约1.5万人参加；芦淞市场群38个市场共接待零售、批发客商30余万人次，实现交易额约</w:t>
      </w:r>
      <w:r>
        <w:rPr>
          <w:rFonts w:hint="default" w:ascii="Times New Roman" w:hAnsi="Times New Roman" w:eastAsia="仿宋_GB2312" w:cs="Times New Roman"/>
          <w:b w:val="0"/>
          <w:bCs/>
          <w:color w:val="auto"/>
          <w:kern w:val="2"/>
          <w:sz w:val="32"/>
          <w:szCs w:val="32"/>
          <w:lang w:val="en-US" w:eastAsia="zh-CN" w:bidi="ar-SA"/>
        </w:rPr>
        <w:t>17</w:t>
      </w:r>
      <w:r>
        <w:rPr>
          <w:rFonts w:hint="default" w:ascii="Times New Roman" w:hAnsi="Times New Roman" w:eastAsia="仿宋_GB2312" w:cs="Times New Roman"/>
          <w:b w:val="0"/>
          <w:bCs/>
          <w:color w:val="auto"/>
          <w:kern w:val="2"/>
          <w:sz w:val="32"/>
          <w:szCs w:val="32"/>
          <w:lang w:val="zh-CN" w:eastAsia="zh-CN" w:bidi="ar-SA"/>
        </w:rPr>
        <w:t>亿元。有效激发了市场主体发展动能，集聚了线上线下人气，扩大了城市品牌影响力。</w:t>
      </w:r>
    </w:p>
    <w:p w14:paraId="190FE027">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33DFA1E6">
      <w:pPr>
        <w:pStyle w:val="5"/>
        <w:spacing w:line="600" w:lineRule="exact"/>
        <w:ind w:firstLine="640"/>
        <w:rPr>
          <w:rFonts w:hint="eastAsia" w:eastAsia="仿宋_GB2312"/>
          <w:color w:val="000000"/>
          <w:sz w:val="32"/>
          <w:szCs w:val="32"/>
          <w:lang w:val="en-US" w:eastAsia="zh-CN"/>
        </w:rPr>
      </w:pPr>
      <w:r>
        <w:rPr>
          <w:rFonts w:hint="eastAsia" w:eastAsia="仿宋_GB2312"/>
          <w:color w:val="000000"/>
          <w:sz w:val="32"/>
          <w:szCs w:val="32"/>
          <w:lang w:eastAsia="zh-CN"/>
        </w:rPr>
        <w:t>项目支出</w:t>
      </w:r>
      <w:r>
        <w:rPr>
          <w:rFonts w:hint="eastAsia" w:eastAsia="仿宋_GB2312"/>
          <w:color w:val="000000"/>
          <w:sz w:val="32"/>
          <w:szCs w:val="32"/>
          <w:lang w:val="en-US" w:eastAsia="zh-CN"/>
        </w:rPr>
        <w:t>846.71万元，其中服博会62.14万元，农贸市场提质改造66.60万元，招商引资及商贸流通项目97.31万元，企业培育资金1.80万元，疫情防控专项618.85万元。</w:t>
      </w:r>
    </w:p>
    <w:p w14:paraId="58FAC9FB">
      <w:pPr>
        <w:pStyle w:val="5"/>
        <w:spacing w:line="600" w:lineRule="exact"/>
        <w:ind w:firstLine="640"/>
        <w:rPr>
          <w:rFonts w:hint="eastAsia" w:eastAsia="仿宋_GB2312"/>
          <w:color w:val="000000"/>
          <w:sz w:val="32"/>
          <w:szCs w:val="32"/>
          <w:lang w:val="en-US" w:eastAsia="zh-CN"/>
        </w:rPr>
      </w:pPr>
      <w:r>
        <w:rPr>
          <w:rFonts w:hint="eastAsia" w:eastAsia="仿宋_GB2312"/>
          <w:color w:val="000000"/>
          <w:sz w:val="32"/>
          <w:szCs w:val="32"/>
          <w:lang w:val="en-US" w:eastAsia="zh-CN"/>
        </w:rPr>
        <w:t>项目绩效情况如下：</w:t>
      </w:r>
    </w:p>
    <w:p w14:paraId="4DE9DEFE">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1</w:t>
      </w:r>
      <w:r>
        <w:rPr>
          <w:rFonts w:hint="eastAsia" w:ascii="Times New Roman" w:hAnsi="Times New Roman" w:eastAsia="仿宋_GB2312" w:cs="Times New Roman"/>
          <w:kern w:val="2"/>
          <w:sz w:val="32"/>
          <w:szCs w:val="32"/>
          <w:lang w:val="en-US" w:eastAsia="zh-CN"/>
        </w:rPr>
        <w:t>.</w:t>
      </w:r>
      <w:r>
        <w:rPr>
          <w:rFonts w:hint="eastAsia" w:eastAsia="仿宋_GB2312" w:cs="Times New Roman"/>
          <w:kern w:val="2"/>
          <w:sz w:val="32"/>
          <w:szCs w:val="32"/>
          <w:highlight w:val="none"/>
          <w:lang w:eastAsia="zh-CN"/>
        </w:rPr>
        <w:t>服博会专项经费</w:t>
      </w:r>
      <w:r>
        <w:rPr>
          <w:rFonts w:hint="eastAsia" w:eastAsia="仿宋_GB2312" w:cs="Times New Roman"/>
          <w:kern w:val="2"/>
          <w:sz w:val="32"/>
          <w:szCs w:val="32"/>
          <w:highlight w:val="none"/>
          <w:lang w:val="en-US" w:eastAsia="zh-CN"/>
        </w:rPr>
        <w:t>62.14</w:t>
      </w:r>
      <w:r>
        <w:rPr>
          <w:rFonts w:hint="eastAsia" w:ascii="Times New Roman" w:hAnsi="Times New Roman" w:eastAsia="仿宋_GB2312" w:cs="Times New Roman"/>
          <w:kern w:val="2"/>
          <w:sz w:val="32"/>
          <w:szCs w:val="32"/>
          <w:highlight w:val="none"/>
        </w:rPr>
        <w:t>万元</w:t>
      </w:r>
      <w:r>
        <w:rPr>
          <w:rFonts w:hint="eastAsia" w:eastAsia="仿宋_GB2312" w:cs="Times New Roman"/>
          <w:kern w:val="2"/>
          <w:sz w:val="32"/>
          <w:szCs w:val="32"/>
          <w:highlight w:val="none"/>
          <w:lang w:eastAsia="zh-CN"/>
        </w:rPr>
        <w:t>。</w:t>
      </w:r>
    </w:p>
    <w:p w14:paraId="7DF8BFEC">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项目支出</w:t>
      </w:r>
      <w:r>
        <w:rPr>
          <w:rFonts w:hint="eastAsia" w:eastAsia="仿宋_GB2312" w:cs="Times New Roman"/>
          <w:kern w:val="2"/>
          <w:sz w:val="32"/>
          <w:szCs w:val="32"/>
          <w:highlight w:val="none"/>
          <w:lang w:val="en-US" w:eastAsia="zh-CN"/>
        </w:rPr>
        <w:t>62.14</w:t>
      </w:r>
      <w:r>
        <w:rPr>
          <w:rFonts w:hint="eastAsia" w:ascii="Times New Roman" w:hAnsi="Times New Roman" w:eastAsia="仿宋_GB2312" w:cs="Times New Roman"/>
          <w:kern w:val="2"/>
          <w:sz w:val="32"/>
          <w:szCs w:val="32"/>
        </w:rPr>
        <w:t>万元，主要用于</w:t>
      </w:r>
      <w:r>
        <w:rPr>
          <w:rFonts w:hint="eastAsia" w:eastAsia="仿宋_GB2312" w:cs="Times New Roman"/>
          <w:kern w:val="2"/>
          <w:sz w:val="32"/>
          <w:szCs w:val="32"/>
          <w:highlight w:val="none"/>
          <w:lang w:eastAsia="zh-CN"/>
        </w:rPr>
        <w:t>上级专款支付</w:t>
      </w:r>
      <w:r>
        <w:rPr>
          <w:rFonts w:hint="eastAsia" w:eastAsia="仿宋_GB2312" w:cs="Times New Roman"/>
          <w:kern w:val="2"/>
          <w:sz w:val="32"/>
          <w:szCs w:val="32"/>
          <w:highlight w:val="none"/>
          <w:lang w:val="en-US" w:eastAsia="zh-CN"/>
        </w:rPr>
        <w:t>2023年度服博会费用</w:t>
      </w:r>
      <w:r>
        <w:rPr>
          <w:rFonts w:hint="eastAsia" w:ascii="Times New Roman" w:hAnsi="Times New Roman" w:eastAsia="仿宋_GB2312" w:cs="Times New Roman"/>
          <w:kern w:val="2"/>
          <w:sz w:val="32"/>
          <w:szCs w:val="32"/>
        </w:rPr>
        <w:t>。</w:t>
      </w:r>
    </w:p>
    <w:p w14:paraId="3C9691A5">
      <w:pPr>
        <w:numPr>
          <w:ilvl w:val="0"/>
          <w:numId w:val="0"/>
        </w:numPr>
        <w:tabs>
          <w:tab w:val="left" w:pos="7560"/>
        </w:tabs>
        <w:adjustRightInd w:val="0"/>
        <w:snapToGrid w:val="0"/>
        <w:spacing w:line="560" w:lineRule="exact"/>
        <w:ind w:left="0" w:leftChars="0"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highlight w:val="none"/>
          <w:lang w:val="en-US" w:eastAsia="zh-CN"/>
        </w:rPr>
        <w:t>2.</w:t>
      </w:r>
      <w:r>
        <w:rPr>
          <w:rFonts w:hint="eastAsia" w:ascii="Times New Roman" w:hAnsi="Times New Roman" w:eastAsia="仿宋_GB2312" w:cs="Times New Roman"/>
          <w:kern w:val="2"/>
          <w:sz w:val="32"/>
          <w:szCs w:val="32"/>
          <w:highlight w:val="none"/>
        </w:rPr>
        <w:t>农贸市场</w:t>
      </w:r>
      <w:r>
        <w:rPr>
          <w:rFonts w:hint="eastAsia" w:ascii="Times New Roman" w:hAnsi="Times New Roman" w:eastAsia="仿宋_GB2312" w:cs="Times New Roman"/>
          <w:kern w:val="2"/>
          <w:sz w:val="32"/>
          <w:szCs w:val="32"/>
          <w:highlight w:val="none"/>
          <w:lang w:eastAsia="zh-CN"/>
        </w:rPr>
        <w:t>提质</w:t>
      </w:r>
      <w:r>
        <w:rPr>
          <w:rFonts w:hint="eastAsia" w:ascii="Times New Roman" w:hAnsi="Times New Roman" w:eastAsia="仿宋_GB2312" w:cs="Times New Roman"/>
          <w:kern w:val="2"/>
          <w:sz w:val="32"/>
          <w:szCs w:val="32"/>
          <w:highlight w:val="none"/>
        </w:rPr>
        <w:t>改造</w:t>
      </w:r>
      <w:r>
        <w:rPr>
          <w:rFonts w:hint="eastAsia" w:ascii="Times New Roman" w:hAnsi="Times New Roman" w:eastAsia="仿宋_GB2312" w:cs="Times New Roman"/>
          <w:kern w:val="2"/>
          <w:sz w:val="32"/>
          <w:szCs w:val="32"/>
          <w:highlight w:val="none"/>
          <w:lang w:eastAsia="zh-CN"/>
        </w:rPr>
        <w:t>项目。</w:t>
      </w:r>
    </w:p>
    <w:p w14:paraId="31157F81">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eastAsia="zh-CN"/>
        </w:rPr>
        <w:t>项目支出</w:t>
      </w:r>
      <w:r>
        <w:rPr>
          <w:rFonts w:hint="eastAsia" w:eastAsia="仿宋_GB2312"/>
          <w:color w:val="000000"/>
          <w:sz w:val="32"/>
          <w:szCs w:val="32"/>
          <w:lang w:val="en-US" w:eastAsia="zh-CN"/>
        </w:rPr>
        <w:t>66.60</w:t>
      </w:r>
      <w:r>
        <w:rPr>
          <w:rFonts w:hint="eastAsia" w:ascii="Times New Roman" w:hAnsi="Times New Roman" w:eastAsia="仿宋_GB2312" w:cs="Times New Roman"/>
          <w:kern w:val="2"/>
          <w:sz w:val="32"/>
          <w:szCs w:val="32"/>
          <w:highlight w:val="none"/>
        </w:rPr>
        <w:t>万元</w:t>
      </w:r>
      <w:r>
        <w:rPr>
          <w:rFonts w:hint="eastAsia" w:ascii="Times New Roman" w:hAnsi="Times New Roman" w:eastAsia="仿宋_GB2312" w:cs="Times New Roman"/>
          <w:kern w:val="2"/>
          <w:sz w:val="32"/>
          <w:szCs w:val="32"/>
          <w:highlight w:val="none"/>
          <w:lang w:eastAsia="zh-CN"/>
        </w:rPr>
        <w:t>，为之前年度结余资金，主要用于支付农贸市场提质改造补贴资金。</w:t>
      </w:r>
    </w:p>
    <w:p w14:paraId="58D3AA83">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highlight w:val="none"/>
          <w:lang w:eastAsia="zh-CN"/>
        </w:rPr>
        <w:t>该项目支付</w:t>
      </w:r>
      <w:r>
        <w:rPr>
          <w:rFonts w:hint="eastAsia" w:ascii="Times New Roman" w:hAnsi="Times New Roman" w:eastAsia="仿宋_GB2312" w:cs="Times New Roman"/>
          <w:kern w:val="2"/>
          <w:sz w:val="32"/>
          <w:szCs w:val="32"/>
          <w:highlight w:val="none"/>
          <w:lang w:val="en-US" w:eastAsia="zh-CN"/>
        </w:rPr>
        <w:t>5家农贸市场2021年、2022年提质改造补贴费用。</w:t>
      </w:r>
    </w:p>
    <w:p w14:paraId="5493A2A2">
      <w:pPr>
        <w:numPr>
          <w:ilvl w:val="0"/>
          <w:numId w:val="0"/>
        </w:numPr>
        <w:tabs>
          <w:tab w:val="left" w:pos="7560"/>
        </w:tabs>
        <w:adjustRightInd w:val="0"/>
        <w:snapToGrid w:val="0"/>
        <w:spacing w:line="560" w:lineRule="exact"/>
        <w:ind w:leftChars="0" w:firstLine="640" w:firstLineChars="200"/>
        <w:rPr>
          <w:rFonts w:hint="eastAsia"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3.</w:t>
      </w:r>
      <w:r>
        <w:rPr>
          <w:rFonts w:hint="eastAsia" w:eastAsia="仿宋_GB2312"/>
          <w:color w:val="000000"/>
          <w:sz w:val="32"/>
          <w:szCs w:val="32"/>
          <w:lang w:val="en-US" w:eastAsia="zh-CN"/>
        </w:rPr>
        <w:t>招商引资及商贸流通项目97.31万元</w:t>
      </w:r>
      <w:r>
        <w:rPr>
          <w:rFonts w:hint="eastAsia" w:ascii="Times New Roman" w:hAnsi="Times New Roman" w:eastAsia="仿宋_GB2312" w:cs="Times New Roman"/>
          <w:kern w:val="2"/>
          <w:sz w:val="32"/>
          <w:szCs w:val="32"/>
          <w:highlight w:val="none"/>
        </w:rPr>
        <w:t>；</w:t>
      </w:r>
    </w:p>
    <w:p w14:paraId="50B59B7A">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项目支出</w:t>
      </w:r>
      <w:r>
        <w:rPr>
          <w:rFonts w:hint="eastAsia" w:eastAsia="仿宋_GB2312"/>
          <w:color w:val="000000"/>
          <w:sz w:val="32"/>
          <w:szCs w:val="32"/>
          <w:lang w:val="en-US" w:eastAsia="zh-CN"/>
        </w:rPr>
        <w:t>97.31</w:t>
      </w:r>
      <w:r>
        <w:rPr>
          <w:rFonts w:hint="eastAsia" w:ascii="Times New Roman" w:hAnsi="Times New Roman" w:eastAsia="仿宋_GB2312" w:cs="Times New Roman"/>
          <w:kern w:val="2"/>
          <w:sz w:val="32"/>
          <w:szCs w:val="32"/>
          <w:highlight w:val="none"/>
        </w:rPr>
        <w:t>万元</w:t>
      </w:r>
      <w:r>
        <w:rPr>
          <w:rFonts w:hint="eastAsia" w:ascii="Times New Roman" w:hAnsi="Times New Roman" w:eastAsia="仿宋_GB2312" w:cs="Times New Roman"/>
          <w:kern w:val="2"/>
          <w:sz w:val="32"/>
          <w:szCs w:val="32"/>
          <w:highlight w:val="none"/>
          <w:lang w:val="en-US" w:eastAsia="zh-CN"/>
        </w:rPr>
        <w:t>,为区级专项资金，</w:t>
      </w:r>
      <w:r>
        <w:rPr>
          <w:rFonts w:hint="eastAsia" w:ascii="Times New Roman" w:hAnsi="Times New Roman" w:eastAsia="仿宋_GB2312" w:cs="Times New Roman"/>
          <w:kern w:val="2"/>
          <w:sz w:val="32"/>
          <w:szCs w:val="32"/>
        </w:rPr>
        <w:t>主要用于</w:t>
      </w:r>
      <w:r>
        <w:rPr>
          <w:rFonts w:hint="eastAsia" w:ascii="Times New Roman" w:hAnsi="Times New Roman" w:eastAsia="仿宋_GB2312" w:cs="Times New Roman"/>
          <w:kern w:val="2"/>
          <w:sz w:val="32"/>
          <w:szCs w:val="32"/>
          <w:lang w:eastAsia="zh-CN"/>
        </w:rPr>
        <w:t>支付招商引资相关招商小分队差旅、商务接待、招商资料制作等相关费用</w:t>
      </w:r>
      <w:r>
        <w:rPr>
          <w:rFonts w:hint="eastAsia" w:ascii="Times New Roman" w:hAnsi="Times New Roman" w:eastAsia="仿宋_GB2312" w:cs="Times New Roman"/>
          <w:kern w:val="2"/>
          <w:sz w:val="32"/>
          <w:szCs w:val="32"/>
        </w:rPr>
        <w:t>。</w:t>
      </w:r>
    </w:p>
    <w:p w14:paraId="5AA0F890">
      <w:pPr>
        <w:numPr>
          <w:ilvl w:val="0"/>
          <w:numId w:val="0"/>
        </w:numPr>
        <w:tabs>
          <w:tab w:val="left" w:pos="7560"/>
        </w:tabs>
        <w:adjustRightInd w:val="0"/>
        <w:snapToGrid w:val="0"/>
        <w:spacing w:line="560" w:lineRule="exact"/>
        <w:ind w:firstLine="640" w:firstLineChars="200"/>
        <w:rPr>
          <w:rFonts w:hint="eastAsia" w:eastAsia="仿宋_GB2312"/>
          <w:color w:val="000000"/>
          <w:sz w:val="32"/>
          <w:szCs w:val="32"/>
          <w:lang w:val="en-US" w:eastAsia="zh-CN"/>
        </w:rPr>
      </w:pPr>
      <w:r>
        <w:rPr>
          <w:rFonts w:hint="eastAsia" w:eastAsia="仿宋_GB2312" w:cs="Times New Roman"/>
          <w:kern w:val="2"/>
          <w:sz w:val="32"/>
          <w:szCs w:val="32"/>
          <w:lang w:val="en-US" w:eastAsia="zh-CN"/>
        </w:rPr>
        <w:t>4.</w:t>
      </w:r>
      <w:r>
        <w:rPr>
          <w:rFonts w:hint="eastAsia" w:eastAsia="仿宋_GB2312"/>
          <w:color w:val="000000"/>
          <w:sz w:val="32"/>
          <w:szCs w:val="32"/>
          <w:lang w:val="en-US" w:eastAsia="zh-CN"/>
        </w:rPr>
        <w:t>企业培育资金1.80万元；</w:t>
      </w:r>
    </w:p>
    <w:p w14:paraId="69060D40">
      <w:pPr>
        <w:numPr>
          <w:ilvl w:val="0"/>
          <w:numId w:val="0"/>
        </w:numPr>
        <w:tabs>
          <w:tab w:val="left" w:pos="7560"/>
        </w:tabs>
        <w:adjustRightInd w:val="0"/>
        <w:snapToGrid w:val="0"/>
        <w:spacing w:line="560" w:lineRule="exact"/>
        <w:rPr>
          <w:rFonts w:hint="default" w:eastAsia="仿宋_GB2312"/>
          <w:color w:val="000000"/>
          <w:sz w:val="32"/>
          <w:szCs w:val="32"/>
          <w:lang w:val="en-US" w:eastAsia="zh-CN"/>
        </w:rPr>
      </w:pPr>
      <w:r>
        <w:rPr>
          <w:rFonts w:hint="eastAsia" w:eastAsia="仿宋_GB2312"/>
          <w:color w:val="000000"/>
          <w:sz w:val="32"/>
          <w:szCs w:val="32"/>
          <w:lang w:val="en-US" w:eastAsia="zh-CN"/>
        </w:rPr>
        <w:t xml:space="preserve">    项目支出1.80万元，为区级预算调整，由其他单位调整至我单位，主要用于支付小升规、企业培育等专项工作经费。</w:t>
      </w:r>
    </w:p>
    <w:p w14:paraId="66B7E1CA">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5.疫情防控项目</w:t>
      </w:r>
    </w:p>
    <w:p w14:paraId="6D794F37">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rPr>
        <w:t>项目支出</w:t>
      </w:r>
      <w:r>
        <w:rPr>
          <w:rFonts w:hint="eastAsia" w:eastAsia="仿宋_GB2312"/>
          <w:color w:val="000000"/>
          <w:sz w:val="32"/>
          <w:szCs w:val="32"/>
          <w:lang w:val="en-US" w:eastAsia="zh-CN"/>
        </w:rPr>
        <w:t>618.85</w:t>
      </w:r>
      <w:r>
        <w:rPr>
          <w:rFonts w:hint="eastAsia" w:ascii="Times New Roman" w:hAnsi="Times New Roman" w:eastAsia="仿宋_GB2312" w:cs="Times New Roman"/>
          <w:kern w:val="2"/>
          <w:sz w:val="32"/>
          <w:szCs w:val="32"/>
          <w:highlight w:val="none"/>
        </w:rPr>
        <w:t>万元</w:t>
      </w:r>
      <w:r>
        <w:rPr>
          <w:rFonts w:hint="eastAsia" w:ascii="Times New Roman" w:hAnsi="Times New Roman" w:eastAsia="仿宋_GB2312" w:cs="Times New Roman"/>
          <w:kern w:val="2"/>
          <w:sz w:val="32"/>
          <w:szCs w:val="32"/>
        </w:rPr>
        <w:t>，主要用于</w:t>
      </w:r>
      <w:r>
        <w:rPr>
          <w:rFonts w:hint="eastAsia" w:ascii="Times New Roman" w:hAnsi="Times New Roman" w:eastAsia="仿宋_GB2312" w:cs="Times New Roman"/>
          <w:kern w:val="2"/>
          <w:sz w:val="32"/>
          <w:szCs w:val="32"/>
          <w:lang w:eastAsia="zh-CN"/>
        </w:rPr>
        <w:t>支付芦淞区</w:t>
      </w:r>
      <w:r>
        <w:rPr>
          <w:rFonts w:hint="eastAsia" w:ascii="Times New Roman" w:hAnsi="Times New Roman" w:eastAsia="仿宋_GB2312" w:cs="Times New Roman"/>
          <w:kern w:val="2"/>
          <w:sz w:val="32"/>
          <w:szCs w:val="32"/>
          <w:highlight w:val="none"/>
          <w:lang w:val="en-US" w:eastAsia="zh-CN"/>
        </w:rPr>
        <w:t>2022年疫情期间隔离酒店相关费用。</w:t>
      </w:r>
    </w:p>
    <w:p w14:paraId="230787AA">
      <w:pPr>
        <w:numPr>
          <w:ilvl w:val="0"/>
          <w:numId w:val="0"/>
        </w:numPr>
        <w:tabs>
          <w:tab w:val="left" w:pos="7560"/>
        </w:tabs>
        <w:adjustRightInd w:val="0"/>
        <w:snapToGrid w:val="0"/>
        <w:spacing w:line="560" w:lineRule="exact"/>
        <w:ind w:firstLine="640" w:firstLineChars="200"/>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支付</w:t>
      </w:r>
      <w:r>
        <w:rPr>
          <w:rFonts w:hint="eastAsia" w:eastAsia="仿宋_GB2312" w:cs="Times New Roman"/>
          <w:kern w:val="2"/>
          <w:sz w:val="32"/>
          <w:szCs w:val="32"/>
          <w:highlight w:val="none"/>
          <w:lang w:val="en-US" w:eastAsia="zh-CN"/>
        </w:rPr>
        <w:t>7</w:t>
      </w:r>
      <w:r>
        <w:rPr>
          <w:rFonts w:hint="eastAsia" w:ascii="Times New Roman" w:hAnsi="Times New Roman" w:eastAsia="仿宋_GB2312" w:cs="Times New Roman"/>
          <w:kern w:val="2"/>
          <w:sz w:val="32"/>
          <w:szCs w:val="32"/>
          <w:highlight w:val="none"/>
          <w:lang w:val="en-US" w:eastAsia="zh-CN"/>
        </w:rPr>
        <w:t>家酒店、餐饮店2022年疫情期间费用。</w:t>
      </w:r>
    </w:p>
    <w:p w14:paraId="60DFFE87">
      <w:pPr>
        <w:pStyle w:val="5"/>
        <w:numPr>
          <w:ilvl w:val="0"/>
          <w:numId w:val="3"/>
        </w:numPr>
        <w:spacing w:line="600" w:lineRule="exact"/>
        <w:ind w:firstLine="640"/>
        <w:rPr>
          <w:rFonts w:ascii="Times New Roman" w:hAnsi="Times New Roman" w:eastAsia="黑体"/>
          <w:sz w:val="32"/>
          <w:szCs w:val="32"/>
        </w:rPr>
      </w:pPr>
      <w:r>
        <w:rPr>
          <w:rFonts w:ascii="Times New Roman" w:hAnsi="Times New Roman" w:eastAsia="黑体"/>
          <w:sz w:val="32"/>
          <w:szCs w:val="32"/>
        </w:rPr>
        <w:t>存在的问题及原因分析</w:t>
      </w:r>
    </w:p>
    <w:p w14:paraId="2120BB69">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eastAsia="zh-CN"/>
        </w:rPr>
        <w:t>本单位项目支出未纳入部门预算的原因为</w:t>
      </w:r>
      <w:r>
        <w:rPr>
          <w:rFonts w:hint="eastAsia" w:ascii="Times New Roman" w:hAnsi="Times New Roman" w:eastAsia="仿宋_GB2312" w:cs="Times New Roman"/>
          <w:kern w:val="2"/>
          <w:sz w:val="32"/>
          <w:szCs w:val="32"/>
          <w:lang w:val="en-US" w:eastAsia="zh-CN"/>
        </w:rPr>
        <w:t>:</w:t>
      </w:r>
    </w:p>
    <w:p w14:paraId="67EF903E">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highlight w:val="none"/>
          <w:lang w:val="en-US" w:eastAsia="zh-CN"/>
        </w:rPr>
        <w:t>1.</w:t>
      </w:r>
      <w:r>
        <w:rPr>
          <w:rFonts w:hint="eastAsia" w:ascii="Times New Roman" w:hAnsi="Times New Roman" w:eastAsia="仿宋_GB2312" w:cs="Times New Roman"/>
          <w:kern w:val="2"/>
          <w:sz w:val="32"/>
          <w:szCs w:val="32"/>
          <w:lang w:val="en-US" w:eastAsia="zh-CN"/>
        </w:rPr>
        <w:t>疫情防控</w:t>
      </w:r>
      <w:r>
        <w:rPr>
          <w:rFonts w:hint="eastAsia" w:eastAsia="仿宋_GB2312" w:cs="Times New Roman"/>
          <w:kern w:val="2"/>
          <w:sz w:val="32"/>
          <w:szCs w:val="32"/>
          <w:lang w:val="en-US" w:eastAsia="zh-CN"/>
        </w:rPr>
        <w:t>、</w:t>
      </w:r>
      <w:r>
        <w:rPr>
          <w:rFonts w:hint="eastAsia" w:eastAsia="仿宋_GB2312"/>
          <w:color w:val="000000"/>
          <w:sz w:val="32"/>
          <w:szCs w:val="32"/>
          <w:lang w:val="en-US" w:eastAsia="zh-CN"/>
        </w:rPr>
        <w:t>招商引资及商贸流通项目和企业培育资金</w:t>
      </w:r>
      <w:r>
        <w:rPr>
          <w:rFonts w:hint="eastAsia" w:ascii="Times New Roman" w:hAnsi="Times New Roman" w:eastAsia="仿宋_GB2312" w:cs="Times New Roman"/>
          <w:kern w:val="2"/>
          <w:sz w:val="32"/>
          <w:szCs w:val="32"/>
          <w:lang w:val="en-US" w:eastAsia="zh-CN"/>
        </w:rPr>
        <w:t>为区级专项，由区级统一编制预算，支出时根据部门分工作安排具体分配。</w:t>
      </w:r>
    </w:p>
    <w:p w14:paraId="6460CF3D">
      <w:pPr>
        <w:numPr>
          <w:ilvl w:val="0"/>
          <w:numId w:val="0"/>
        </w:numPr>
        <w:tabs>
          <w:tab w:val="left" w:pos="7560"/>
        </w:tabs>
        <w:adjustRightInd w:val="0"/>
        <w:snapToGrid w:val="0"/>
        <w:spacing w:line="560" w:lineRule="exact"/>
        <w:ind w:firstLine="640" w:firstLineChars="200"/>
        <w:rPr>
          <w:rFonts w:hint="eastAsia" w:eastAsia="仿宋_GB2312" w:cs="Times New Roman"/>
          <w:color w:val="000000"/>
          <w:sz w:val="32"/>
          <w:szCs w:val="32"/>
          <w:lang w:val="en-US" w:eastAsia="zh-CN"/>
        </w:rPr>
      </w:pPr>
      <w:r>
        <w:rPr>
          <w:rFonts w:hint="eastAsia" w:ascii="Times New Roman" w:hAnsi="Times New Roman" w:eastAsia="仿宋_GB2312" w:cs="Times New Roman"/>
          <w:kern w:val="2"/>
          <w:sz w:val="32"/>
          <w:szCs w:val="32"/>
          <w:highlight w:val="none"/>
          <w:lang w:val="en-US" w:eastAsia="zh-CN"/>
        </w:rPr>
        <w:t>3.</w:t>
      </w:r>
      <w:r>
        <w:rPr>
          <w:rFonts w:hint="eastAsia" w:eastAsia="仿宋_GB2312" w:cs="Times New Roman"/>
          <w:kern w:val="2"/>
          <w:sz w:val="32"/>
          <w:szCs w:val="32"/>
          <w:highlight w:val="none"/>
          <w:lang w:eastAsia="zh-CN"/>
        </w:rPr>
        <w:t>服博会专项经费和</w:t>
      </w:r>
      <w:r>
        <w:rPr>
          <w:rFonts w:hint="eastAsia" w:ascii="Times New Roman" w:hAnsi="Times New Roman" w:eastAsia="仿宋_GB2312" w:cs="Times New Roman"/>
          <w:kern w:val="2"/>
          <w:sz w:val="32"/>
          <w:szCs w:val="32"/>
          <w:highlight w:val="none"/>
        </w:rPr>
        <w:t>农贸市场</w:t>
      </w:r>
      <w:r>
        <w:rPr>
          <w:rFonts w:hint="eastAsia" w:ascii="Times New Roman" w:hAnsi="Times New Roman" w:eastAsia="仿宋_GB2312" w:cs="Times New Roman"/>
          <w:kern w:val="2"/>
          <w:sz w:val="32"/>
          <w:szCs w:val="32"/>
          <w:highlight w:val="none"/>
          <w:lang w:eastAsia="zh-CN"/>
        </w:rPr>
        <w:t>提质</w:t>
      </w:r>
      <w:r>
        <w:rPr>
          <w:rFonts w:hint="eastAsia" w:ascii="Times New Roman" w:hAnsi="Times New Roman" w:eastAsia="仿宋_GB2312" w:cs="Times New Roman"/>
          <w:kern w:val="2"/>
          <w:sz w:val="32"/>
          <w:szCs w:val="32"/>
          <w:highlight w:val="none"/>
        </w:rPr>
        <w:t>改造</w:t>
      </w:r>
      <w:r>
        <w:rPr>
          <w:rFonts w:hint="eastAsia" w:ascii="Times New Roman" w:hAnsi="Times New Roman" w:eastAsia="仿宋_GB2312" w:cs="Times New Roman"/>
          <w:kern w:val="2"/>
          <w:sz w:val="32"/>
          <w:szCs w:val="32"/>
          <w:highlight w:val="none"/>
          <w:lang w:eastAsia="zh-CN"/>
        </w:rPr>
        <w:t>项目为上级专款支付，由市级</w:t>
      </w:r>
      <w:r>
        <w:rPr>
          <w:rFonts w:hint="eastAsia" w:eastAsia="仿宋_GB2312" w:cs="Times New Roman"/>
          <w:kern w:val="2"/>
          <w:sz w:val="32"/>
          <w:szCs w:val="32"/>
          <w:highlight w:val="none"/>
          <w:lang w:eastAsia="zh-CN"/>
        </w:rPr>
        <w:t>、省级</w:t>
      </w:r>
      <w:r>
        <w:rPr>
          <w:rFonts w:hint="eastAsia" w:ascii="Times New Roman" w:hAnsi="Times New Roman" w:eastAsia="仿宋_GB2312" w:cs="Times New Roman"/>
          <w:kern w:val="2"/>
          <w:sz w:val="32"/>
          <w:szCs w:val="32"/>
          <w:highlight w:val="none"/>
          <w:lang w:eastAsia="zh-CN"/>
        </w:rPr>
        <w:t>统一编制预算，</w:t>
      </w:r>
      <w:r>
        <w:rPr>
          <w:rFonts w:hint="eastAsia" w:ascii="Times New Roman" w:hAnsi="Times New Roman" w:eastAsia="仿宋_GB2312" w:cs="Times New Roman"/>
          <w:kern w:val="2"/>
          <w:sz w:val="32"/>
          <w:szCs w:val="32"/>
          <w:lang w:val="en-US" w:eastAsia="zh-CN"/>
        </w:rPr>
        <w:t>支出时根据部门分工和工作安排按辖区分配项目金额。</w:t>
      </w:r>
    </w:p>
    <w:p w14:paraId="6F2141DD">
      <w:pPr>
        <w:pStyle w:val="5"/>
        <w:numPr>
          <w:ilvl w:val="0"/>
          <w:numId w:val="3"/>
        </w:numPr>
        <w:spacing w:line="600" w:lineRule="exact"/>
        <w:ind w:firstLine="640"/>
        <w:rPr>
          <w:rFonts w:eastAsia="黑体"/>
          <w:sz w:val="32"/>
          <w:szCs w:val="32"/>
        </w:rPr>
      </w:pPr>
      <w:r>
        <w:rPr>
          <w:rFonts w:eastAsia="黑体"/>
          <w:sz w:val="32"/>
          <w:szCs w:val="32"/>
        </w:rPr>
        <w:t>下一步改进措施</w:t>
      </w:r>
    </w:p>
    <w:p w14:paraId="5B2C3854">
      <w:pPr>
        <w:numPr>
          <w:ilvl w:val="0"/>
          <w:numId w:val="0"/>
        </w:num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及时做好本年度预算资金支出，保证预算的时效性。</w:t>
      </w:r>
    </w:p>
    <w:p w14:paraId="21675871">
      <w:pPr>
        <w:numPr>
          <w:ilvl w:val="0"/>
          <w:numId w:val="0"/>
        </w:numPr>
        <w:tabs>
          <w:tab w:val="left" w:pos="7560"/>
        </w:tabs>
        <w:adjustRightInd w:val="0"/>
        <w:snapToGrid w:val="0"/>
        <w:spacing w:line="560" w:lineRule="exact"/>
        <w:ind w:firstLine="640" w:firstLineChars="200"/>
        <w:rPr>
          <w:rFonts w:eastAsia="黑体"/>
          <w:sz w:val="32"/>
          <w:szCs w:val="32"/>
        </w:rPr>
      </w:pPr>
      <w:r>
        <w:rPr>
          <w:rFonts w:hint="eastAsia" w:ascii="Times New Roman" w:hAnsi="Times New Roman" w:eastAsia="仿宋_GB2312" w:cs="Times New Roman"/>
          <w:kern w:val="2"/>
          <w:sz w:val="32"/>
          <w:szCs w:val="32"/>
          <w:highlight w:val="none"/>
          <w:lang w:val="en-US" w:eastAsia="zh-CN"/>
        </w:rPr>
        <w:t>加强与区级、市级各部门沟通，更加科学合理编制预算。</w:t>
      </w:r>
    </w:p>
    <w:p w14:paraId="58620D3A">
      <w:pPr>
        <w:numPr>
          <w:ilvl w:val="0"/>
          <w:numId w:val="4"/>
        </w:numPr>
        <w:spacing w:line="600" w:lineRule="exact"/>
        <w:ind w:left="0" w:leftChars="0" w:firstLine="640" w:firstLineChars="200"/>
        <w:rPr>
          <w:rFonts w:eastAsia="黑体"/>
          <w:sz w:val="32"/>
          <w:szCs w:val="32"/>
        </w:rPr>
      </w:pPr>
      <w:r>
        <w:rPr>
          <w:rFonts w:eastAsia="黑体"/>
          <w:sz w:val="32"/>
          <w:szCs w:val="32"/>
        </w:rPr>
        <w:t>绩效自评结果拟应用和公开情况</w:t>
      </w:r>
    </w:p>
    <w:p w14:paraId="104A1A7E">
      <w:pPr>
        <w:tabs>
          <w:tab w:val="left" w:pos="7560"/>
        </w:tabs>
        <w:adjustRightInd w:val="0"/>
        <w:snapToGrid w:val="0"/>
        <w:spacing w:line="560" w:lineRule="exact"/>
        <w:ind w:firstLine="640" w:firstLineChars="200"/>
        <w:rPr>
          <w:rFonts w:eastAsia="黑体"/>
          <w:sz w:val="32"/>
          <w:szCs w:val="32"/>
        </w:rPr>
      </w:pPr>
      <w:r>
        <w:rPr>
          <w:rFonts w:hint="eastAsia" w:ascii="Times New Roman" w:hAnsi="Times New Roman" w:eastAsia="仿宋_GB2312" w:cs="Times New Roman"/>
          <w:kern w:val="2"/>
          <w:sz w:val="32"/>
          <w:szCs w:val="32"/>
        </w:rPr>
        <w:t>本单位无独立网站，绩效自评报告将在政府门户网站与决算报告一起公开。</w:t>
      </w:r>
    </w:p>
    <w:p w14:paraId="75B31244">
      <w:pPr>
        <w:numPr>
          <w:ilvl w:val="0"/>
          <w:numId w:val="4"/>
        </w:numPr>
        <w:spacing w:line="600" w:lineRule="exact"/>
        <w:ind w:left="0" w:leftChars="0" w:firstLine="640" w:firstLineChars="200"/>
        <w:rPr>
          <w:rFonts w:eastAsia="黑体"/>
          <w:sz w:val="32"/>
          <w:szCs w:val="32"/>
        </w:rPr>
      </w:pPr>
      <w:r>
        <w:rPr>
          <w:rFonts w:eastAsia="黑体"/>
          <w:sz w:val="32"/>
          <w:szCs w:val="32"/>
        </w:rPr>
        <w:t>其他需要说明的情况</w:t>
      </w:r>
    </w:p>
    <w:p w14:paraId="6F7828EF">
      <w:pPr>
        <w:tabs>
          <w:tab w:val="left" w:pos="7560"/>
        </w:tabs>
        <w:adjustRightInd w:val="0"/>
        <w:snapToGrid w:val="0"/>
        <w:spacing w:line="560" w:lineRule="exact"/>
        <w:ind w:firstLine="640" w:firstLineChars="200"/>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无</w:t>
      </w:r>
    </w:p>
    <w:p w14:paraId="41FF8CD0">
      <w:pPr>
        <w:spacing w:line="600" w:lineRule="exact"/>
        <w:ind w:firstLine="640" w:firstLineChars="200"/>
        <w:rPr>
          <w:rFonts w:eastAsia="仿宋_GB2312"/>
          <w:sz w:val="32"/>
          <w:szCs w:val="32"/>
        </w:rPr>
      </w:pPr>
    </w:p>
    <w:p w14:paraId="5B0457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2A4C4"/>
    <w:multiLevelType w:val="singleLevel"/>
    <w:tmpl w:val="9062A4C4"/>
    <w:lvl w:ilvl="0" w:tentative="0">
      <w:start w:val="8"/>
      <w:numFmt w:val="chineseCounting"/>
      <w:suff w:val="nothing"/>
      <w:lvlText w:val="%1、"/>
      <w:lvlJc w:val="left"/>
      <w:rPr>
        <w:rFonts w:hint="eastAsia"/>
      </w:rPr>
    </w:lvl>
  </w:abstractNum>
  <w:abstractNum w:abstractNumId="1">
    <w:nsid w:val="17C9B401"/>
    <w:multiLevelType w:val="singleLevel"/>
    <w:tmpl w:val="17C9B401"/>
    <w:lvl w:ilvl="0" w:tentative="0">
      <w:start w:val="2"/>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5646FB33"/>
    <w:multiLevelType w:val="singleLevel"/>
    <w:tmpl w:val="5646FB33"/>
    <w:lvl w:ilvl="0" w:tentative="0">
      <w:start w:val="7"/>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4D5282"/>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37136"/>
    <w:rsid w:val="0D366EDE"/>
    <w:rsid w:val="0D4B57FA"/>
    <w:rsid w:val="0D60161F"/>
    <w:rsid w:val="0E897C2B"/>
    <w:rsid w:val="0ED94D9B"/>
    <w:rsid w:val="0EE470E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7063B6"/>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5454AA"/>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ED14196"/>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67D504D"/>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List Paragraph"/>
    <w:basedOn w:val="1"/>
    <w:qFormat/>
    <w:uiPriority w:val="99"/>
    <w:pPr>
      <w:ind w:firstLine="420" w:firstLineChars="200"/>
    </w:pPr>
    <w:rPr>
      <w:rFonts w:ascii="Calibri" w:hAnsi="Calibri" w:eastAsia="宋体" w:cs="Times New Roman"/>
      <w:szCs w:val="22"/>
    </w:rPr>
  </w:style>
  <w:style w:type="character" w:customStyle="1" w:styleId="6">
    <w:name w:val="NormalCharacter"/>
    <w:semiHidden/>
    <w:qFormat/>
    <w:uiPriority w:val="0"/>
    <w:rPr>
      <w:kern w:val="2"/>
      <w:sz w:val="21"/>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4199</Words>
  <Characters>4517</Characters>
  <Lines>0</Lines>
  <Paragraphs>0</Paragraphs>
  <TotalTime>56</TotalTime>
  <ScaleCrop>false</ScaleCrop>
  <LinksUpToDate>false</LinksUpToDate>
  <CharactersWithSpaces>4523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2025-12-10T07:15:51Z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8C403C0EDC5B4D85B6BA002BD098646D_13</vt:lpwstr>
  </property>
  <property fmtid="{D5CDD505-2E9C-101B-9397-08002B2CF9AE}" pid="4" name="KSOTemplateDocerSaveRecord">
    <vt:lpwstr>eyJoZGlkIjoiYzYxM2MzZDQzYTEwMTMzMjg1OGZmOWQ0MDAwYjY4YTciLCJ1c2VySWQiOiIzMjkzNjMxMTUifQ==</vt:lpwstr>
  </property>
</Properties>
</file>