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8BF1">
      <w:pPr>
        <w:jc w:val="center"/>
        <w:rPr>
          <w:rFonts w:eastAsia="方正小标宋_GBK"/>
          <w:sz w:val="48"/>
          <w:szCs w:val="48"/>
        </w:rPr>
      </w:pPr>
      <w:bookmarkStart w:id="0" w:name="_GoBack"/>
      <w:bookmarkEnd w:id="0"/>
      <w:r>
        <w:rPr>
          <w:rFonts w:eastAsia="方正小标宋_GBK"/>
          <w:sz w:val="48"/>
          <w:szCs w:val="48"/>
        </w:rPr>
        <w:t>202</w:t>
      </w:r>
      <w:r>
        <w:rPr>
          <w:rFonts w:hint="eastAsia" w:eastAsia="方正小标宋_GBK"/>
          <w:sz w:val="48"/>
          <w:szCs w:val="48"/>
          <w:lang w:val="en-US" w:eastAsia="zh-CN"/>
        </w:rPr>
        <w:t>4</w:t>
      </w:r>
      <w:r>
        <w:rPr>
          <w:rFonts w:eastAsia="方正小标宋_GBK"/>
          <w:sz w:val="48"/>
          <w:szCs w:val="48"/>
        </w:rPr>
        <w:t>年度</w:t>
      </w:r>
      <w:r>
        <w:rPr>
          <w:rFonts w:hint="eastAsia" w:eastAsia="方正小标宋_GBK"/>
          <w:sz w:val="48"/>
          <w:szCs w:val="48"/>
        </w:rPr>
        <w:t>株洲市芦淞区市场监督管理局</w:t>
      </w:r>
      <w:r>
        <w:rPr>
          <w:rFonts w:eastAsia="方正小标宋_GBK"/>
          <w:sz w:val="48"/>
          <w:szCs w:val="48"/>
        </w:rPr>
        <w:t>部门</w:t>
      </w:r>
      <w:r>
        <w:rPr>
          <w:rFonts w:hint="eastAsia" w:eastAsia="方正小标宋_GBK"/>
          <w:sz w:val="48"/>
          <w:szCs w:val="48"/>
        </w:rPr>
        <w:t>整体</w:t>
      </w:r>
      <w:r>
        <w:rPr>
          <w:rFonts w:eastAsia="方正小标宋_GBK"/>
          <w:sz w:val="48"/>
          <w:szCs w:val="48"/>
        </w:rPr>
        <w:t>支出绩效自评报告</w:t>
      </w:r>
    </w:p>
    <w:p w14:paraId="35BDECE1">
      <w:pPr>
        <w:jc w:val="center"/>
        <w:rPr>
          <w:rFonts w:hint="eastAsia" w:eastAsia="楷体_GB2312"/>
          <w:b/>
          <w:sz w:val="32"/>
          <w:szCs w:val="32"/>
        </w:rPr>
      </w:pPr>
    </w:p>
    <w:p w14:paraId="435E0017">
      <w:pPr>
        <w:jc w:val="center"/>
        <w:rPr>
          <w:rFonts w:eastAsia="黑体"/>
          <w:sz w:val="32"/>
          <w:szCs w:val="32"/>
        </w:rPr>
      </w:pPr>
    </w:p>
    <w:p w14:paraId="670979DB">
      <w:pPr>
        <w:jc w:val="center"/>
        <w:rPr>
          <w:rFonts w:eastAsia="黑体"/>
          <w:sz w:val="32"/>
          <w:szCs w:val="32"/>
        </w:rPr>
      </w:pPr>
    </w:p>
    <w:p w14:paraId="3E150F14">
      <w:pPr>
        <w:jc w:val="center"/>
        <w:rPr>
          <w:rFonts w:eastAsia="黑体"/>
          <w:sz w:val="32"/>
          <w:szCs w:val="32"/>
        </w:rPr>
      </w:pPr>
    </w:p>
    <w:p w14:paraId="71845FCA">
      <w:pPr>
        <w:jc w:val="center"/>
        <w:rPr>
          <w:rFonts w:eastAsia="黑体"/>
          <w:sz w:val="32"/>
          <w:szCs w:val="32"/>
        </w:rPr>
      </w:pPr>
    </w:p>
    <w:p w14:paraId="45B1FADD">
      <w:pPr>
        <w:jc w:val="center"/>
        <w:rPr>
          <w:rFonts w:eastAsia="黑体"/>
          <w:sz w:val="32"/>
          <w:szCs w:val="32"/>
        </w:rPr>
      </w:pPr>
    </w:p>
    <w:p w14:paraId="04CF02EE">
      <w:pPr>
        <w:jc w:val="center"/>
        <w:rPr>
          <w:rFonts w:eastAsia="黑体"/>
          <w:sz w:val="32"/>
          <w:szCs w:val="32"/>
        </w:rPr>
      </w:pPr>
    </w:p>
    <w:p w14:paraId="4BA6CA3D">
      <w:pPr>
        <w:jc w:val="center"/>
        <w:rPr>
          <w:rFonts w:eastAsia="黑体"/>
          <w:sz w:val="32"/>
          <w:szCs w:val="32"/>
        </w:rPr>
      </w:pPr>
    </w:p>
    <w:p w14:paraId="1C38E996">
      <w:pPr>
        <w:ind w:firstLine="880" w:firstLineChars="200"/>
        <w:jc w:val="center"/>
        <w:rPr>
          <w:rFonts w:eastAsia="黑体"/>
          <w:sz w:val="44"/>
          <w:szCs w:val="44"/>
        </w:rPr>
      </w:pPr>
    </w:p>
    <w:p w14:paraId="19B5070E">
      <w:pPr>
        <w:ind w:firstLine="880" w:firstLineChars="200"/>
        <w:jc w:val="center"/>
        <w:rPr>
          <w:rFonts w:eastAsia="黑体"/>
          <w:sz w:val="44"/>
          <w:szCs w:val="44"/>
        </w:rPr>
      </w:pPr>
    </w:p>
    <w:p w14:paraId="37707960">
      <w:pPr>
        <w:ind w:firstLine="880" w:firstLineChars="200"/>
        <w:jc w:val="center"/>
        <w:rPr>
          <w:rFonts w:eastAsia="黑体"/>
          <w:sz w:val="44"/>
          <w:szCs w:val="44"/>
        </w:rPr>
      </w:pPr>
    </w:p>
    <w:p w14:paraId="531AFA1C">
      <w:pPr>
        <w:rPr>
          <w:rFonts w:eastAsia="黑体"/>
          <w:sz w:val="36"/>
          <w:szCs w:val="36"/>
        </w:rPr>
      </w:pPr>
      <w:r>
        <w:rPr>
          <w:rFonts w:eastAsia="黑体"/>
          <w:sz w:val="36"/>
          <w:szCs w:val="36"/>
        </w:rPr>
        <w:t>单位名称（盖章）：</w:t>
      </w:r>
      <w:r>
        <w:rPr>
          <w:rFonts w:hint="eastAsia" w:eastAsia="黑体"/>
          <w:sz w:val="36"/>
          <w:szCs w:val="36"/>
        </w:rPr>
        <w:t>株洲市芦淞区市场监督管理局</w:t>
      </w:r>
    </w:p>
    <w:p w14:paraId="788897B4">
      <w:pPr>
        <w:jc w:val="center"/>
        <w:rPr>
          <w:rFonts w:eastAsia="黑体"/>
          <w:sz w:val="36"/>
          <w:szCs w:val="36"/>
        </w:rPr>
      </w:pPr>
    </w:p>
    <w:p w14:paraId="1D15D0FE">
      <w:pPr>
        <w:jc w:val="center"/>
        <w:rPr>
          <w:rFonts w:eastAsia="黑体"/>
          <w:sz w:val="32"/>
          <w:szCs w:val="32"/>
        </w:rPr>
      </w:pPr>
    </w:p>
    <w:p w14:paraId="15B705C8">
      <w:pPr>
        <w:jc w:val="center"/>
        <w:rPr>
          <w:rFonts w:eastAsia="黑体"/>
          <w:sz w:val="32"/>
          <w:szCs w:val="32"/>
        </w:rPr>
      </w:pPr>
    </w:p>
    <w:p w14:paraId="33302D19">
      <w:pPr>
        <w:jc w:val="center"/>
        <w:rPr>
          <w:rFonts w:eastAsia="黑体"/>
          <w:sz w:val="32"/>
          <w:szCs w:val="32"/>
        </w:rPr>
      </w:pPr>
    </w:p>
    <w:p w14:paraId="2DFDBFC9">
      <w:pPr>
        <w:rPr>
          <w:rFonts w:hint="eastAsia" w:eastAsia="黑体"/>
          <w:sz w:val="32"/>
          <w:szCs w:val="32"/>
        </w:rPr>
      </w:pPr>
    </w:p>
    <w:p w14:paraId="4E993992">
      <w:pPr>
        <w:jc w:val="center"/>
        <w:rPr>
          <w:rFonts w:eastAsia="黑体"/>
          <w:sz w:val="32"/>
          <w:szCs w:val="32"/>
        </w:rPr>
      </w:pPr>
    </w:p>
    <w:p w14:paraId="03BECB8E">
      <w:pPr>
        <w:jc w:val="center"/>
        <w:rPr>
          <w:rFonts w:eastAsia="仿宋_GB2312"/>
          <w:sz w:val="32"/>
          <w:szCs w:val="32"/>
        </w:rPr>
      </w:pPr>
    </w:p>
    <w:p w14:paraId="2D129B3A">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D27F043">
      <w:pPr>
        <w:spacing w:line="600" w:lineRule="exact"/>
        <w:ind w:firstLine="643" w:firstLineChars="200"/>
        <w:rPr>
          <w:rFonts w:eastAsia="楷体_GB2312"/>
          <w:b/>
          <w:sz w:val="32"/>
          <w:szCs w:val="32"/>
        </w:rPr>
      </w:pPr>
      <w:r>
        <w:rPr>
          <w:rFonts w:eastAsia="楷体_GB2312"/>
          <w:b/>
          <w:sz w:val="32"/>
          <w:szCs w:val="32"/>
        </w:rPr>
        <w:t>（一）基本情况</w:t>
      </w:r>
    </w:p>
    <w:p w14:paraId="29102EB2">
      <w:pPr>
        <w:snapToGrid w:val="0"/>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1、主要职能。</w:t>
      </w:r>
    </w:p>
    <w:p w14:paraId="75DC9948">
      <w:pPr>
        <w:snapToGrid w:val="0"/>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一）负责市场综合监督管理。（二）负责市场主体统一登记注册和行政许可。（三）负责监督管理市场秩序。（四）负责宏观质量管理。（五）负责产品质量安全监督管理。（六）负责特种设备安全监督管理。（七）负责食品安全监督管理综合协调。（八）负责食品安全监督管理。（九）在法定权限内负责监督实施药品（含中药、民族药，下同）、医疗器械、化妆品标准和分类管理制度。（十）负责权限内药品、医疗器械和化妆品安全监督检查。（十一）负责药品、医疗器械、化妆品上市后风险管理，组织开展药品和化妆品不良反应、医疗器械不良事件的监测管理与风险处置工作。（十二）负责统一管理计量工作。（十三）负责统一管理标准化工作。依据法定职责，对标准的制定进行指导监督，对标准的实施进行监督检查，鼓励企业、社会团体和教育、科研机构等开展或参与标准化工作。（十四）负责统一管理和监督认证认可工作。（十五）负责知识产权保护综合协调工作。（十六）负责组织开展有关消费维权工作，负责消费者咨询、投诉举报受理和处理等工作，保护经营者、消费者合法权益。（十七）负责协助市市场监管局开展市场监管综合行政执法工作，依法查办辖区内市市场监管局委托的违反市场监管法律、法规、规章的相关案件。（十八）完成区委、区人民政府及上级业务主管部门交办的其他任务。</w:t>
      </w:r>
    </w:p>
    <w:p w14:paraId="423CB21D">
      <w:pPr>
        <w:snapToGrid w:val="0"/>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2、机构情况</w:t>
      </w:r>
    </w:p>
    <w:p w14:paraId="1F2D4094">
      <w:pPr>
        <w:widowControl/>
        <w:spacing w:line="460" w:lineRule="exact"/>
        <w:ind w:firstLine="600"/>
        <w:jc w:val="left"/>
        <w:rPr>
          <w:rFonts w:ascii="仿宋_GB2312" w:hAnsi="黑体" w:eastAsia="仿宋_GB2312" w:cs="宋体"/>
          <w:color w:val="343434"/>
          <w:kern w:val="3"/>
          <w:sz w:val="32"/>
          <w:szCs w:val="32"/>
        </w:rPr>
      </w:pPr>
      <w:r>
        <w:rPr>
          <w:rFonts w:hint="eastAsia" w:ascii="仿宋_GB2312" w:hAnsi="黑体" w:eastAsia="仿宋_GB2312" w:cs="宋体"/>
          <w:color w:val="343434"/>
          <w:kern w:val="3"/>
          <w:sz w:val="32"/>
          <w:szCs w:val="32"/>
        </w:rPr>
        <w:t>我局共有独立编制机构1个，其中：行政机构1个。独立核算单位1个。本年度参加决算单位1个。</w:t>
      </w:r>
    </w:p>
    <w:p w14:paraId="2EB33774">
      <w:pPr>
        <w:snapToGrid w:val="0"/>
        <w:spacing w:line="52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3、人员情况</w:t>
      </w:r>
    </w:p>
    <w:p w14:paraId="1C81BA00">
      <w:pPr>
        <w:snapToGrid w:val="0"/>
        <w:spacing w:line="520" w:lineRule="exact"/>
        <w:ind w:firstLine="640" w:firstLineChars="200"/>
        <w:rPr>
          <w:rFonts w:hint="eastAsia"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年度决算实有人数为</w:t>
      </w:r>
      <w:r>
        <w:rPr>
          <w:rFonts w:hint="eastAsia" w:ascii="仿宋_GB2312" w:hAnsi="黑体" w:eastAsia="仿宋_GB2312"/>
          <w:sz w:val="32"/>
          <w:szCs w:val="32"/>
          <w:highlight w:val="none"/>
          <w:lang w:val="en-US" w:eastAsia="zh-CN"/>
        </w:rPr>
        <w:t>98</w:t>
      </w:r>
      <w:r>
        <w:rPr>
          <w:rFonts w:hint="eastAsia" w:ascii="仿宋_GB2312" w:hAnsi="黑体" w:eastAsia="仿宋_GB2312"/>
          <w:sz w:val="32"/>
          <w:szCs w:val="32"/>
          <w:highlight w:val="none"/>
        </w:rPr>
        <w:t>人。202</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年年初我局在职人数</w:t>
      </w:r>
      <w:r>
        <w:rPr>
          <w:rFonts w:hint="eastAsia" w:ascii="仿宋_GB2312" w:hAnsi="黑体" w:eastAsia="仿宋_GB2312"/>
          <w:sz w:val="32"/>
          <w:szCs w:val="32"/>
          <w:highlight w:val="none"/>
          <w:lang w:val="en-US" w:eastAsia="zh-CN"/>
        </w:rPr>
        <w:t>97</w:t>
      </w:r>
      <w:r>
        <w:rPr>
          <w:rFonts w:hint="eastAsia" w:ascii="仿宋_GB2312" w:hAnsi="黑体" w:eastAsia="仿宋_GB2312"/>
          <w:sz w:val="32"/>
          <w:szCs w:val="32"/>
          <w:highlight w:val="none"/>
        </w:rPr>
        <w:t>人，退休</w:t>
      </w:r>
      <w:r>
        <w:rPr>
          <w:rFonts w:hint="eastAsia" w:ascii="仿宋_GB2312" w:hAnsi="黑体" w:eastAsia="仿宋_GB2312"/>
          <w:sz w:val="32"/>
          <w:szCs w:val="32"/>
          <w:highlight w:val="none"/>
          <w:lang w:val="en-US" w:eastAsia="zh-CN"/>
        </w:rPr>
        <w:t>16</w:t>
      </w:r>
      <w:r>
        <w:rPr>
          <w:rFonts w:hint="eastAsia" w:ascii="仿宋_GB2312" w:hAnsi="黑体" w:eastAsia="仿宋_GB2312"/>
          <w:sz w:val="32"/>
          <w:szCs w:val="32"/>
          <w:highlight w:val="none"/>
        </w:rPr>
        <w:t>人；202</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年底在职人数</w:t>
      </w:r>
      <w:r>
        <w:rPr>
          <w:rFonts w:hint="eastAsia" w:ascii="仿宋_GB2312" w:hAnsi="黑体" w:eastAsia="仿宋_GB2312"/>
          <w:sz w:val="32"/>
          <w:szCs w:val="32"/>
          <w:highlight w:val="none"/>
          <w:lang w:val="en-US" w:eastAsia="zh-CN"/>
        </w:rPr>
        <w:t>98</w:t>
      </w:r>
      <w:r>
        <w:rPr>
          <w:rFonts w:hint="eastAsia" w:ascii="仿宋_GB2312" w:hAnsi="黑体" w:eastAsia="仿宋_GB2312"/>
          <w:sz w:val="32"/>
          <w:szCs w:val="32"/>
          <w:highlight w:val="none"/>
        </w:rPr>
        <w:t>人，</w:t>
      </w:r>
      <w:r>
        <w:rPr>
          <w:rFonts w:hint="eastAsia" w:ascii="仿宋_GB2312" w:hAnsi="黑体" w:eastAsia="仿宋_GB2312"/>
          <w:sz w:val="32"/>
          <w:szCs w:val="32"/>
          <w:highlight w:val="none"/>
          <w:lang w:val="en-US" w:eastAsia="zh-CN"/>
        </w:rPr>
        <w:t>本年度</w:t>
      </w:r>
      <w:r>
        <w:rPr>
          <w:rFonts w:hint="eastAsia" w:ascii="仿宋_GB2312" w:hAnsi="黑体" w:eastAsia="仿宋_GB2312"/>
          <w:sz w:val="32"/>
          <w:szCs w:val="32"/>
          <w:highlight w:val="none"/>
        </w:rPr>
        <w:t>退休</w:t>
      </w: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rPr>
        <w:t>人，调出</w:t>
      </w: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人，</w:t>
      </w:r>
      <w:r>
        <w:rPr>
          <w:rFonts w:hint="eastAsia" w:ascii="仿宋_GB2312" w:hAnsi="黑体" w:eastAsia="仿宋_GB2312"/>
          <w:sz w:val="32"/>
          <w:szCs w:val="32"/>
          <w:highlight w:val="none"/>
          <w:lang w:val="en-US" w:eastAsia="zh-CN"/>
        </w:rPr>
        <w:t>调入5人，新进5人，</w:t>
      </w:r>
    </w:p>
    <w:p w14:paraId="693BECC2">
      <w:pPr>
        <w:numPr>
          <w:ilvl w:val="0"/>
          <w:numId w:val="1"/>
        </w:numPr>
        <w:spacing w:line="600" w:lineRule="exact"/>
        <w:ind w:firstLine="643" w:firstLineChars="200"/>
        <w:rPr>
          <w:rFonts w:eastAsia="楷体_GB2312"/>
          <w:b/>
          <w:sz w:val="32"/>
          <w:szCs w:val="32"/>
          <w:highlight w:val="none"/>
        </w:rPr>
      </w:pPr>
      <w:r>
        <w:rPr>
          <w:rFonts w:eastAsia="楷体_GB2312"/>
          <w:b/>
          <w:sz w:val="32"/>
          <w:szCs w:val="32"/>
          <w:highlight w:val="none"/>
        </w:rPr>
        <w:t>绩效目标</w:t>
      </w:r>
      <w:r>
        <w:rPr>
          <w:rFonts w:hint="eastAsia" w:eastAsia="楷体_GB2312"/>
          <w:b/>
          <w:sz w:val="32"/>
          <w:szCs w:val="32"/>
          <w:highlight w:val="none"/>
          <w:lang w:eastAsia="zh-CN"/>
        </w:rPr>
        <w:t>。</w:t>
      </w:r>
    </w:p>
    <w:p w14:paraId="5A08393C">
      <w:pPr>
        <w:numPr>
          <w:ilvl w:val="0"/>
          <w:numId w:val="2"/>
        </w:numPr>
        <w:snapToGrid w:val="0"/>
        <w:spacing w:line="520" w:lineRule="exact"/>
        <w:ind w:firstLine="640" w:firstLineChars="200"/>
        <w:rPr>
          <w:rFonts w:hint="eastAsia" w:ascii="仿宋_GB2312" w:hAnsi="黑体" w:eastAsia="仿宋_GB2312" w:cs="仿宋"/>
          <w:color w:val="000000" w:themeColor="text1"/>
          <w:sz w:val="32"/>
          <w:szCs w:val="32"/>
          <w:highlight w:val="none"/>
          <w:lang w:eastAsia="zh-CN"/>
          <w14:textFill>
            <w14:solidFill>
              <w14:schemeClr w14:val="tx1"/>
            </w14:solidFill>
          </w14:textFill>
        </w:rPr>
      </w:pPr>
      <w:r>
        <w:rPr>
          <w:rFonts w:hint="eastAsia" w:ascii="仿宋_GB2312" w:hAnsi="黑体" w:eastAsia="仿宋_GB2312"/>
          <w:sz w:val="32"/>
          <w:szCs w:val="32"/>
          <w:highlight w:val="none"/>
          <w:lang w:eastAsia="zh-CN"/>
        </w:rPr>
        <w:t>本单位</w:t>
      </w:r>
      <w:r>
        <w:rPr>
          <w:rFonts w:hint="eastAsia" w:ascii="仿宋_GB2312" w:hAnsi="黑体" w:eastAsia="仿宋_GB2312"/>
          <w:sz w:val="32"/>
          <w:szCs w:val="32"/>
          <w:highlight w:val="none"/>
        </w:rPr>
        <w:t>年度整体支出</w:t>
      </w:r>
      <w:r>
        <w:rPr>
          <w:rFonts w:hint="eastAsia" w:ascii="仿宋_GB2312" w:hAnsi="黑体" w:eastAsia="仿宋_GB2312"/>
          <w:sz w:val="32"/>
          <w:szCs w:val="32"/>
          <w:highlight w:val="none"/>
          <w:lang w:eastAsia="zh-CN"/>
        </w:rPr>
        <w:t>绩效目标为</w:t>
      </w:r>
      <w:r>
        <w:rPr>
          <w:rFonts w:hint="eastAsia" w:ascii="仿宋_GB2312" w:hAnsi="黑体" w:eastAsia="仿宋_GB2312"/>
          <w:sz w:val="32"/>
          <w:szCs w:val="32"/>
          <w:highlight w:val="none"/>
          <w:lang w:val="en-US" w:eastAsia="zh-CN"/>
        </w:rPr>
        <w:t>开展</w:t>
      </w:r>
      <w:r>
        <w:rPr>
          <w:rFonts w:hint="eastAsia" w:ascii="仿宋_GB2312" w:hAnsi="黑体" w:eastAsia="仿宋_GB2312"/>
          <w:sz w:val="32"/>
          <w:szCs w:val="32"/>
          <w:highlight w:val="none"/>
          <w:lang w:eastAsia="zh-CN"/>
        </w:rPr>
        <w:t>市场综合监督管理工作、市场主体统一登记注册和行政许可工作，负责特种设备安全监督管理、综合协调食品安全监督管理、组织开展药品和化妆品不良反应、医疗器械不良事件的监测管理与风险处置工作、综合协调知识产权保护工作、组织开展有关消费维权工作，保护经营者、消费者合法权益。</w:t>
      </w:r>
    </w:p>
    <w:p w14:paraId="190EADD4">
      <w:pPr>
        <w:numPr>
          <w:ilvl w:val="0"/>
          <w:numId w:val="2"/>
        </w:numPr>
        <w:snapToGrid w:val="0"/>
        <w:spacing w:line="520" w:lineRule="exact"/>
        <w:ind w:firstLine="640" w:firstLineChars="200"/>
        <w:rPr>
          <w:rFonts w:hint="eastAsia" w:ascii="仿宋_GB2312" w:hAnsi="黑体" w:eastAsia="仿宋_GB2312" w:cs="仿宋"/>
          <w:color w:val="000000" w:themeColor="text1"/>
          <w:sz w:val="32"/>
          <w:szCs w:val="32"/>
          <w:highlight w:val="none"/>
          <w14:textFill>
            <w14:solidFill>
              <w14:schemeClr w14:val="tx1"/>
            </w14:solidFill>
          </w14:textFill>
        </w:rPr>
      </w:pPr>
      <w:r>
        <w:rPr>
          <w:rFonts w:hint="eastAsia" w:ascii="仿宋_GB2312" w:hAnsi="黑体" w:eastAsia="仿宋_GB2312" w:cs="仿宋"/>
          <w:color w:val="000000" w:themeColor="text1"/>
          <w:sz w:val="32"/>
          <w:szCs w:val="32"/>
          <w:highlight w:val="none"/>
          <w:lang w:eastAsia="zh-CN"/>
          <w14:textFill>
            <w14:solidFill>
              <w14:schemeClr w14:val="tx1"/>
            </w14:solidFill>
          </w14:textFill>
        </w:rPr>
        <w:t>本单位</w:t>
      </w:r>
      <w:r>
        <w:rPr>
          <w:rFonts w:hint="eastAsia" w:ascii="仿宋_GB2312" w:hAnsi="黑体" w:eastAsia="仿宋_GB2312" w:cs="仿宋"/>
          <w:color w:val="000000" w:themeColor="text1"/>
          <w:sz w:val="32"/>
          <w:szCs w:val="32"/>
          <w:highlight w:val="none"/>
          <w14:textFill>
            <w14:solidFill>
              <w14:schemeClr w14:val="tx1"/>
            </w14:solidFill>
          </w14:textFill>
        </w:rPr>
        <w:t>专项资金绩效目标</w:t>
      </w:r>
      <w:r>
        <w:rPr>
          <w:rFonts w:hint="eastAsia" w:ascii="仿宋_GB2312" w:hAnsi="黑体" w:eastAsia="仿宋_GB2312" w:cs="仿宋"/>
          <w:color w:val="000000" w:themeColor="text1"/>
          <w:sz w:val="32"/>
          <w:szCs w:val="32"/>
          <w:highlight w:val="none"/>
          <w:lang w:eastAsia="zh-CN"/>
          <w14:textFill>
            <w14:solidFill>
              <w14:schemeClr w14:val="tx1"/>
            </w14:solidFill>
          </w14:textFill>
        </w:rPr>
        <w:t>为保障芦淞区市场监督管理局院外独立办公场地的正常办公开支。优化营商环境，净化市场环境，保障市场安全，推动产业发展。负责食品安全监督管理综合协调、食品安全监督管理；组织开展本级食品安全抽样检验工作；负责权限内药品、医疗器械和化妆品安全监督检查。</w:t>
      </w:r>
    </w:p>
    <w:p w14:paraId="1453FE78">
      <w:pPr>
        <w:pStyle w:val="5"/>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二、一般公共预算支出情况</w:t>
      </w:r>
    </w:p>
    <w:p w14:paraId="59F566A6">
      <w:pPr>
        <w:pStyle w:val="5"/>
        <w:spacing w:line="600" w:lineRule="exact"/>
        <w:rPr>
          <w:rFonts w:ascii="Times New Roman" w:hAnsi="Times New Roman" w:eastAsia="楷体_GB2312"/>
          <w:b/>
          <w:sz w:val="32"/>
          <w:szCs w:val="32"/>
          <w:highlight w:val="none"/>
        </w:rPr>
      </w:pPr>
      <w:r>
        <w:rPr>
          <w:rFonts w:ascii="Times New Roman" w:hAnsi="Times New Roman" w:eastAsia="楷体_GB2312"/>
          <w:b/>
          <w:sz w:val="32"/>
          <w:szCs w:val="32"/>
          <w:highlight w:val="none"/>
        </w:rPr>
        <w:t>（一）基本支出情况</w:t>
      </w:r>
    </w:p>
    <w:p w14:paraId="0A544F10">
      <w:pPr>
        <w:pStyle w:val="6"/>
        <w:spacing w:line="560" w:lineRule="exact"/>
        <w:ind w:firstLine="640" w:firstLineChars="200"/>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1、2024年预算资金。</w:t>
      </w:r>
    </w:p>
    <w:p w14:paraId="40A9013B">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我单位2024年收入预算为2235.3万元，支出预算数为2235.3万元。年度执行中收入预算调整数为2322.56万元，支出预算调整数为2322.56万元。</w:t>
      </w:r>
    </w:p>
    <w:p w14:paraId="06BB0C60">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2、2024年度单位一般公共预算财政拨款收入2322.56万元。</w:t>
      </w:r>
    </w:p>
    <w:p w14:paraId="23E094BF">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3、2024年度单位一般公共预算财政拨款支出2322.56万元。其中：项目支出406万元，基本支出1916.56万元，其中：人员经费1508.01万元，公用经费408.55万元。</w:t>
      </w:r>
    </w:p>
    <w:p w14:paraId="7E46CFC9">
      <w:pPr>
        <w:pStyle w:val="5"/>
        <w:spacing w:line="600" w:lineRule="exact"/>
        <w:ind w:firstLine="640"/>
        <w:rPr>
          <w:rFonts w:ascii="Times New Roman" w:hAnsi="Times New Roman" w:eastAsia="楷体_GB2312"/>
          <w:b/>
          <w:sz w:val="32"/>
          <w:szCs w:val="32"/>
          <w:highlight w:val="none"/>
        </w:rPr>
      </w:pPr>
      <w:r>
        <w:rPr>
          <w:rFonts w:hint="eastAsia" w:ascii="Times New Roman" w:hAnsi="Times New Roman" w:eastAsia="楷体_GB2312"/>
          <w:b/>
          <w:sz w:val="32"/>
          <w:szCs w:val="32"/>
          <w:highlight w:val="none"/>
          <w:lang w:eastAsia="zh-CN"/>
        </w:rPr>
        <w:t>（二）</w:t>
      </w:r>
      <w:r>
        <w:rPr>
          <w:rFonts w:ascii="Times New Roman" w:hAnsi="Times New Roman" w:eastAsia="楷体_GB2312"/>
          <w:b/>
          <w:sz w:val="32"/>
          <w:szCs w:val="32"/>
          <w:highlight w:val="none"/>
        </w:rPr>
        <w:t>项目支出情况</w:t>
      </w:r>
    </w:p>
    <w:p w14:paraId="2F8E0BF0">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1、专项统计业务项目支出0.84万元；</w:t>
      </w:r>
    </w:p>
    <w:p w14:paraId="1544B8FE">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2、知识产权战略和规划项目支出11万元；</w:t>
      </w:r>
    </w:p>
    <w:p w14:paraId="54362544">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3、知识产权宏观管理项目支出30万元；</w:t>
      </w:r>
    </w:p>
    <w:p w14:paraId="509CE8FD">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4、原产地地理标志管理项目支出5万元；</w:t>
      </w:r>
    </w:p>
    <w:p w14:paraId="50774D02">
      <w:pPr>
        <w:pStyle w:val="5"/>
        <w:spacing w:line="600" w:lineRule="exact"/>
        <w:ind w:firstLine="640"/>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5、药品事务项目支出0.2万元</w:t>
      </w:r>
    </w:p>
    <w:p w14:paraId="0192211A">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6、市场主体管理项目支出105.53万元；</w:t>
      </w:r>
    </w:p>
    <w:p w14:paraId="2A839ED5">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7、食品安全监管项目支出78.26万元；</w:t>
      </w:r>
    </w:p>
    <w:p w14:paraId="6B28BD65">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8、其他市场监督管理事务项目支出121.28万元。</w:t>
      </w:r>
    </w:p>
    <w:p w14:paraId="482FA29F">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9、科学技术管理事务项目支出53.88万元。</w:t>
      </w:r>
    </w:p>
    <w:p w14:paraId="3632645F">
      <w:pPr>
        <w:pStyle w:val="5"/>
        <w:spacing w:line="600" w:lineRule="exact"/>
        <w:ind w:firstLine="640"/>
        <w:rPr>
          <w:rFonts w:hint="eastAsia" w:ascii="Times New Roman" w:hAnsi="Times New Roman" w:eastAsia="黑体"/>
          <w:sz w:val="32"/>
          <w:szCs w:val="32"/>
          <w:highlight w:val="none"/>
        </w:rPr>
      </w:pPr>
      <w:r>
        <w:rPr>
          <w:rFonts w:ascii="Times New Roman" w:hAnsi="Times New Roman" w:eastAsia="黑体"/>
          <w:sz w:val="32"/>
          <w:szCs w:val="32"/>
          <w:highlight w:val="none"/>
        </w:rPr>
        <w:t>三、政府性基金预算支出</w:t>
      </w:r>
      <w:r>
        <w:rPr>
          <w:rFonts w:hint="eastAsia" w:ascii="Times New Roman" w:hAnsi="Times New Roman" w:eastAsia="黑体"/>
          <w:sz w:val="32"/>
          <w:szCs w:val="32"/>
          <w:highlight w:val="none"/>
        </w:rPr>
        <w:t>。</w:t>
      </w:r>
    </w:p>
    <w:p w14:paraId="3F899B19">
      <w:pPr>
        <w:pStyle w:val="5"/>
        <w:spacing w:line="600" w:lineRule="exact"/>
        <w:ind w:firstLine="640"/>
        <w:rPr>
          <w:rFonts w:hint="default" w:ascii="Times New Roman" w:hAnsi="Times New Roman" w:eastAsia="黑体"/>
          <w:sz w:val="32"/>
          <w:szCs w:val="32"/>
          <w:highlight w:val="none"/>
          <w:lang w:val="en-US" w:eastAsia="zh-CN"/>
        </w:rPr>
      </w:pPr>
      <w:r>
        <w:rPr>
          <w:rFonts w:hint="eastAsia" w:ascii="仿宋_GB2312" w:hAnsi="黑体" w:eastAsia="仿宋_GB2312" w:cs="Times New Roman"/>
          <w:kern w:val="2"/>
          <w:sz w:val="32"/>
          <w:szCs w:val="32"/>
          <w:highlight w:val="none"/>
          <w:lang w:val="en-US" w:eastAsia="zh-CN" w:bidi="ar-SA"/>
        </w:rPr>
        <w:t>无</w:t>
      </w:r>
    </w:p>
    <w:p w14:paraId="3BC72DE3">
      <w:pPr>
        <w:pStyle w:val="5"/>
        <w:numPr>
          <w:ilvl w:val="0"/>
          <w:numId w:val="3"/>
        </w:numPr>
        <w:spacing w:line="600" w:lineRule="exact"/>
        <w:ind w:firstLine="640"/>
        <w:rPr>
          <w:rFonts w:hint="default"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无</w:t>
      </w:r>
      <w:r>
        <w:rPr>
          <w:rFonts w:ascii="Times New Roman" w:hAnsi="Times New Roman" w:eastAsia="黑体"/>
          <w:sz w:val="32"/>
          <w:szCs w:val="32"/>
          <w:highlight w:val="none"/>
        </w:rPr>
        <w:t>国有资本经营预算支出</w:t>
      </w:r>
      <w:r>
        <w:rPr>
          <w:rFonts w:hint="eastAsia" w:ascii="Times New Roman" w:hAnsi="Times New Roman" w:eastAsia="黑体"/>
          <w:sz w:val="32"/>
          <w:szCs w:val="32"/>
          <w:highlight w:val="none"/>
        </w:rPr>
        <w:t>。</w:t>
      </w:r>
    </w:p>
    <w:p w14:paraId="60C2A464">
      <w:pPr>
        <w:pStyle w:val="5"/>
        <w:numPr>
          <w:ilvl w:val="0"/>
          <w:numId w:val="0"/>
        </w:numPr>
        <w:spacing w:line="600" w:lineRule="exact"/>
        <w:rPr>
          <w:rFonts w:hint="default"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val="en-US" w:eastAsia="zh-CN"/>
        </w:rPr>
        <w:t xml:space="preserve">    </w:t>
      </w:r>
      <w:r>
        <w:rPr>
          <w:rFonts w:hint="eastAsia" w:ascii="仿宋_GB2312" w:hAnsi="黑体" w:eastAsia="仿宋_GB2312" w:cs="Times New Roman"/>
          <w:kern w:val="2"/>
          <w:sz w:val="32"/>
          <w:szCs w:val="32"/>
          <w:highlight w:val="none"/>
          <w:lang w:val="en-US" w:eastAsia="zh-CN" w:bidi="ar-SA"/>
        </w:rPr>
        <w:t>无</w:t>
      </w:r>
    </w:p>
    <w:p w14:paraId="07874A06">
      <w:pPr>
        <w:pStyle w:val="5"/>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五、</w:t>
      </w:r>
      <w:r>
        <w:rPr>
          <w:rFonts w:hint="eastAsia" w:ascii="Times New Roman" w:hAnsi="Times New Roman" w:eastAsia="黑体"/>
          <w:sz w:val="32"/>
          <w:szCs w:val="32"/>
          <w:highlight w:val="none"/>
        </w:rPr>
        <w:t>无</w:t>
      </w:r>
      <w:r>
        <w:rPr>
          <w:rFonts w:ascii="Times New Roman" w:hAnsi="Times New Roman" w:eastAsia="黑体"/>
          <w:sz w:val="32"/>
          <w:szCs w:val="32"/>
          <w:highlight w:val="none"/>
        </w:rPr>
        <w:t>社会保险基金预算支出</w:t>
      </w:r>
      <w:r>
        <w:rPr>
          <w:rFonts w:hint="eastAsia" w:ascii="Times New Roman" w:hAnsi="Times New Roman" w:eastAsia="黑体"/>
          <w:sz w:val="32"/>
          <w:szCs w:val="32"/>
          <w:highlight w:val="none"/>
        </w:rPr>
        <w:t>。</w:t>
      </w:r>
    </w:p>
    <w:p w14:paraId="11E1E767">
      <w:pPr>
        <w:spacing w:line="600" w:lineRule="exact"/>
        <w:ind w:firstLine="640" w:firstLineChars="200"/>
        <w:rPr>
          <w:rFonts w:eastAsia="黑体"/>
          <w:sz w:val="32"/>
          <w:szCs w:val="32"/>
          <w:highlight w:val="none"/>
        </w:rPr>
      </w:pPr>
      <w:r>
        <w:rPr>
          <w:rFonts w:hint="eastAsia" w:ascii="仿宋_GB2312" w:hAnsi="黑体" w:eastAsia="仿宋_GB2312" w:cs="Times New Roman"/>
          <w:kern w:val="2"/>
          <w:sz w:val="32"/>
          <w:szCs w:val="32"/>
          <w:highlight w:val="none"/>
          <w:lang w:val="en-US" w:eastAsia="zh-CN" w:bidi="ar-SA"/>
        </w:rPr>
        <w:t>无</w:t>
      </w:r>
    </w:p>
    <w:p w14:paraId="5F653B1B">
      <w:pPr>
        <w:spacing w:line="600" w:lineRule="exact"/>
        <w:ind w:firstLine="640" w:firstLineChars="200"/>
        <w:rPr>
          <w:rFonts w:eastAsia="黑体"/>
          <w:sz w:val="32"/>
          <w:szCs w:val="32"/>
          <w:highlight w:val="none"/>
        </w:rPr>
      </w:pPr>
      <w:r>
        <w:rPr>
          <w:rFonts w:eastAsia="黑体"/>
          <w:sz w:val="32"/>
          <w:szCs w:val="32"/>
          <w:highlight w:val="none"/>
        </w:rPr>
        <w:t>六、</w:t>
      </w:r>
      <w:r>
        <w:rPr>
          <w:rFonts w:hint="eastAsia" w:eastAsia="黑体"/>
          <w:sz w:val="32"/>
          <w:szCs w:val="32"/>
          <w:highlight w:val="none"/>
        </w:rPr>
        <w:t>资金使用及</w:t>
      </w:r>
      <w:r>
        <w:rPr>
          <w:rFonts w:eastAsia="黑体"/>
          <w:sz w:val="32"/>
          <w:szCs w:val="32"/>
          <w:highlight w:val="none"/>
        </w:rPr>
        <w:t>绩效情况</w:t>
      </w:r>
    </w:p>
    <w:p w14:paraId="5592CEAE">
      <w:pPr>
        <w:spacing w:line="600" w:lineRule="exact"/>
        <w:ind w:firstLine="643" w:firstLineChars="200"/>
        <w:rPr>
          <w:rFonts w:eastAsia="楷体_GB2312"/>
          <w:b/>
          <w:sz w:val="32"/>
          <w:szCs w:val="32"/>
          <w:highlight w:val="none"/>
        </w:rPr>
      </w:pPr>
      <w:r>
        <w:rPr>
          <w:rFonts w:hint="eastAsia" w:eastAsia="楷体_GB2312"/>
          <w:b/>
          <w:sz w:val="32"/>
          <w:szCs w:val="32"/>
          <w:highlight w:val="none"/>
        </w:rPr>
        <w:t>(一）部门整体支出绩效情况</w:t>
      </w:r>
    </w:p>
    <w:p w14:paraId="6EF54D63">
      <w:p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本单位绩效目标完成情况较为理想，达到了年初设定的各项绩效目标。以市场综合监督管理、市场主体统一登记注册和行政许可、产品质量安全监督管理、特种设备安全监督管理、食品药品安全监督管理、知识产权保护综合协调、消费者维权等部门职责为出发点，以严格按制度执行预算资金管理为主线开展业务，实现了如下效果：</w:t>
      </w:r>
    </w:p>
    <w:p w14:paraId="0EB84BAF">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1、运行成本。2024年度单位一般公共预算财政拨款支出2322.56万元。其中：项目支出406万元，基本支出1916.56万元，其中：人员经费1508.01万元，公用经费408.55万元保证了人员的基本支出及办理业务所需的必备开支。</w:t>
      </w:r>
    </w:p>
    <w:p w14:paraId="3FB559E0">
      <w:pPr>
        <w:numPr>
          <w:ilvl w:val="0"/>
          <w:numId w:val="0"/>
        </w:num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2、管理效率。所有资金使用严格按审批程序办理、操作规范，会计核算结果真实、准确，各项支出严格按照各项制度执行。</w:t>
      </w:r>
    </w:p>
    <w:p w14:paraId="4C3D5549">
      <w:pPr>
        <w:numPr>
          <w:ilvl w:val="0"/>
          <w:numId w:val="0"/>
        </w:num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3、履职效能。全程电子化登记设立比例≧90%，宣传工作完成率100%，广告违法率逐步降低，知识产权案件办结率100%，检测不合格食用农产品处理率100%，违法行为查处率100%，组织开展食品安全及药品零售企业监管检查≥80%。</w:t>
      </w:r>
    </w:p>
    <w:p w14:paraId="43735111">
      <w:pPr>
        <w:numPr>
          <w:ilvl w:val="0"/>
          <w:numId w:val="0"/>
        </w:num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4、社会效应。营造了宽松的市场准入环境，构建了群众、企业等市场主体懂法、守法的良好市场秩序，重特大食品安全事故0起，构建食品安全的消费环境，食用农产品质量安全水平稳步提升。</w:t>
      </w:r>
    </w:p>
    <w:p w14:paraId="58909CDC">
      <w:pPr>
        <w:numPr>
          <w:ilvl w:val="0"/>
          <w:numId w:val="0"/>
        </w:num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5、可持续发展能力。本单位职能平稳有序运行，更好的履行市场监管职责。</w:t>
      </w:r>
    </w:p>
    <w:p w14:paraId="5FE89295">
      <w:pPr>
        <w:numPr>
          <w:ilvl w:val="0"/>
          <w:numId w:val="0"/>
        </w:numPr>
        <w:spacing w:line="600" w:lineRule="exact"/>
        <w:ind w:firstLine="640" w:firstLineChars="200"/>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6、服务对象满意度。公众满意度达到85%以上。企业满意率90%，公众的消费安全感≥85%。</w:t>
      </w:r>
    </w:p>
    <w:p w14:paraId="32CC86E2">
      <w:pPr>
        <w:numPr>
          <w:ilvl w:val="0"/>
          <w:numId w:val="0"/>
        </w:numPr>
        <w:spacing w:line="600" w:lineRule="exact"/>
        <w:ind w:left="630" w:leftChars="0"/>
        <w:rPr>
          <w:rFonts w:hint="eastAsia" w:eastAsia="楷体_GB2312"/>
          <w:b/>
          <w:sz w:val="32"/>
          <w:szCs w:val="32"/>
          <w:highlight w:val="none"/>
        </w:rPr>
      </w:pPr>
      <w:r>
        <w:rPr>
          <w:rFonts w:hint="eastAsia" w:eastAsia="楷体_GB2312"/>
          <w:b/>
          <w:sz w:val="32"/>
          <w:szCs w:val="32"/>
          <w:highlight w:val="none"/>
        </w:rPr>
        <w:t>（二）专项资金支出绩效情况</w:t>
      </w:r>
    </w:p>
    <w:p w14:paraId="6ED20F19">
      <w:pPr>
        <w:pStyle w:val="5"/>
        <w:spacing w:line="600" w:lineRule="exact"/>
        <w:ind w:firstLine="640"/>
        <w:rPr>
          <w:rFonts w:hint="default" w:ascii="仿宋_GB2312" w:hAnsi="黑体" w:eastAsia="仿宋_GB2312" w:cs="Times New Roman"/>
          <w:kern w:val="2"/>
          <w:sz w:val="32"/>
          <w:szCs w:val="32"/>
          <w:highlight w:val="yellow"/>
          <w:lang w:val="en-US" w:eastAsia="zh-CN" w:bidi="ar-SA"/>
        </w:rPr>
      </w:pPr>
      <w:r>
        <w:rPr>
          <w:rFonts w:hint="eastAsia" w:ascii="仿宋_GB2312" w:hAnsi="黑体" w:eastAsia="仿宋_GB2312" w:cs="Times New Roman"/>
          <w:kern w:val="2"/>
          <w:sz w:val="32"/>
          <w:szCs w:val="32"/>
          <w:highlight w:val="none"/>
          <w:lang w:val="en-US" w:eastAsia="zh-CN" w:bidi="ar-SA"/>
        </w:rPr>
        <w:t>1、专项统计业务项目支出0.84万元，资金主要用于培育四上企业。</w:t>
      </w:r>
    </w:p>
    <w:p w14:paraId="5016DE7D">
      <w:pPr>
        <w:pStyle w:val="5"/>
        <w:spacing w:line="600" w:lineRule="exact"/>
        <w:ind w:firstLine="640"/>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2、知识产权战略和规划项目支出11万元，资金为上级专款，主要用于拨付专利密集型企业培育株洲市知识产权专项资金和企业专利侵权补助与奖励。</w:t>
      </w:r>
    </w:p>
    <w:p w14:paraId="6D684CA8">
      <w:pPr>
        <w:pStyle w:val="5"/>
        <w:spacing w:line="600" w:lineRule="exact"/>
        <w:ind w:firstLine="640"/>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3、知识产权宏观管理项目支出30万元，资金为上级专款，主要用于拨付3家企业知识产权专项资金。</w:t>
      </w:r>
    </w:p>
    <w:p w14:paraId="39AAF149">
      <w:pPr>
        <w:pStyle w:val="5"/>
        <w:spacing w:line="600" w:lineRule="exact"/>
        <w:ind w:firstLine="640"/>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4、原产地地理标志管理项目支出5万元，资金为上级专款，主要用于白关镇地理标志监管。</w:t>
      </w:r>
    </w:p>
    <w:p w14:paraId="5D5AB7FD">
      <w:pPr>
        <w:pStyle w:val="5"/>
        <w:spacing w:line="600" w:lineRule="exact"/>
        <w:ind w:firstLine="640"/>
        <w:rPr>
          <w:rFonts w:hint="default" w:ascii="仿宋_GB2312" w:hAnsi="黑体" w:eastAsia="仿宋_GB2312" w:cs="Times New Roman"/>
          <w:kern w:val="2"/>
          <w:sz w:val="32"/>
          <w:szCs w:val="32"/>
          <w:highlight w:val="yellow"/>
          <w:lang w:val="en-US" w:eastAsia="zh-CN" w:bidi="ar-SA"/>
        </w:rPr>
      </w:pPr>
      <w:r>
        <w:rPr>
          <w:rFonts w:hint="eastAsia" w:ascii="仿宋_GB2312" w:hAnsi="黑体" w:eastAsia="仿宋_GB2312" w:cs="Times New Roman"/>
          <w:kern w:val="2"/>
          <w:sz w:val="32"/>
          <w:szCs w:val="32"/>
          <w:highlight w:val="none"/>
          <w:lang w:val="en-US" w:eastAsia="zh-CN" w:bidi="ar-SA"/>
        </w:rPr>
        <w:t>5、药品事务项目支出0.2万元，资金主要用于医疗器械专项检查支出。</w:t>
      </w:r>
    </w:p>
    <w:p w14:paraId="7AB35CFD">
      <w:pPr>
        <w:spacing w:line="360" w:lineRule="auto"/>
        <w:ind w:firstLine="640" w:firstLineChars="200"/>
        <w:rPr>
          <w:rFonts w:hint="eastAsia" w:ascii="仿宋_GB2312" w:hAnsi="黑体" w:eastAsia="仿宋_GB2312" w:cs="Times New Roman"/>
          <w:kern w:val="2"/>
          <w:sz w:val="32"/>
          <w:szCs w:val="32"/>
          <w:highlight w:val="yellow"/>
          <w:lang w:val="en-US" w:eastAsia="zh-CN" w:bidi="ar-SA"/>
        </w:rPr>
      </w:pPr>
      <w:r>
        <w:rPr>
          <w:rFonts w:hint="eastAsia" w:ascii="仿宋_GB2312" w:hAnsi="黑体" w:eastAsia="仿宋_GB2312" w:cs="Times New Roman"/>
          <w:kern w:val="2"/>
          <w:sz w:val="32"/>
          <w:szCs w:val="32"/>
          <w:highlight w:val="none"/>
          <w:lang w:val="en-US" w:eastAsia="zh-CN" w:bidi="ar-SA"/>
        </w:rPr>
        <w:t>6、市场主体管理项目支出105.53万元，</w:t>
      </w:r>
      <w:r>
        <w:rPr>
          <w:rFonts w:hint="eastAsia" w:ascii="Times New Roman" w:hAnsi="Times New Roman" w:eastAsia="仿宋_GB2312" w:cs="Times New Roman"/>
          <w:sz w:val="32"/>
          <w:szCs w:val="32"/>
          <w:highlight w:val="none"/>
        </w:rPr>
        <w:t>主</w:t>
      </w:r>
      <w:r>
        <w:rPr>
          <w:rFonts w:hint="eastAsia" w:ascii="Times New Roman" w:hAnsi="Times New Roman" w:eastAsia="仿宋_GB2312" w:cs="Times New Roman"/>
          <w:sz w:val="32"/>
          <w:szCs w:val="32"/>
        </w:rPr>
        <w:t>要用于优化营商环境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净化市场环境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保障市场安全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推动产业发展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项目实施及绩效情况</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sz w:val="32"/>
          <w:szCs w:val="32"/>
        </w:rPr>
        <w:t>市场主体增长8</w:t>
      </w:r>
      <w:r>
        <w:rPr>
          <w:rFonts w:hint="eastAsia" w:eastAsia="仿宋_GB2312"/>
          <w:sz w:val="32"/>
          <w:szCs w:val="32"/>
          <w:lang w:val="en-US" w:eastAsia="zh-CN"/>
        </w:rPr>
        <w:t>253</w:t>
      </w:r>
      <w:r>
        <w:rPr>
          <w:rFonts w:hint="eastAsia" w:eastAsia="仿宋_GB2312"/>
          <w:sz w:val="32"/>
          <w:szCs w:val="32"/>
        </w:rPr>
        <w:t>户，开展标准化有关宣传活动1次，开展315消费者宣传活动1次，投诉处理率100%，消费者纠纷调解率100%，完成部门联合“双随机、一公开”任务123项，市场监管人员参加培训</w:t>
      </w:r>
      <w:r>
        <w:rPr>
          <w:rFonts w:hint="eastAsia" w:eastAsia="仿宋_GB2312"/>
          <w:sz w:val="32"/>
          <w:szCs w:val="32"/>
          <w:lang w:val="en-US" w:eastAsia="zh-CN"/>
        </w:rPr>
        <w:t>5次。</w:t>
      </w:r>
      <w:r>
        <w:rPr>
          <w:rFonts w:hint="eastAsia" w:eastAsia="仿宋_GB2312"/>
          <w:sz w:val="32"/>
          <w:szCs w:val="32"/>
        </w:rPr>
        <w:t>市场主体年度报告和信用公示率9</w:t>
      </w:r>
      <w:r>
        <w:rPr>
          <w:rFonts w:hint="eastAsia" w:eastAsia="仿宋_GB2312"/>
          <w:sz w:val="32"/>
          <w:szCs w:val="32"/>
          <w:lang w:val="en-US" w:eastAsia="zh-CN"/>
        </w:rPr>
        <w:t>6.64</w:t>
      </w:r>
      <w:r>
        <w:rPr>
          <w:rFonts w:hint="eastAsia" w:eastAsia="仿宋_GB2312"/>
          <w:sz w:val="32"/>
          <w:szCs w:val="32"/>
        </w:rPr>
        <w:t>%。</w:t>
      </w:r>
      <w:r>
        <w:rPr>
          <w:rFonts w:hint="eastAsia" w:eastAsia="仿宋_GB2312"/>
          <w:sz w:val="32"/>
          <w:szCs w:val="32"/>
          <w:lang w:val="en-US" w:eastAsia="zh-CN"/>
        </w:rPr>
        <w:t>全程电子化登记设立比例99.13</w:t>
      </w:r>
      <w:r>
        <w:rPr>
          <w:rFonts w:hint="eastAsia" w:eastAsia="仿宋_GB2312"/>
          <w:sz w:val="32"/>
          <w:szCs w:val="32"/>
        </w:rPr>
        <w:t>%，案件办理时限≤4个月</w:t>
      </w:r>
      <w:r>
        <w:rPr>
          <w:rFonts w:hint="eastAsia" w:eastAsia="仿宋_GB2312"/>
          <w:sz w:val="32"/>
          <w:szCs w:val="32"/>
          <w:lang w:eastAsia="zh-CN"/>
        </w:rPr>
        <w:t>，</w:t>
      </w:r>
      <w:r>
        <w:rPr>
          <w:rFonts w:hint="eastAsia" w:eastAsia="仿宋_GB2312"/>
          <w:sz w:val="32"/>
          <w:szCs w:val="32"/>
        </w:rPr>
        <w:t>问题商品下架率</w:t>
      </w:r>
      <w:r>
        <w:rPr>
          <w:rFonts w:hint="eastAsia" w:eastAsia="仿宋_GB2312"/>
          <w:sz w:val="32"/>
          <w:szCs w:val="32"/>
          <w:lang w:val="en-US" w:eastAsia="zh-CN"/>
        </w:rPr>
        <w:t>100%，</w:t>
      </w:r>
      <w:r>
        <w:rPr>
          <w:rFonts w:hint="eastAsia" w:eastAsia="仿宋_GB2312"/>
          <w:sz w:val="32"/>
          <w:szCs w:val="32"/>
        </w:rPr>
        <w:t>违法企业处理率</w:t>
      </w:r>
      <w:r>
        <w:rPr>
          <w:rFonts w:hint="eastAsia" w:eastAsia="仿宋_GB2312"/>
          <w:sz w:val="32"/>
          <w:szCs w:val="32"/>
          <w:lang w:val="en-US" w:eastAsia="zh-CN"/>
        </w:rPr>
        <w:t>100%，</w:t>
      </w:r>
      <w:r>
        <w:rPr>
          <w:rFonts w:hint="eastAsia" w:eastAsia="仿宋_GB2312"/>
          <w:sz w:val="32"/>
          <w:szCs w:val="32"/>
        </w:rPr>
        <w:t>实际发生的质量安全重大事故的次数</w:t>
      </w:r>
      <w:r>
        <w:rPr>
          <w:rFonts w:hint="eastAsia" w:eastAsia="仿宋_GB2312"/>
          <w:sz w:val="32"/>
          <w:szCs w:val="32"/>
          <w:lang w:val="en-US" w:eastAsia="zh-CN"/>
        </w:rPr>
        <w:t>0次。</w:t>
      </w:r>
    </w:p>
    <w:p w14:paraId="3BAAA3F9">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仿宋_GB2312" w:hAnsi="黑体" w:eastAsia="仿宋_GB2312" w:cs="Times New Roman"/>
          <w:kern w:val="2"/>
          <w:sz w:val="32"/>
          <w:szCs w:val="32"/>
          <w:highlight w:val="none"/>
          <w:lang w:val="en-US" w:eastAsia="zh-CN" w:bidi="ar-SA"/>
        </w:rPr>
        <w:t>7、食品安全监管项目支出78.26万元，</w:t>
      </w:r>
      <w:r>
        <w:rPr>
          <w:rFonts w:hint="eastAsia" w:ascii="Times New Roman" w:hAnsi="Times New Roman" w:eastAsia="仿宋_GB2312" w:cs="Times New Roman"/>
          <w:sz w:val="32"/>
          <w:szCs w:val="32"/>
          <w:highlight w:val="none"/>
        </w:rPr>
        <w:t>主要用于按4批次/千人的计划进行农产品和食品抽检，严厉打击违法行为，开展食品</w:t>
      </w:r>
      <w:r>
        <w:rPr>
          <w:rFonts w:hint="eastAsia" w:ascii="Times New Roman" w:hAnsi="Times New Roman" w:eastAsia="仿宋_GB2312" w:cs="Times New Roman"/>
          <w:sz w:val="32"/>
          <w:szCs w:val="32"/>
          <w:highlight w:val="none"/>
          <w:lang w:val="en-US" w:eastAsia="zh-CN"/>
        </w:rPr>
        <w:t>安全</w:t>
      </w:r>
      <w:r>
        <w:rPr>
          <w:rFonts w:hint="eastAsia" w:ascii="Times New Roman" w:hAnsi="Times New Roman" w:eastAsia="仿宋_GB2312" w:cs="Times New Roman"/>
          <w:sz w:val="32"/>
          <w:szCs w:val="32"/>
          <w:highlight w:val="none"/>
        </w:rPr>
        <w:t>知识培训，开展安全用药月、食品安全周宣传活动，印制法律法规及相关宣传资料，组织开展食品安全及药品零售企业监管检查，对权限内药品、医疗器械和化妆品安全进行监督检查。项目实施及绩效情况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食品及食用农产品抽检批次</w:t>
      </w:r>
      <w:r>
        <w:rPr>
          <w:rFonts w:hint="eastAsia" w:eastAsia="仿宋_GB2312" w:cs="Times New Roman"/>
          <w:sz w:val="32"/>
          <w:szCs w:val="32"/>
          <w:highlight w:val="none"/>
          <w:lang w:val="en-US" w:eastAsia="zh-CN"/>
        </w:rPr>
        <w:t>460</w:t>
      </w:r>
      <w:r>
        <w:rPr>
          <w:rFonts w:hint="eastAsia" w:ascii="Times New Roman" w:hAnsi="Times New Roman" w:eastAsia="仿宋_GB2312" w:cs="Times New Roman"/>
          <w:sz w:val="32"/>
          <w:szCs w:val="32"/>
          <w:highlight w:val="none"/>
        </w:rPr>
        <w:t>批次</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安全用药月、食品安全周等宣传活动2次。印制法律法规等宣传资料100本</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食品安全监管日常工作印刷</w:t>
      </w:r>
      <w:r>
        <w:rPr>
          <w:rFonts w:hint="eastAsia" w:eastAsia="仿宋_GB2312" w:cs="Times New Roman"/>
          <w:sz w:val="32"/>
          <w:szCs w:val="32"/>
          <w:highlight w:val="none"/>
          <w:lang w:val="en-US" w:eastAsia="zh-CN"/>
        </w:rPr>
        <w:t>资料</w:t>
      </w:r>
      <w:r>
        <w:rPr>
          <w:rFonts w:hint="eastAsia" w:ascii="Times New Roman" w:hAnsi="Times New Roman" w:eastAsia="仿宋_GB2312" w:cs="Times New Roman"/>
          <w:sz w:val="32"/>
          <w:szCs w:val="32"/>
          <w:highlight w:val="none"/>
          <w:lang w:eastAsia="zh-CN"/>
        </w:rPr>
        <w:t>2000本。与相关单位联合开展执法行动2次。开展食品药品相关知识培训</w:t>
      </w: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次</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食品安全培训参加人数</w:t>
      </w:r>
      <w:r>
        <w:rPr>
          <w:rFonts w:hint="eastAsia" w:eastAsia="仿宋_GB2312" w:cs="Times New Roman"/>
          <w:sz w:val="32"/>
          <w:szCs w:val="32"/>
          <w:highlight w:val="none"/>
          <w:lang w:val="en-US" w:eastAsia="zh-CN"/>
        </w:rPr>
        <w:t>120</w:t>
      </w:r>
      <w:r>
        <w:rPr>
          <w:rFonts w:hint="eastAsia" w:ascii="Times New Roman" w:hAnsi="Times New Roman" w:eastAsia="仿宋_GB2312" w:cs="Times New Roman"/>
          <w:sz w:val="32"/>
          <w:szCs w:val="32"/>
          <w:highlight w:val="none"/>
          <w:lang w:eastAsia="zh-CN"/>
        </w:rPr>
        <w:t>人。开展食品安全及药品零售企业监管检查覆盖率≥80%。食用农产品检测合格率≥95%。检测不合格食用农产品处理率100%。宣传资料印制品验收合格率100%。问题食品经营主体整改率100%。食品</w:t>
      </w:r>
      <w:r>
        <w:rPr>
          <w:rFonts w:hint="eastAsia" w:eastAsia="仿宋_GB2312" w:cs="Times New Roman"/>
          <w:sz w:val="32"/>
          <w:szCs w:val="32"/>
          <w:highlight w:val="none"/>
          <w:lang w:val="en-US" w:eastAsia="zh-CN"/>
        </w:rPr>
        <w:t>药品</w:t>
      </w:r>
      <w:r>
        <w:rPr>
          <w:rFonts w:hint="eastAsia" w:ascii="Times New Roman" w:hAnsi="Times New Roman" w:eastAsia="仿宋_GB2312" w:cs="Times New Roman"/>
          <w:sz w:val="32"/>
          <w:szCs w:val="32"/>
          <w:highlight w:val="none"/>
          <w:lang w:eastAsia="zh-CN"/>
        </w:rPr>
        <w:t>案件办理时限≤4个月</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全年辖区食品安全重大事故发生</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次</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全年辖区重大食物中毒事故死亡人数</w:t>
      </w:r>
      <w:r>
        <w:rPr>
          <w:rFonts w:hint="eastAsia" w:eastAsia="仿宋_GB2312" w:cs="Times New Roman"/>
          <w:sz w:val="32"/>
          <w:szCs w:val="32"/>
          <w:highlight w:val="none"/>
          <w:lang w:val="en-US" w:eastAsia="zh-CN"/>
        </w:rPr>
        <w:t>0人</w:t>
      </w:r>
      <w:r>
        <w:rPr>
          <w:rFonts w:hint="eastAsia" w:ascii="Times New Roman" w:hAnsi="Times New Roman" w:eastAsia="仿宋_GB2312" w:cs="Times New Roman"/>
          <w:sz w:val="32"/>
          <w:szCs w:val="32"/>
          <w:highlight w:val="none"/>
          <w:lang w:eastAsia="zh-CN"/>
        </w:rPr>
        <w:t>，食品监管网格覆盖率100%</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流通环节重大食品安全事故发生</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次</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全年辖区药品安全重大事故发生</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次。全年辖区重大药品不良反应人</w:t>
      </w:r>
      <w:r>
        <w:rPr>
          <w:rFonts w:hint="eastAsia" w:eastAsia="仿宋_GB2312" w:cs="Times New Roman"/>
          <w:sz w:val="32"/>
          <w:szCs w:val="32"/>
          <w:highlight w:val="none"/>
          <w:lang w:val="en-US" w:eastAsia="zh-CN"/>
        </w:rPr>
        <w:t>数0人</w:t>
      </w:r>
      <w:r>
        <w:rPr>
          <w:rFonts w:hint="eastAsia" w:ascii="Times New Roman" w:hAnsi="Times New Roman" w:eastAsia="仿宋_GB2312" w:cs="Times New Roman"/>
          <w:sz w:val="32"/>
          <w:szCs w:val="32"/>
          <w:highlight w:val="none"/>
          <w:lang w:eastAsia="zh-CN"/>
        </w:rPr>
        <w:t>。流通环节重大药品安全事故发生</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次。</w:t>
      </w:r>
      <w:r>
        <w:rPr>
          <w:rFonts w:hint="eastAsia" w:ascii="Times New Roman" w:hAnsi="Times New Roman" w:eastAsia="仿宋_GB2312" w:cs="Times New Roman"/>
          <w:sz w:val="32"/>
          <w:szCs w:val="32"/>
          <w:highlight w:val="none"/>
        </w:rPr>
        <w:t>食品生产环境安全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食用农产品质量安全水平稳步提升</w:t>
      </w:r>
      <w:r>
        <w:rPr>
          <w:rFonts w:hint="eastAsia" w:ascii="Times New Roman" w:hAnsi="Times New Roman" w:eastAsia="仿宋_GB2312" w:cs="Times New Roman"/>
          <w:sz w:val="32"/>
          <w:szCs w:val="32"/>
          <w:highlight w:val="none"/>
          <w:lang w:eastAsia="zh-CN"/>
        </w:rPr>
        <w:t>。</w:t>
      </w:r>
    </w:p>
    <w:p w14:paraId="090EC212">
      <w:pPr>
        <w:pStyle w:val="5"/>
        <w:spacing w:line="600" w:lineRule="exact"/>
        <w:ind w:firstLine="64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8、其他市场监督管理事务项目支出121.28万元。主要用于保障芦淞区市场监督管理局院外独立办公场地的正常办公开支。</w:t>
      </w:r>
      <w:r>
        <w:rPr>
          <w:rFonts w:hint="eastAsia"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保障</w:t>
      </w:r>
      <w:r>
        <w:rPr>
          <w:rFonts w:hint="eastAsia" w:ascii="Times New Roman" w:hAnsi="Times New Roman" w:eastAsia="仿宋_GB2312" w:cs="Times New Roman"/>
          <w:sz w:val="32"/>
          <w:szCs w:val="32"/>
          <w:lang w:val="en-US" w:eastAsia="zh-CN"/>
        </w:rPr>
        <w:t>了</w:t>
      </w:r>
      <w:r>
        <w:rPr>
          <w:rFonts w:hint="eastAsia" w:ascii="Times New Roman" w:hAnsi="Times New Roman" w:eastAsia="仿宋_GB2312" w:cs="Times New Roman"/>
          <w:sz w:val="32"/>
          <w:szCs w:val="32"/>
        </w:rPr>
        <w:t>芦淞区市场监督管理局院外独立办公场地的正常办公开支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保障</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rPr>
        <w:t>劳务派遣人员劳务费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维护11处院外办公场所正常运转，保障干部职工的工作积极性。</w:t>
      </w:r>
    </w:p>
    <w:p w14:paraId="154B2EA2">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both"/>
        <w:textAlignment w:val="auto"/>
        <w:rPr>
          <w:rFonts w:hint="default"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9、科学技术管理事务项目支出53.88万元。主要用于</w:t>
      </w:r>
      <w:r>
        <w:rPr>
          <w:rFonts w:hint="eastAsia" w:ascii="Times New Roman" w:hAnsi="Times New Roman" w:eastAsia="仿宋_GB2312" w:cs="Times New Roman"/>
          <w:sz w:val="32"/>
          <w:szCs w:val="32"/>
          <w:highlight w:val="none"/>
          <w:lang w:val="en-US" w:eastAsia="zh-CN"/>
        </w:rPr>
        <w:t>加快培育壮大市场主体，开展市场主体培育倍增工作</w:t>
      </w:r>
      <w:r>
        <w:rPr>
          <w:rFonts w:hint="eastAsia" w:ascii="Times New Roman" w:hAnsi="Times New Roman" w:eastAsia="仿宋_GB2312" w:cs="Times New Roman"/>
          <w:sz w:val="32"/>
          <w:szCs w:val="32"/>
          <w:highlight w:val="none"/>
        </w:rPr>
        <w:t>。项目实施及绩效情况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市场主体年均增长</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5000户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注册登记通过率100%，市场主体数量逐年增加，</w:t>
      </w:r>
      <w:r>
        <w:rPr>
          <w:rFonts w:hint="eastAsia" w:ascii="Times New Roman" w:hAnsi="Times New Roman" w:eastAsia="仿宋_GB2312" w:cs="Times New Roman"/>
          <w:sz w:val="32"/>
          <w:szCs w:val="32"/>
          <w:highlight w:val="none"/>
        </w:rPr>
        <w:t>行政许可申请人满意度</w:t>
      </w:r>
      <w:r>
        <w:rPr>
          <w:rFonts w:hint="eastAsia" w:ascii="Times New Roman" w:hAnsi="Times New Roman" w:eastAsia="仿宋_GB2312" w:cs="Times New Roman"/>
          <w:sz w:val="32"/>
          <w:szCs w:val="32"/>
          <w:highlight w:val="none"/>
          <w:lang w:val="en-US" w:eastAsia="zh-CN"/>
        </w:rPr>
        <w:t>≥95%。</w:t>
      </w:r>
    </w:p>
    <w:p w14:paraId="34C84C78">
      <w:pPr>
        <w:pStyle w:val="5"/>
        <w:spacing w:line="600" w:lineRule="exact"/>
        <w:ind w:firstLine="640"/>
        <w:rPr>
          <w:rFonts w:ascii="Times New Roman" w:hAnsi="Times New Roman" w:eastAsia="黑体"/>
          <w:sz w:val="32"/>
          <w:szCs w:val="32"/>
        </w:rPr>
      </w:pPr>
      <w:r>
        <w:rPr>
          <w:rFonts w:hint="eastAsia" w:eastAsia="黑体"/>
          <w:sz w:val="32"/>
          <w:szCs w:val="32"/>
          <w:highlight w:val="none"/>
          <w:lang w:val="en-US" w:eastAsia="zh-CN"/>
        </w:rPr>
        <w:t>七</w:t>
      </w:r>
      <w:r>
        <w:rPr>
          <w:rFonts w:eastAsia="黑体"/>
          <w:sz w:val="32"/>
          <w:szCs w:val="32"/>
          <w:highlight w:val="none"/>
        </w:rPr>
        <w:t>、</w:t>
      </w:r>
      <w:r>
        <w:rPr>
          <w:rFonts w:ascii="Times New Roman" w:hAnsi="Times New Roman" w:eastAsia="黑体"/>
          <w:sz w:val="32"/>
          <w:szCs w:val="32"/>
        </w:rPr>
        <w:t>存在的问题及原因分析</w:t>
      </w:r>
    </w:p>
    <w:p w14:paraId="44E4A60D">
      <w:pPr>
        <w:keepNext w:val="0"/>
        <w:keepLines w:val="0"/>
        <w:pageBreakBefore w:val="0"/>
        <w:widowControl w:val="0"/>
        <w:numPr>
          <w:ilvl w:val="0"/>
          <w:numId w:val="0"/>
        </w:numPr>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sz w:val="32"/>
          <w:szCs w:val="32"/>
          <w:lang w:eastAsia="zh-CN"/>
        </w:rPr>
      </w:pPr>
      <w:r>
        <w:rPr>
          <w:rFonts w:hint="eastAsia" w:ascii="Times New Roman" w:hAnsi="Times New Roman" w:eastAsia="仿宋_GB2312" w:cs="Times New Roman"/>
          <w:kern w:val="2"/>
          <w:sz w:val="32"/>
          <w:szCs w:val="32"/>
          <w:highlight w:val="none"/>
          <w:lang w:val="en-US" w:eastAsia="zh-CN" w:bidi="ar-SA"/>
        </w:rPr>
        <w:t>预算编制工作有待细化，预算绩效管理有待完善，原因为市场监管部门职能涉及面广，预算编制以及预算绩效管理应当更深入与部门职能相结合。</w:t>
      </w:r>
    </w:p>
    <w:p w14:paraId="56C35C95">
      <w:pPr>
        <w:spacing w:line="600" w:lineRule="exact"/>
        <w:ind w:firstLine="640" w:firstLineChars="200"/>
        <w:rPr>
          <w:rFonts w:eastAsia="黑体"/>
          <w:sz w:val="32"/>
          <w:szCs w:val="32"/>
          <w:highlight w:val="none"/>
        </w:rPr>
      </w:pPr>
      <w:r>
        <w:rPr>
          <w:rFonts w:hint="eastAsia" w:eastAsia="黑体"/>
          <w:sz w:val="32"/>
          <w:szCs w:val="32"/>
          <w:highlight w:val="none"/>
          <w:lang w:val="en-US" w:eastAsia="zh-CN"/>
        </w:rPr>
        <w:t>八、</w:t>
      </w:r>
      <w:r>
        <w:rPr>
          <w:rFonts w:eastAsia="黑体"/>
          <w:sz w:val="32"/>
          <w:szCs w:val="32"/>
          <w:highlight w:val="none"/>
        </w:rPr>
        <w:t>下一步改进措施</w:t>
      </w:r>
    </w:p>
    <w:p w14:paraId="6DEC2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highlight w:val="none"/>
        </w:rPr>
      </w:pPr>
      <w:r>
        <w:rPr>
          <w:rFonts w:hint="eastAsia" w:ascii="仿宋_GB2312" w:hAnsi="黑体" w:eastAsia="仿宋_GB2312" w:cs="Times New Roman"/>
          <w:kern w:val="2"/>
          <w:sz w:val="32"/>
          <w:szCs w:val="32"/>
          <w:highlight w:val="none"/>
          <w:lang w:val="en-US" w:eastAsia="zh-CN" w:bidi="ar-SA"/>
        </w:rPr>
        <w:t> 1、科学合理编制预算，严格执行预算。进一步提高预算编制到位率，做准做全基本支出预算，做全项目支出预算，加强预算支出的审核、跟踪及预算执行情况分析，提高预算编制严谨性和可控性。　</w:t>
      </w:r>
    </w:p>
    <w:p w14:paraId="58345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eastAsia="仿宋_GB2312"/>
          <w:sz w:val="32"/>
          <w:szCs w:val="32"/>
          <w:highlight w:val="none"/>
          <w:lang w:val="en-US" w:eastAsia="zh-CN"/>
        </w:rPr>
      </w:pPr>
      <w:r>
        <w:rPr>
          <w:rFonts w:hint="eastAsia" w:ascii="仿宋_GB2312" w:hAnsi="黑体" w:eastAsia="仿宋_GB2312" w:cs="Times New Roman"/>
          <w:kern w:val="2"/>
          <w:sz w:val="32"/>
          <w:szCs w:val="32"/>
          <w:highlight w:val="none"/>
          <w:lang w:val="en-US" w:eastAsia="zh-CN" w:bidi="ar-SA"/>
        </w:rPr>
        <w:t>2、进一步加强项目资金管理。严格实行项目管理程序化，实现项目申报、实施、拨付、评价全流程监督与控制，规范专项资金管理，提高专项资金的使用效益。</w:t>
      </w:r>
    </w:p>
    <w:p w14:paraId="129752CA">
      <w:pPr>
        <w:spacing w:line="600" w:lineRule="exact"/>
        <w:ind w:firstLine="640" w:firstLineChars="200"/>
        <w:rPr>
          <w:rFonts w:eastAsia="黑体"/>
          <w:sz w:val="32"/>
          <w:szCs w:val="32"/>
          <w:highlight w:val="none"/>
        </w:rPr>
      </w:pPr>
      <w:r>
        <w:rPr>
          <w:rFonts w:eastAsia="黑体"/>
          <w:sz w:val="32"/>
          <w:szCs w:val="32"/>
          <w:highlight w:val="none"/>
        </w:rPr>
        <w:t>九、绩效自评结果拟应用和公开情况</w:t>
      </w:r>
    </w:p>
    <w:p w14:paraId="0A2A6145">
      <w:pPr>
        <w:spacing w:line="600" w:lineRule="exact"/>
        <w:ind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本部门将项目自评结果在芦淞区财政局网站上进行公开。并把自评结果应用作为全过程预算绩效管理落脚点，及时整理、归纳、分析、反馈绩效自评结果，并将其作为改进预算管理和以后年度预算安排的重要依据。 </w:t>
      </w:r>
    </w:p>
    <w:p w14:paraId="60FB5584">
      <w:pPr>
        <w:spacing w:line="600" w:lineRule="exact"/>
        <w:ind w:firstLine="640" w:firstLineChars="200"/>
        <w:rPr>
          <w:rFonts w:eastAsia="黑体"/>
          <w:sz w:val="32"/>
          <w:szCs w:val="32"/>
          <w:highlight w:val="none"/>
        </w:rPr>
      </w:pPr>
      <w:r>
        <w:rPr>
          <w:rFonts w:hint="eastAsia" w:eastAsia="黑体"/>
          <w:sz w:val="32"/>
          <w:szCs w:val="32"/>
          <w:highlight w:val="none"/>
        </w:rPr>
        <w:t>十、</w:t>
      </w:r>
      <w:r>
        <w:rPr>
          <w:rFonts w:eastAsia="黑体"/>
          <w:sz w:val="32"/>
          <w:szCs w:val="32"/>
          <w:highlight w:val="none"/>
        </w:rPr>
        <w:t>其他需要说明的情况</w:t>
      </w:r>
    </w:p>
    <w:p w14:paraId="1BB2D242">
      <w:pPr>
        <w:spacing w:line="600" w:lineRule="exact"/>
        <w:ind w:firstLine="640" w:firstLineChars="200"/>
        <w:rPr>
          <w:rFonts w:hint="eastAsia" w:eastAsia="仿宋_GB2312"/>
          <w:sz w:val="32"/>
          <w:szCs w:val="32"/>
          <w:highlight w:val="none"/>
          <w:lang w:eastAsia="zh-CN"/>
        </w:rPr>
      </w:pPr>
      <w:r>
        <w:rPr>
          <w:rFonts w:hint="eastAsia" w:ascii="仿宋_GB2312" w:hAnsi="黑体" w:eastAsia="仿宋_GB2312" w:cs="Times New Roman"/>
          <w:kern w:val="2"/>
          <w:sz w:val="32"/>
          <w:szCs w:val="32"/>
          <w:highlight w:val="none"/>
          <w:lang w:val="en-US" w:eastAsia="zh-CN" w:bidi="ar-SA"/>
        </w:rPr>
        <w:t>无。</w:t>
      </w:r>
    </w:p>
    <w:p w14:paraId="25712DC6">
      <w:pPr>
        <w:spacing w:line="600" w:lineRule="exact"/>
        <w:rPr>
          <w:rFonts w:eastAsia="仿宋_GB2312"/>
          <w:kern w:val="0"/>
          <w:sz w:val="32"/>
          <w:szCs w:val="32"/>
          <w:highlight w:val="yellow"/>
        </w:rPr>
      </w:pPr>
    </w:p>
    <w:p w14:paraId="5C3FEE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3DAD79-B7C5-4D0F-9427-211D653865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44472505-21CF-4BB1-898C-97012A020E7E}"/>
  </w:font>
  <w:font w:name="楷体_GB2312">
    <w:altName w:val="楷体"/>
    <w:panose1 w:val="00000000000000000000"/>
    <w:charset w:val="86"/>
    <w:family w:val="modern"/>
    <w:pitch w:val="default"/>
    <w:sig w:usb0="00000000" w:usb1="00000000" w:usb2="00000010" w:usb3="00000000" w:csb0="00040000" w:csb1="00000000"/>
    <w:embedRegular r:id="rId3" w:fontKey="{14414DC4-163C-4B28-A0F3-6D4B1F24214B}"/>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DFCE8ADF-40B2-481B-AB1B-4451465D209B}"/>
  </w:font>
  <w:font w:name="仿宋">
    <w:panose1 w:val="02010609060101010101"/>
    <w:charset w:val="86"/>
    <w:family w:val="auto"/>
    <w:pitch w:val="default"/>
    <w:sig w:usb0="800002BF" w:usb1="38CF7CFA" w:usb2="00000016" w:usb3="00000000" w:csb0="00040001" w:csb1="00000000"/>
    <w:embedRegular r:id="rId5" w:fontKey="{7E5666DC-460A-464B-851B-F998EDE42336}"/>
  </w:font>
  <w:font w:name="WPSEMBED3">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9A674"/>
    <w:multiLevelType w:val="singleLevel"/>
    <w:tmpl w:val="B1B9A674"/>
    <w:lvl w:ilvl="0" w:tentative="0">
      <w:start w:val="2"/>
      <w:numFmt w:val="chineseCounting"/>
      <w:suff w:val="nothing"/>
      <w:lvlText w:val="（%1）"/>
      <w:lvlJc w:val="left"/>
      <w:rPr>
        <w:rFonts w:hint="eastAsia"/>
      </w:rPr>
    </w:lvl>
  </w:abstractNum>
  <w:abstractNum w:abstractNumId="1">
    <w:nsid w:val="2C0B02F4"/>
    <w:multiLevelType w:val="singleLevel"/>
    <w:tmpl w:val="2C0B02F4"/>
    <w:lvl w:ilvl="0" w:tentative="0">
      <w:start w:val="4"/>
      <w:numFmt w:val="chineseCounting"/>
      <w:suff w:val="nothing"/>
      <w:lvlText w:val="%1、"/>
      <w:lvlJc w:val="left"/>
      <w:rPr>
        <w:rFonts w:hint="eastAsia"/>
      </w:rPr>
    </w:lvl>
  </w:abstractNum>
  <w:abstractNum w:abstractNumId="2">
    <w:nsid w:val="3287359C"/>
    <w:multiLevelType w:val="singleLevel"/>
    <w:tmpl w:val="3287359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zk5ZTdmYTQ2OTk0MGZiYjJiM2U1MzhiM2IzODkifQ=="/>
  </w:docVars>
  <w:rsids>
    <w:rsidRoot w:val="00013C6F"/>
    <w:rsid w:val="00004E70"/>
    <w:rsid w:val="00013C6F"/>
    <w:rsid w:val="000B4410"/>
    <w:rsid w:val="00140ADB"/>
    <w:rsid w:val="001B7BB0"/>
    <w:rsid w:val="00207FA3"/>
    <w:rsid w:val="00225EC1"/>
    <w:rsid w:val="004D3743"/>
    <w:rsid w:val="005A433C"/>
    <w:rsid w:val="00673FF4"/>
    <w:rsid w:val="006E5C31"/>
    <w:rsid w:val="007303EB"/>
    <w:rsid w:val="0077126D"/>
    <w:rsid w:val="007A119C"/>
    <w:rsid w:val="008C62A7"/>
    <w:rsid w:val="009A30C1"/>
    <w:rsid w:val="009F5760"/>
    <w:rsid w:val="00A56C8A"/>
    <w:rsid w:val="00B8001C"/>
    <w:rsid w:val="00BC251C"/>
    <w:rsid w:val="00C1053A"/>
    <w:rsid w:val="00D5092F"/>
    <w:rsid w:val="00D60BFF"/>
    <w:rsid w:val="00E04629"/>
    <w:rsid w:val="00E55161"/>
    <w:rsid w:val="00F1451A"/>
    <w:rsid w:val="00FB77A6"/>
    <w:rsid w:val="015876FF"/>
    <w:rsid w:val="016976BE"/>
    <w:rsid w:val="016E130C"/>
    <w:rsid w:val="01A6665B"/>
    <w:rsid w:val="01EF5276"/>
    <w:rsid w:val="02665DCF"/>
    <w:rsid w:val="02A86D87"/>
    <w:rsid w:val="02AE4CCA"/>
    <w:rsid w:val="02D92DDA"/>
    <w:rsid w:val="03287320"/>
    <w:rsid w:val="03AE3AC0"/>
    <w:rsid w:val="03EF7E8B"/>
    <w:rsid w:val="03FA6217"/>
    <w:rsid w:val="04435815"/>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6E3A25"/>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7C2A69"/>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35ACB"/>
    <w:rsid w:val="17DC3DC3"/>
    <w:rsid w:val="181F357B"/>
    <w:rsid w:val="188345AC"/>
    <w:rsid w:val="195E168F"/>
    <w:rsid w:val="196A7CDF"/>
    <w:rsid w:val="19C72BF8"/>
    <w:rsid w:val="19CA553D"/>
    <w:rsid w:val="19DB2D10"/>
    <w:rsid w:val="19E1383C"/>
    <w:rsid w:val="1A4E2E8E"/>
    <w:rsid w:val="1AE747FC"/>
    <w:rsid w:val="1AF51455"/>
    <w:rsid w:val="1B35603D"/>
    <w:rsid w:val="1B974A1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1995F42"/>
    <w:rsid w:val="21A130D0"/>
    <w:rsid w:val="22695B47"/>
    <w:rsid w:val="22821ABC"/>
    <w:rsid w:val="23795B2E"/>
    <w:rsid w:val="23FE5E11"/>
    <w:rsid w:val="243235AA"/>
    <w:rsid w:val="24B10BAC"/>
    <w:rsid w:val="24D2061D"/>
    <w:rsid w:val="251132F3"/>
    <w:rsid w:val="253C38DE"/>
    <w:rsid w:val="25B24E22"/>
    <w:rsid w:val="262232BB"/>
    <w:rsid w:val="262B4FF6"/>
    <w:rsid w:val="264810A7"/>
    <w:rsid w:val="265A7CC8"/>
    <w:rsid w:val="266F25EC"/>
    <w:rsid w:val="27014400"/>
    <w:rsid w:val="271B2298"/>
    <w:rsid w:val="276D0D8C"/>
    <w:rsid w:val="286C33CA"/>
    <w:rsid w:val="2884463C"/>
    <w:rsid w:val="28C357F2"/>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D933F6"/>
    <w:rsid w:val="30343502"/>
    <w:rsid w:val="30470CFF"/>
    <w:rsid w:val="306918BE"/>
    <w:rsid w:val="30A37680"/>
    <w:rsid w:val="30BB0C62"/>
    <w:rsid w:val="31AF70F0"/>
    <w:rsid w:val="32D24F00"/>
    <w:rsid w:val="32D963A9"/>
    <w:rsid w:val="32ED21B4"/>
    <w:rsid w:val="331926DE"/>
    <w:rsid w:val="35124AFB"/>
    <w:rsid w:val="35164EC9"/>
    <w:rsid w:val="358E3180"/>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A67168"/>
    <w:rsid w:val="43141345"/>
    <w:rsid w:val="43420DA9"/>
    <w:rsid w:val="435C781C"/>
    <w:rsid w:val="437C0F5D"/>
    <w:rsid w:val="44B87D18"/>
    <w:rsid w:val="453A160B"/>
    <w:rsid w:val="45E2026E"/>
    <w:rsid w:val="45F85A17"/>
    <w:rsid w:val="463747B7"/>
    <w:rsid w:val="47212ECA"/>
    <w:rsid w:val="47323108"/>
    <w:rsid w:val="47B46E18"/>
    <w:rsid w:val="47D51345"/>
    <w:rsid w:val="47E11557"/>
    <w:rsid w:val="48196B29"/>
    <w:rsid w:val="4885603F"/>
    <w:rsid w:val="48A95C04"/>
    <w:rsid w:val="48EB44EE"/>
    <w:rsid w:val="491722FF"/>
    <w:rsid w:val="491D74A7"/>
    <w:rsid w:val="497C7C2F"/>
    <w:rsid w:val="498307B4"/>
    <w:rsid w:val="49882B9B"/>
    <w:rsid w:val="49AF4809"/>
    <w:rsid w:val="49B324BE"/>
    <w:rsid w:val="4A061623"/>
    <w:rsid w:val="4A3763F6"/>
    <w:rsid w:val="4A3E412A"/>
    <w:rsid w:val="4A5007FC"/>
    <w:rsid w:val="4A885383"/>
    <w:rsid w:val="4AE85958"/>
    <w:rsid w:val="4AF51ADF"/>
    <w:rsid w:val="4AFD5436"/>
    <w:rsid w:val="4B7C2BF9"/>
    <w:rsid w:val="4B845AA1"/>
    <w:rsid w:val="4B920728"/>
    <w:rsid w:val="4B9357A5"/>
    <w:rsid w:val="4BC67BFF"/>
    <w:rsid w:val="4C19263D"/>
    <w:rsid w:val="4C253F32"/>
    <w:rsid w:val="4C442E20"/>
    <w:rsid w:val="4C714499"/>
    <w:rsid w:val="4C845F8F"/>
    <w:rsid w:val="4D36566E"/>
    <w:rsid w:val="4DBB24B5"/>
    <w:rsid w:val="4DFA15AC"/>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EE4791"/>
    <w:rsid w:val="5AF97A89"/>
    <w:rsid w:val="5B352171"/>
    <w:rsid w:val="5B514882"/>
    <w:rsid w:val="5B5C757D"/>
    <w:rsid w:val="5B6B124E"/>
    <w:rsid w:val="5D155819"/>
    <w:rsid w:val="5D3F048D"/>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99181F"/>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DEA535F"/>
    <w:rsid w:val="6E0E0C44"/>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8A57CF"/>
    <w:rsid w:val="75F34010"/>
    <w:rsid w:val="765D45B4"/>
    <w:rsid w:val="76735213"/>
    <w:rsid w:val="772B072A"/>
    <w:rsid w:val="778F1D5A"/>
    <w:rsid w:val="77A9581A"/>
    <w:rsid w:val="77EE068E"/>
    <w:rsid w:val="7836349E"/>
    <w:rsid w:val="787E29BE"/>
    <w:rsid w:val="78A55F95"/>
    <w:rsid w:val="794F5B82"/>
    <w:rsid w:val="79E234DF"/>
    <w:rsid w:val="7A0966D2"/>
    <w:rsid w:val="7A0F2FD7"/>
    <w:rsid w:val="7A117005"/>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C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3494</Words>
  <Characters>3738</Characters>
  <Lines>13</Lines>
  <Paragraphs>3</Paragraphs>
  <TotalTime>3</TotalTime>
  <ScaleCrop>false</ScaleCrop>
  <LinksUpToDate>false</LinksUpToDate>
  <CharactersWithSpaces>3744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2025-10-17T01:34:00Z</cp:lastPrinted>
  <dcterms:modified xsi:type="dcterms:W3CDTF">2025-12-09T07:11:38Z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60E0318BEC614399BE716AA679629C11_13</vt:lpwstr>
  </property>
  <property fmtid="{D5CDD505-2E9C-101B-9397-08002B2CF9AE}" pid="4" name="KSOTemplateDocerSaveRecord">
    <vt:lpwstr>eyJoZGlkIjoiMzc4NDlkMWRiYTUxNjgxNGRlNGYwNmNmYzNmNzVkYzgiLCJ1c2VySWQiOiI3MjcwNzUwOTkifQ==</vt:lpwstr>
  </property>
</Properties>
</file>