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F5D9E3">
      <w:pPr>
        <w:jc w:val="center"/>
        <w:rPr>
          <w:rFonts w:eastAsia="方正小标宋_GBK"/>
          <w:sz w:val="48"/>
          <w:szCs w:val="48"/>
        </w:rPr>
      </w:pPr>
      <w:r>
        <w:rPr>
          <w:rFonts w:hint="eastAsia" w:eastAsia="方正小标宋_GBK"/>
          <w:sz w:val="48"/>
          <w:szCs w:val="48"/>
          <w:lang w:val="en-US" w:eastAsia="zh-CN"/>
        </w:rPr>
        <w:t>2024</w:t>
      </w:r>
      <w:r>
        <w:rPr>
          <w:rFonts w:eastAsia="方正小标宋_GBK"/>
          <w:sz w:val="48"/>
          <w:szCs w:val="48"/>
        </w:rPr>
        <w:t>年度</w:t>
      </w:r>
      <w:r>
        <w:rPr>
          <w:rFonts w:hint="eastAsia" w:eastAsia="方正小标宋_GBK"/>
          <w:sz w:val="48"/>
          <w:szCs w:val="48"/>
          <w:lang w:val="en-US" w:eastAsia="zh-CN"/>
        </w:rPr>
        <w:t>株洲市芦淞区建设街道办事处</w:t>
      </w:r>
      <w:r>
        <w:rPr>
          <w:rFonts w:hint="eastAsia" w:eastAsia="方正小标宋_GBK"/>
          <w:sz w:val="48"/>
          <w:szCs w:val="48"/>
          <w:lang w:eastAsia="zh-CN"/>
        </w:rPr>
        <w:t>整体</w:t>
      </w:r>
      <w:r>
        <w:rPr>
          <w:rFonts w:eastAsia="方正小标宋_GBK"/>
          <w:sz w:val="48"/>
          <w:szCs w:val="48"/>
        </w:rPr>
        <w:t>支出绩效自评报告</w:t>
      </w:r>
    </w:p>
    <w:p w14:paraId="06BD2EF2">
      <w:pPr>
        <w:jc w:val="center"/>
        <w:rPr>
          <w:rFonts w:eastAsia="黑体"/>
          <w:sz w:val="32"/>
          <w:szCs w:val="32"/>
        </w:rPr>
      </w:pPr>
    </w:p>
    <w:p w14:paraId="32B961C1">
      <w:pPr>
        <w:jc w:val="center"/>
        <w:rPr>
          <w:rFonts w:eastAsia="黑体"/>
          <w:sz w:val="32"/>
          <w:szCs w:val="32"/>
        </w:rPr>
      </w:pPr>
    </w:p>
    <w:p w14:paraId="48074638">
      <w:pPr>
        <w:jc w:val="center"/>
        <w:rPr>
          <w:rFonts w:eastAsia="黑体"/>
          <w:sz w:val="32"/>
          <w:szCs w:val="32"/>
        </w:rPr>
      </w:pPr>
    </w:p>
    <w:p w14:paraId="6A45EDAC">
      <w:pPr>
        <w:jc w:val="center"/>
        <w:rPr>
          <w:rFonts w:eastAsia="黑体"/>
          <w:sz w:val="32"/>
          <w:szCs w:val="32"/>
        </w:rPr>
      </w:pPr>
    </w:p>
    <w:p w14:paraId="61AA1A53">
      <w:pPr>
        <w:jc w:val="center"/>
        <w:rPr>
          <w:rFonts w:eastAsia="黑体"/>
          <w:sz w:val="32"/>
          <w:szCs w:val="32"/>
        </w:rPr>
      </w:pPr>
    </w:p>
    <w:p w14:paraId="60C71CEF">
      <w:pPr>
        <w:jc w:val="center"/>
        <w:rPr>
          <w:rFonts w:eastAsia="黑体"/>
          <w:sz w:val="32"/>
          <w:szCs w:val="32"/>
        </w:rPr>
      </w:pPr>
    </w:p>
    <w:p w14:paraId="655F70C6">
      <w:pPr>
        <w:jc w:val="center"/>
        <w:rPr>
          <w:rFonts w:eastAsia="黑体"/>
          <w:sz w:val="32"/>
          <w:szCs w:val="32"/>
        </w:rPr>
      </w:pPr>
    </w:p>
    <w:p w14:paraId="0476C4DE">
      <w:pPr>
        <w:ind w:firstLine="880" w:firstLineChars="200"/>
        <w:jc w:val="center"/>
        <w:rPr>
          <w:rFonts w:eastAsia="黑体"/>
          <w:sz w:val="44"/>
          <w:szCs w:val="44"/>
        </w:rPr>
      </w:pPr>
    </w:p>
    <w:p w14:paraId="4B6E8B57">
      <w:pPr>
        <w:ind w:firstLine="880" w:firstLineChars="200"/>
        <w:jc w:val="center"/>
        <w:rPr>
          <w:rFonts w:eastAsia="黑体"/>
          <w:sz w:val="44"/>
          <w:szCs w:val="44"/>
        </w:rPr>
      </w:pPr>
    </w:p>
    <w:p w14:paraId="1E2E0573">
      <w:pPr>
        <w:ind w:firstLine="880" w:firstLineChars="200"/>
        <w:jc w:val="center"/>
        <w:rPr>
          <w:rFonts w:eastAsia="黑体"/>
          <w:sz w:val="44"/>
          <w:szCs w:val="44"/>
        </w:rPr>
      </w:pPr>
    </w:p>
    <w:p w14:paraId="2304FDD0">
      <w:pPr>
        <w:ind w:firstLine="720" w:firstLineChars="200"/>
        <w:jc w:val="center"/>
        <w:rPr>
          <w:rFonts w:eastAsia="黑体"/>
          <w:sz w:val="36"/>
          <w:szCs w:val="36"/>
        </w:rPr>
      </w:pPr>
      <w:r>
        <w:rPr>
          <w:rFonts w:eastAsia="黑体"/>
          <w:sz w:val="36"/>
          <w:szCs w:val="36"/>
        </w:rPr>
        <w:t>单位名称（盖章）：</w:t>
      </w:r>
    </w:p>
    <w:p w14:paraId="6F92C1D1">
      <w:pPr>
        <w:jc w:val="center"/>
        <w:rPr>
          <w:rFonts w:eastAsia="黑体"/>
          <w:sz w:val="36"/>
          <w:szCs w:val="36"/>
        </w:rPr>
      </w:pPr>
    </w:p>
    <w:p w14:paraId="40CAF117">
      <w:pPr>
        <w:jc w:val="center"/>
        <w:rPr>
          <w:rFonts w:eastAsia="黑体"/>
          <w:sz w:val="32"/>
          <w:szCs w:val="32"/>
        </w:rPr>
      </w:pPr>
    </w:p>
    <w:p w14:paraId="0064EFF6">
      <w:pPr>
        <w:jc w:val="center"/>
        <w:rPr>
          <w:rFonts w:eastAsia="黑体"/>
          <w:sz w:val="32"/>
          <w:szCs w:val="32"/>
        </w:rPr>
      </w:pPr>
    </w:p>
    <w:p w14:paraId="76CC390B">
      <w:pPr>
        <w:jc w:val="center"/>
        <w:rPr>
          <w:rFonts w:eastAsia="黑体"/>
          <w:sz w:val="32"/>
          <w:szCs w:val="32"/>
        </w:rPr>
      </w:pPr>
    </w:p>
    <w:p w14:paraId="18000E1F">
      <w:pPr>
        <w:jc w:val="center"/>
        <w:rPr>
          <w:rFonts w:eastAsia="黑体"/>
          <w:sz w:val="32"/>
          <w:szCs w:val="32"/>
        </w:rPr>
      </w:pPr>
    </w:p>
    <w:p w14:paraId="00C19B59">
      <w:pPr>
        <w:jc w:val="center"/>
        <w:rPr>
          <w:rFonts w:eastAsia="黑体"/>
          <w:sz w:val="32"/>
          <w:szCs w:val="32"/>
        </w:rPr>
      </w:pPr>
    </w:p>
    <w:p w14:paraId="6E7CA2B2">
      <w:pPr>
        <w:jc w:val="center"/>
        <w:rPr>
          <w:rFonts w:eastAsia="黑体"/>
          <w:sz w:val="32"/>
          <w:szCs w:val="32"/>
        </w:rPr>
      </w:pPr>
    </w:p>
    <w:p w14:paraId="41EDFD64">
      <w:pPr>
        <w:jc w:val="center"/>
        <w:rPr>
          <w:rFonts w:eastAsia="仿宋_GB2312"/>
          <w:sz w:val="32"/>
          <w:szCs w:val="32"/>
        </w:rPr>
      </w:pPr>
      <w:r>
        <w:rPr>
          <w:rFonts w:eastAsia="仿宋_GB2312"/>
          <w:sz w:val="32"/>
          <w:szCs w:val="32"/>
        </w:rPr>
        <w:t>（此页为封面）</w:t>
      </w:r>
    </w:p>
    <w:p w14:paraId="7505B1A1">
      <w:pPr>
        <w:spacing w:line="600" w:lineRule="exact"/>
        <w:rPr>
          <w:rFonts w:eastAsia="黑体"/>
          <w:sz w:val="32"/>
          <w:szCs w:val="32"/>
        </w:rPr>
      </w:pPr>
      <w:bookmarkStart w:id="0" w:name="_GoBack"/>
      <w:bookmarkEnd w:id="0"/>
      <w:r>
        <w:rPr>
          <w:rFonts w:eastAsia="仿宋_GB2312"/>
          <w:sz w:val="32"/>
          <w:szCs w:val="32"/>
        </w:rPr>
        <w:br w:type="page"/>
      </w:r>
      <w:r>
        <w:rPr>
          <w:rFonts w:eastAsia="黑体"/>
          <w:sz w:val="32"/>
          <w:szCs w:val="32"/>
        </w:rPr>
        <w:t>一、基本情况</w:t>
      </w:r>
    </w:p>
    <w:p w14:paraId="7AB3E758">
      <w:pPr>
        <w:spacing w:line="600" w:lineRule="exact"/>
        <w:ind w:firstLine="643" w:firstLineChars="200"/>
        <w:rPr>
          <w:rFonts w:eastAsia="楷体_GB2312"/>
          <w:b/>
          <w:sz w:val="32"/>
          <w:szCs w:val="32"/>
        </w:rPr>
      </w:pPr>
      <w:r>
        <w:rPr>
          <w:rFonts w:eastAsia="楷体_GB2312"/>
          <w:b/>
          <w:sz w:val="32"/>
          <w:szCs w:val="32"/>
        </w:rPr>
        <w:t>（一）</w:t>
      </w:r>
      <w:r>
        <w:rPr>
          <w:rFonts w:hint="eastAsia" w:eastAsia="楷体_GB2312"/>
          <w:b/>
          <w:sz w:val="32"/>
          <w:szCs w:val="32"/>
          <w:lang w:val="en-US" w:eastAsia="zh-CN"/>
        </w:rPr>
        <w:t>株洲市芦淞区建设街道办事处</w:t>
      </w:r>
      <w:r>
        <w:rPr>
          <w:rFonts w:eastAsia="楷体_GB2312"/>
          <w:b/>
          <w:sz w:val="32"/>
          <w:szCs w:val="32"/>
        </w:rPr>
        <w:t>基本情况</w:t>
      </w:r>
    </w:p>
    <w:p w14:paraId="60DB747D">
      <w:pPr>
        <w:snapToGrid w:val="0"/>
        <w:spacing w:line="560" w:lineRule="exact"/>
        <w:ind w:firstLine="640"/>
        <w:rPr>
          <w:rFonts w:hint="eastAsia" w:ascii="仿宋_GB2312" w:hAnsi="仿宋" w:eastAsia="仿宋_GB2312"/>
          <w:sz w:val="32"/>
          <w:szCs w:val="32"/>
          <w:highlight w:val="none"/>
        </w:rPr>
      </w:pPr>
      <w:r>
        <w:rPr>
          <w:rFonts w:hint="eastAsia" w:ascii="仿宋_GB2312" w:hAnsi="仿宋_GB2312" w:eastAsia="仿宋_GB2312" w:cs="仿宋_GB2312"/>
          <w:sz w:val="32"/>
          <w:szCs w:val="32"/>
        </w:rPr>
        <w:t>根据《株洲市芦淞区建设街道办事处主要职责内设机构和人员编制规定》文件规定，本</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主要职责是：</w:t>
      </w:r>
    </w:p>
    <w:p w14:paraId="48237314">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党的建设。落实基层党建工作责任制，加强党对基层治理的全面领导,统筹抓好基层党建工作和基层党组织建设各项制度，增强基层党组织的政治功能和组织功能。推进全面从严治党，强化“两个责任”，确保党的路线方针政策在基层得到全面贯彻落实。</w:t>
      </w:r>
    </w:p>
    <w:p w14:paraId="5059D3D0">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服务经济发展。统筹落实社区发展的重大决策和社区建设规划，参与辖区公共服务设施建设规划，推动辖区健康、有序、可持续发展。优化发展环境，协助做好企业信息采集、项目发展、优化营商环境等工作。</w:t>
      </w:r>
    </w:p>
    <w:p w14:paraId="1E7A0683">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(三)组织公共服务。组织实施与居民生活密切相关的公共服务，落实劳动就业、社会保障、法律援助、基本医疗卫生、文化</w:t>
      </w:r>
      <w:r>
        <w:rPr>
          <w:rFonts w:hint="eastAsia" w:ascii="仿宋_GB2312" w:hAnsi="仿宋_GB2312" w:eastAsia="仿宋_GB2312" w:cs="仿宋_GB2312"/>
          <w:sz w:val="32"/>
          <w:szCs w:val="32"/>
          <w:lang w:val="en-US" w:eastAsia="zh-CN"/>
        </w:rPr>
        <w:t>旅游</w:t>
      </w:r>
      <w:r>
        <w:rPr>
          <w:rFonts w:hint="eastAsia" w:ascii="仿宋_GB2312" w:hAnsi="仿宋_GB2312" w:eastAsia="仿宋_GB2312" w:cs="仿宋_GB2312"/>
          <w:sz w:val="32"/>
          <w:szCs w:val="32"/>
        </w:rPr>
        <w:t>体育、环境保护等公共服务方面的相关政策。</w:t>
      </w:r>
    </w:p>
    <w:p w14:paraId="42C0F254">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(四)实施公共管理。科学设置管理网格，对辖区内城市管理、人口管理、社会管理、民生保障等区域性、综合性工作，承担组织领导、综合协调和监督检查职责。</w:t>
      </w:r>
    </w:p>
    <w:p w14:paraId="6633DC7E">
      <w:pPr>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(五)组织基层执法。整合基层一线执法力量，充分发挥属地管理优势,强化对辖区范围内执法力量的统一指挥和统筹协调组织开展群众监督和社会监督。</w:t>
      </w:r>
    </w:p>
    <w:p w14:paraId="396B6AC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_GB2312" w:eastAsia="仿宋_GB2312" w:cs="仿宋_GB2312"/>
          <w:sz w:val="32"/>
          <w:szCs w:val="32"/>
        </w:rPr>
        <w:t>(六)指导基层治理。指导居民委员会建设，健全自治功能，组织居民和辖区单位参与社区建设和治理。动员和支持各类驻辖区单位、居民、</w:t>
      </w:r>
      <w:r>
        <w:rPr>
          <w:rFonts w:hint="eastAsia" w:ascii="仿宋_GB2312" w:hAnsi="仿宋" w:eastAsia="仿宋_GB2312" w:cs="Times New Roman"/>
          <w:kern w:val="2"/>
          <w:sz w:val="32"/>
          <w:szCs w:val="32"/>
          <w:highlight w:val="none"/>
          <w:lang w:val="en-US" w:eastAsia="zh-CN" w:bidi="ar-SA"/>
        </w:rPr>
        <w:t>社会组织及志愿者等力量参与社会治理，引导辖区内单位履行社会责任,整合辖区内各种社会力量为社区发展服务。</w:t>
      </w:r>
    </w:p>
    <w:p w14:paraId="49985B4A">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(七)维护公共安全。负责辖区内社会治安综合治理和安全生产等有关工作，处理群众来信来访，反映社情民意，化解矛盾纠纷等。</w:t>
      </w:r>
    </w:p>
    <w:p w14:paraId="3A32E2F3">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 w:eastAsia="仿宋_GB2312" w:cs="Times New Roman"/>
          <w:kern w:val="2"/>
          <w:sz w:val="32"/>
          <w:szCs w:val="32"/>
          <w:highlight w:val="none"/>
          <w:lang w:val="en-US" w:eastAsia="zh-CN" w:bidi="ar-SA"/>
        </w:rPr>
      </w:pPr>
      <w:r>
        <w:rPr>
          <w:rFonts w:hint="eastAsia" w:ascii="仿宋_GB2312" w:hAnsi="仿宋" w:eastAsia="仿宋_GB2312" w:cs="Times New Roman"/>
          <w:kern w:val="2"/>
          <w:sz w:val="32"/>
          <w:szCs w:val="32"/>
          <w:highlight w:val="none"/>
          <w:lang w:val="en-US" w:eastAsia="zh-CN" w:bidi="ar-SA"/>
        </w:rPr>
        <w:t>(八)做好国防动员。开展国防教育，抓好征兵工作，组织民兵训练。</w:t>
      </w:r>
    </w:p>
    <w:p w14:paraId="06667A54">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eastAsia="楷体_GB2312"/>
          <w:b/>
          <w:sz w:val="32"/>
          <w:szCs w:val="32"/>
        </w:rPr>
      </w:pPr>
      <w:r>
        <w:rPr>
          <w:rFonts w:hint="eastAsia" w:ascii="仿宋_GB2312" w:hAnsi="仿宋" w:eastAsia="仿宋_GB2312" w:cs="Times New Roman"/>
          <w:kern w:val="2"/>
          <w:sz w:val="32"/>
          <w:szCs w:val="32"/>
          <w:highlight w:val="none"/>
          <w:lang w:val="en-US" w:eastAsia="zh-CN" w:bidi="ar-SA"/>
        </w:rPr>
        <w:t>(九)完成区委、区政府交办的其他工作任务。</w:t>
      </w:r>
    </w:p>
    <w:p w14:paraId="0988FCFA">
      <w:pPr>
        <w:spacing w:line="600" w:lineRule="exact"/>
        <w:ind w:firstLine="643" w:firstLineChars="200"/>
        <w:rPr>
          <w:rFonts w:hint="eastAsia" w:eastAsia="楷体_GB2312"/>
          <w:b/>
          <w:sz w:val="32"/>
          <w:szCs w:val="32"/>
          <w:lang w:eastAsia="zh-CN"/>
        </w:rPr>
      </w:pPr>
      <w:r>
        <w:rPr>
          <w:rFonts w:eastAsia="楷体_GB2312"/>
          <w:b/>
          <w:sz w:val="32"/>
          <w:szCs w:val="32"/>
        </w:rPr>
        <w:t>（二）部门（单位）年度整体支出绩效目标，</w:t>
      </w:r>
      <w:r>
        <w:rPr>
          <w:rFonts w:hint="eastAsia" w:eastAsia="楷体_GB2312"/>
          <w:b/>
          <w:sz w:val="32"/>
          <w:szCs w:val="32"/>
          <w:lang w:eastAsia="zh-CN"/>
        </w:rPr>
        <w:t>部门</w:t>
      </w:r>
      <w:r>
        <w:rPr>
          <w:rFonts w:eastAsia="楷体_GB2312"/>
          <w:b/>
          <w:sz w:val="32"/>
          <w:szCs w:val="32"/>
        </w:rPr>
        <w:t>专项资金绩效目标、其他项目支出（除省级专项资金以外）绩效目标</w:t>
      </w:r>
      <w:r>
        <w:rPr>
          <w:rFonts w:hint="eastAsia" w:eastAsia="楷体_GB2312"/>
          <w:b/>
          <w:sz w:val="32"/>
          <w:szCs w:val="32"/>
          <w:lang w:eastAsia="zh-CN"/>
        </w:rPr>
        <w:t>（只写目标，不写金额）</w:t>
      </w:r>
    </w:p>
    <w:p w14:paraId="63E9CC55">
      <w:pPr>
        <w:pStyle w:val="2"/>
        <w:rPr>
          <w:rFonts w:hint="eastAsia"/>
          <w:lang w:eastAsia="zh-CN"/>
        </w:rPr>
      </w:pPr>
      <w:r>
        <w:rPr>
          <w:rFonts w:hint="eastAsia"/>
          <w:lang w:eastAsia="zh-CN"/>
        </w:rPr>
        <w:t>1、在“经济”上做文章。打造文艺巷二期特色网红街区，促进文旅融合发展，推动文化产业创新，实现文化和旅游的良性互动。加大服务辖区企业力度，采取有力措施，盘活辖区空置资产，注重引资引企，培育新型企业和产业。优化营商环境，发展夜市经济，释放经济活力。</w:t>
      </w:r>
    </w:p>
    <w:p w14:paraId="4774F5CD">
      <w:pPr>
        <w:pStyle w:val="2"/>
        <w:rPr>
          <w:rFonts w:hint="eastAsia"/>
          <w:lang w:eastAsia="zh-CN"/>
        </w:rPr>
      </w:pPr>
      <w:r>
        <w:rPr>
          <w:rFonts w:hint="eastAsia"/>
          <w:lang w:eastAsia="zh-CN"/>
        </w:rPr>
        <w:t>2、在“治理”上做工作。切实抓好市容市貌长效管理，采取强力措施有力遏制各类违法违规违章行为，大力实施就业创业援助，扎实推进充分就业社区创建工作，力争创建国家级充分就业社区。</w:t>
      </w:r>
    </w:p>
    <w:p w14:paraId="289FFE59">
      <w:pPr>
        <w:pStyle w:val="2"/>
        <w:rPr>
          <w:rFonts w:hint="eastAsia"/>
          <w:lang w:eastAsia="zh-CN"/>
        </w:rPr>
      </w:pPr>
      <w:r>
        <w:rPr>
          <w:rFonts w:hint="eastAsia"/>
          <w:lang w:eastAsia="zh-CN"/>
        </w:rPr>
        <w:t>3、在“服务”上下功夫。充分发挥劳动保障平台的作用，加大就业创业援助力度，夯实民生之本，丰富劳动保障相关法律法规的宣传形式。以民心为指引，解决群众的急难愁盼，一件一件抓落实，努力把老百姓“呼声”变成“掌声”。</w:t>
      </w:r>
    </w:p>
    <w:p w14:paraId="27F4E368">
      <w:pPr>
        <w:pStyle w:val="2"/>
        <w:rPr>
          <w:rFonts w:hint="eastAsia"/>
          <w:lang w:eastAsia="zh-CN"/>
        </w:rPr>
      </w:pPr>
      <w:r>
        <w:rPr>
          <w:rFonts w:hint="eastAsia"/>
          <w:lang w:eastAsia="zh-CN"/>
        </w:rPr>
        <w:t>4、在“党建”上使真劲。加大对社区两委、两新组织的指导交流，提升党务工作者的业务水平。持续探索党建引领基层治理，继续加强新业态新就业群体党建工作，加强流动党员交流和教育管理。持续开展“红商圈•益企行”商圈发展交流座谈会，促进商圈经济健康发展，以基层党建引领基层经济蓬勃发展。</w:t>
      </w:r>
    </w:p>
    <w:p w14:paraId="66CAC3CA">
      <w:pPr>
        <w:pStyle w:val="2"/>
        <w:rPr>
          <w:rFonts w:hint="eastAsia"/>
          <w:lang w:eastAsia="zh-CN"/>
        </w:rPr>
      </w:pPr>
      <w:r>
        <w:rPr>
          <w:rFonts w:hint="eastAsia"/>
          <w:lang w:val="en-US" w:eastAsia="zh-CN"/>
        </w:rPr>
        <w:t>5、</w:t>
      </w:r>
      <w:r>
        <w:rPr>
          <w:rFonts w:hint="eastAsia"/>
          <w:lang w:eastAsia="zh-CN"/>
        </w:rPr>
        <w:t>认真做好预决算、绩效评价、内控管理、非税征管等工作；做好资金管理，督查和核算好每一笔资金的收支情况。</w:t>
      </w:r>
    </w:p>
    <w:p w14:paraId="65FF2321">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14:paraId="4D9219E2">
      <w:pPr>
        <w:pStyle w:val="6"/>
        <w:spacing w:line="600" w:lineRule="exact"/>
        <w:ind w:firstLine="643"/>
        <w:rPr>
          <w:rFonts w:ascii="Times New Roman" w:hAnsi="Times New Roman" w:eastAsia="楷体_GB2312"/>
          <w:b/>
          <w:sz w:val="32"/>
          <w:szCs w:val="32"/>
        </w:rPr>
      </w:pPr>
      <w:r>
        <w:rPr>
          <w:rFonts w:ascii="Times New Roman" w:hAnsi="Times New Roman" w:eastAsia="楷体_GB2312"/>
          <w:b/>
          <w:sz w:val="32"/>
          <w:szCs w:val="32"/>
        </w:rPr>
        <w:t>（一）基本支出情况</w:t>
      </w:r>
    </w:p>
    <w:p w14:paraId="3737983F">
      <w:pPr>
        <w:pStyle w:val="6"/>
        <w:spacing w:line="600" w:lineRule="exact"/>
        <w:ind w:firstLine="643"/>
        <w:rPr>
          <w:rFonts w:eastAsia="仿宋"/>
          <w:color w:val="000000"/>
          <w:sz w:val="32"/>
          <w:szCs w:val="32"/>
        </w:rPr>
      </w:pPr>
      <w:r>
        <w:rPr>
          <w:rFonts w:hint="eastAsia" w:ascii="Times New Roman" w:hAnsi="Times New Roman" w:eastAsia="楷体_GB2312"/>
          <w:b/>
          <w:sz w:val="32"/>
          <w:szCs w:val="32"/>
          <w:lang w:val="en-US" w:eastAsia="zh-CN"/>
        </w:rPr>
        <w:t>1、</w:t>
      </w:r>
      <w:r>
        <w:rPr>
          <w:rFonts w:eastAsia="仿宋"/>
          <w:color w:val="000000"/>
          <w:sz w:val="32"/>
          <w:szCs w:val="32"/>
        </w:rPr>
        <w:t>202</w:t>
      </w:r>
      <w:r>
        <w:rPr>
          <w:rFonts w:hint="eastAsia" w:eastAsia="仿宋"/>
          <w:color w:val="000000"/>
          <w:sz w:val="32"/>
          <w:szCs w:val="32"/>
          <w:lang w:val="en-US" w:eastAsia="zh-CN"/>
        </w:rPr>
        <w:t>4</w:t>
      </w:r>
      <w:r>
        <w:rPr>
          <w:rFonts w:eastAsia="仿宋"/>
          <w:color w:val="000000"/>
          <w:sz w:val="32"/>
          <w:szCs w:val="32"/>
        </w:rPr>
        <w:t>年预算资金</w:t>
      </w:r>
    </w:p>
    <w:p w14:paraId="7D86A98A">
      <w:pPr>
        <w:pStyle w:val="6"/>
        <w:spacing w:line="600" w:lineRule="exact"/>
        <w:ind w:firstLine="643"/>
        <w:rPr>
          <w:rFonts w:hint="default" w:eastAsia="仿宋"/>
          <w:color w:val="000000"/>
          <w:sz w:val="32"/>
          <w:szCs w:val="32"/>
          <w:lang w:val="en-US" w:eastAsia="zh-CN"/>
        </w:rPr>
      </w:pPr>
      <w:r>
        <w:rPr>
          <w:rFonts w:hint="eastAsia" w:eastAsia="仿宋"/>
          <w:color w:val="000000"/>
          <w:sz w:val="32"/>
          <w:szCs w:val="32"/>
        </w:rPr>
        <w:t>一般公共预算拨款收入</w:t>
      </w:r>
      <w:r>
        <w:rPr>
          <w:rFonts w:hint="eastAsia" w:eastAsia="仿宋"/>
          <w:color w:val="000000"/>
          <w:sz w:val="32"/>
          <w:szCs w:val="32"/>
          <w:lang w:val="en-US" w:eastAsia="zh-CN"/>
        </w:rPr>
        <w:t>预算数为559.39万元，其中：工资福利支出456.34万元，商品和服务支出40.93万元，对个人和家庭的补助60.12万元。</w:t>
      </w:r>
    </w:p>
    <w:p w14:paraId="36097CFC">
      <w:pPr>
        <w:pStyle w:val="6"/>
        <w:spacing w:line="600" w:lineRule="exact"/>
        <w:ind w:firstLine="643"/>
        <w:rPr>
          <w:rFonts w:hint="default" w:eastAsia="仿宋"/>
          <w:color w:val="auto"/>
          <w:sz w:val="32"/>
          <w:szCs w:val="32"/>
          <w:lang w:val="en-US" w:eastAsia="zh-CN"/>
        </w:rPr>
      </w:pPr>
      <w:r>
        <w:rPr>
          <w:rFonts w:hint="eastAsia" w:eastAsia="仿宋"/>
          <w:color w:val="auto"/>
          <w:sz w:val="32"/>
          <w:szCs w:val="32"/>
          <w:lang w:val="en-US" w:eastAsia="zh-CN"/>
        </w:rPr>
        <w:t>2、2024年度</w:t>
      </w:r>
      <w:r>
        <w:rPr>
          <w:rFonts w:eastAsia="仿宋"/>
          <w:color w:val="auto"/>
          <w:sz w:val="32"/>
          <w:szCs w:val="32"/>
        </w:rPr>
        <w:t>单位</w:t>
      </w:r>
      <w:r>
        <w:rPr>
          <w:rFonts w:hint="eastAsia" w:eastAsia="仿宋"/>
          <w:color w:val="auto"/>
          <w:sz w:val="32"/>
          <w:szCs w:val="32"/>
        </w:rPr>
        <w:t>一般公共预算财政拨款</w:t>
      </w:r>
      <w:r>
        <w:rPr>
          <w:rFonts w:eastAsia="仿宋"/>
          <w:color w:val="auto"/>
          <w:sz w:val="32"/>
          <w:szCs w:val="32"/>
        </w:rPr>
        <w:t>收入</w:t>
      </w:r>
      <w:r>
        <w:rPr>
          <w:rFonts w:hint="eastAsia" w:eastAsia="仿宋"/>
          <w:color w:val="auto"/>
          <w:sz w:val="32"/>
          <w:szCs w:val="32"/>
          <w:lang w:val="en-US" w:eastAsia="zh-CN"/>
        </w:rPr>
        <w:t>1224.91万元。</w:t>
      </w:r>
    </w:p>
    <w:p w14:paraId="65368BC4">
      <w:pPr>
        <w:spacing w:line="580" w:lineRule="exact"/>
        <w:ind w:firstLine="640" w:firstLineChars="200"/>
        <w:rPr>
          <w:rFonts w:hint="eastAsia" w:eastAsia="仿宋"/>
          <w:color w:val="0000FF"/>
          <w:sz w:val="32"/>
          <w:szCs w:val="32"/>
          <w:lang w:val="en-US" w:eastAsia="zh-CN"/>
        </w:rPr>
      </w:pPr>
      <w:r>
        <w:rPr>
          <w:rFonts w:eastAsia="仿宋"/>
          <w:color w:val="auto"/>
          <w:sz w:val="32"/>
          <w:szCs w:val="32"/>
        </w:rPr>
        <w:t>3.</w:t>
      </w:r>
      <w:r>
        <w:rPr>
          <w:rFonts w:hint="eastAsia" w:eastAsia="仿宋"/>
          <w:color w:val="auto"/>
          <w:sz w:val="32"/>
          <w:szCs w:val="32"/>
          <w:lang w:val="en-US" w:eastAsia="zh-CN"/>
        </w:rPr>
        <w:t>2024年度</w:t>
      </w:r>
      <w:r>
        <w:rPr>
          <w:rFonts w:eastAsia="仿宋"/>
          <w:color w:val="auto"/>
          <w:sz w:val="32"/>
          <w:szCs w:val="32"/>
        </w:rPr>
        <w:t>单位</w:t>
      </w:r>
      <w:r>
        <w:rPr>
          <w:rFonts w:hint="eastAsia" w:eastAsia="仿宋"/>
          <w:color w:val="auto"/>
          <w:sz w:val="32"/>
          <w:szCs w:val="32"/>
        </w:rPr>
        <w:t>一般公共预算财政拨款</w:t>
      </w:r>
      <w:r>
        <w:rPr>
          <w:rFonts w:hint="eastAsia" w:eastAsia="仿宋"/>
          <w:color w:val="auto"/>
          <w:sz w:val="32"/>
          <w:szCs w:val="32"/>
          <w:lang w:eastAsia="zh-CN"/>
        </w:rPr>
        <w:t>支出</w:t>
      </w:r>
      <w:r>
        <w:rPr>
          <w:rFonts w:hint="eastAsia" w:eastAsia="仿宋"/>
          <w:color w:val="auto"/>
          <w:sz w:val="32"/>
          <w:szCs w:val="32"/>
          <w:lang w:val="en-US" w:eastAsia="zh-CN"/>
        </w:rPr>
        <w:t>1224.91万元，</w:t>
      </w:r>
      <w:r>
        <w:rPr>
          <w:rFonts w:eastAsia="仿宋"/>
          <w:color w:val="auto"/>
          <w:sz w:val="32"/>
          <w:szCs w:val="32"/>
        </w:rPr>
        <w:t>其中：项目支出</w:t>
      </w:r>
      <w:r>
        <w:rPr>
          <w:rFonts w:hint="eastAsia" w:eastAsia="仿宋"/>
          <w:color w:val="auto"/>
          <w:sz w:val="32"/>
          <w:szCs w:val="32"/>
          <w:lang w:val="en-US" w:eastAsia="zh-CN"/>
        </w:rPr>
        <w:t>351.33</w:t>
      </w:r>
      <w:r>
        <w:rPr>
          <w:rFonts w:eastAsia="仿宋"/>
          <w:color w:val="auto"/>
          <w:sz w:val="32"/>
          <w:szCs w:val="32"/>
        </w:rPr>
        <w:t>万元，基本支出</w:t>
      </w:r>
      <w:r>
        <w:rPr>
          <w:rFonts w:hint="eastAsia" w:eastAsia="仿宋"/>
          <w:color w:val="auto"/>
          <w:sz w:val="32"/>
          <w:szCs w:val="32"/>
          <w:lang w:val="en-US" w:eastAsia="zh-CN"/>
        </w:rPr>
        <w:t>873.58</w:t>
      </w:r>
      <w:r>
        <w:rPr>
          <w:rFonts w:eastAsia="仿宋"/>
          <w:color w:val="auto"/>
          <w:sz w:val="32"/>
          <w:szCs w:val="32"/>
        </w:rPr>
        <w:t>万元</w:t>
      </w:r>
      <w:r>
        <w:rPr>
          <w:rFonts w:hint="eastAsia" w:eastAsia="仿宋"/>
          <w:color w:val="auto"/>
          <w:sz w:val="32"/>
          <w:szCs w:val="32"/>
          <w:lang w:eastAsia="zh-CN"/>
        </w:rPr>
        <w:t>，</w:t>
      </w:r>
      <w:r>
        <w:rPr>
          <w:rFonts w:eastAsia="仿宋"/>
          <w:color w:val="auto"/>
          <w:sz w:val="32"/>
          <w:szCs w:val="32"/>
        </w:rPr>
        <w:t>其中：人员经费</w:t>
      </w:r>
      <w:r>
        <w:rPr>
          <w:rFonts w:hint="eastAsia" w:eastAsia="仿宋"/>
          <w:color w:val="auto"/>
          <w:sz w:val="32"/>
          <w:szCs w:val="32"/>
          <w:lang w:val="en-US" w:eastAsia="zh-CN"/>
        </w:rPr>
        <w:t>625.58</w:t>
      </w:r>
      <w:r>
        <w:rPr>
          <w:rFonts w:eastAsia="仿宋"/>
          <w:color w:val="auto"/>
          <w:sz w:val="32"/>
          <w:szCs w:val="32"/>
        </w:rPr>
        <w:t>万元，公用经费</w:t>
      </w:r>
      <w:r>
        <w:rPr>
          <w:rFonts w:hint="eastAsia" w:eastAsia="仿宋"/>
          <w:color w:val="auto"/>
          <w:sz w:val="32"/>
          <w:szCs w:val="32"/>
          <w:lang w:val="en-US" w:eastAsia="zh-CN"/>
        </w:rPr>
        <w:t>248万</w:t>
      </w:r>
      <w:r>
        <w:rPr>
          <w:rFonts w:eastAsia="仿宋"/>
          <w:color w:val="auto"/>
          <w:sz w:val="32"/>
          <w:szCs w:val="32"/>
        </w:rPr>
        <w:t>元。</w:t>
      </w:r>
    </w:p>
    <w:p w14:paraId="546FC3FA">
      <w:pPr>
        <w:pStyle w:val="6"/>
        <w:numPr>
          <w:ilvl w:val="0"/>
          <w:numId w:val="1"/>
        </w:numPr>
        <w:spacing w:line="600" w:lineRule="exact"/>
        <w:ind w:firstLine="643"/>
        <w:rPr>
          <w:rFonts w:ascii="Times New Roman" w:hAnsi="Times New Roman" w:eastAsia="楷体_GB2312"/>
          <w:b/>
          <w:sz w:val="32"/>
          <w:szCs w:val="32"/>
          <w:lang w:val="en-US" w:eastAsia="zh-CN"/>
        </w:rPr>
      </w:pPr>
      <w:r>
        <w:rPr>
          <w:rFonts w:ascii="Times New Roman" w:hAnsi="Times New Roman" w:eastAsia="楷体_GB2312"/>
          <w:b/>
          <w:sz w:val="32"/>
          <w:szCs w:val="32"/>
          <w:lang w:val="en-US" w:eastAsia="zh-CN"/>
        </w:rPr>
        <w:t>项目支出情况</w:t>
      </w:r>
    </w:p>
    <w:p w14:paraId="181EBE61">
      <w:pPr>
        <w:pStyle w:val="6"/>
        <w:spacing w:line="600" w:lineRule="exact"/>
        <w:ind w:firstLine="643"/>
        <w:rPr>
          <w:rFonts w:hint="default" w:ascii="Times New Roman" w:hAnsi="Times New Roman" w:eastAsia="仿宋" w:cs="Times New Roman"/>
          <w:color w:val="auto"/>
          <w:kern w:val="2"/>
          <w:sz w:val="32"/>
          <w:szCs w:val="32"/>
          <w:lang w:val="en-US" w:eastAsia="zh-CN" w:bidi="ar-SA"/>
        </w:rPr>
      </w:pPr>
      <w:r>
        <w:rPr>
          <w:rFonts w:hint="eastAsia" w:ascii="Times New Roman" w:hAnsi="Times New Roman" w:eastAsia="仿宋" w:cs="Times New Roman"/>
          <w:color w:val="auto"/>
          <w:kern w:val="2"/>
          <w:sz w:val="32"/>
          <w:szCs w:val="32"/>
          <w:lang w:val="en-US" w:eastAsia="zh-CN" w:bidi="ar-SA"/>
        </w:rPr>
        <w:t>2024年度一般公共预算安排项目支出351.33万元。其中：五经普专项普查活动项目5.51万元；红商圈一般行政管理事务项目3.52万元；社区基层政权建设和社区治理项目35万元；青创街就业创业服务补贴项目2.59万元；青创街创业社会保险补贴项目0.23万元；青创街就业活动费用项目1.25万元；社区运行经费支出303.23万元。</w:t>
      </w:r>
    </w:p>
    <w:p w14:paraId="7FAE22B4">
      <w:pPr>
        <w:pStyle w:val="6"/>
        <w:numPr>
          <w:ilvl w:val="0"/>
          <w:numId w:val="2"/>
        </w:numPr>
        <w:spacing w:line="600" w:lineRule="exact"/>
        <w:ind w:firstLine="640"/>
        <w:rPr>
          <w:rFonts w:hint="eastAsia" w:ascii="Times New Roman" w:hAnsi="Times New Roman" w:eastAsia="黑体"/>
          <w:sz w:val="32"/>
          <w:szCs w:val="32"/>
          <w:lang w:eastAsia="zh-CN"/>
        </w:rPr>
      </w:pPr>
      <w:r>
        <w:rPr>
          <w:rFonts w:ascii="Times New Roman" w:hAnsi="Times New Roman" w:eastAsia="黑体"/>
          <w:sz w:val="32"/>
          <w:szCs w:val="32"/>
        </w:rPr>
        <w:t>政府性基金预算支出情况</w:t>
      </w:r>
    </w:p>
    <w:p w14:paraId="229CA476">
      <w:pPr>
        <w:pStyle w:val="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 xml:space="preserve"> 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w:t>
      </w:r>
      <w:r>
        <w:rPr>
          <w:rFonts w:hint="eastAsia" w:ascii="Times New Roman" w:hAnsi="Times New Roman" w:eastAsia="仿宋_GB2312"/>
          <w:color w:val="auto"/>
          <w:sz w:val="32"/>
          <w:szCs w:val="32"/>
          <w:lang w:val="en-US" w:eastAsia="zh-CN"/>
        </w:rPr>
        <w:t>政拨款收入30万元；其中基本</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355C81D0">
      <w:pPr>
        <w:pStyle w:val="6"/>
        <w:numPr>
          <w:ilvl w:val="0"/>
          <w:numId w:val="2"/>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国有资本经营预算支出情况</w:t>
      </w:r>
    </w:p>
    <w:p w14:paraId="1C8E78D7">
      <w:pPr>
        <w:pStyle w:val="6"/>
        <w:numPr>
          <w:ilvl w:val="0"/>
          <w:numId w:val="0"/>
        </w:numPr>
        <w:spacing w:line="600" w:lineRule="exact"/>
        <w:ind w:left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无</w:t>
      </w:r>
    </w:p>
    <w:p w14:paraId="69913414">
      <w:pPr>
        <w:pStyle w:val="6"/>
        <w:numPr>
          <w:ilvl w:val="0"/>
          <w:numId w:val="2"/>
        </w:numPr>
        <w:spacing w:line="600" w:lineRule="exact"/>
        <w:ind w:left="0" w:leftChars="0" w:firstLine="640" w:firstLineChars="200"/>
        <w:rPr>
          <w:rFonts w:ascii="Times New Roman" w:hAnsi="Times New Roman" w:eastAsia="黑体"/>
          <w:sz w:val="32"/>
          <w:szCs w:val="32"/>
        </w:rPr>
      </w:pPr>
      <w:r>
        <w:rPr>
          <w:rFonts w:ascii="Times New Roman" w:hAnsi="Times New Roman" w:eastAsia="黑体"/>
          <w:sz w:val="32"/>
          <w:szCs w:val="32"/>
        </w:rPr>
        <w:t>社会保险基金预算支出情况</w:t>
      </w:r>
    </w:p>
    <w:p w14:paraId="2C310786">
      <w:pPr>
        <w:pStyle w:val="6"/>
        <w:numPr>
          <w:ilvl w:val="0"/>
          <w:numId w:val="0"/>
        </w:numPr>
        <w:spacing w:line="600" w:lineRule="exact"/>
        <w:ind w:leftChars="200"/>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无</w:t>
      </w:r>
    </w:p>
    <w:p w14:paraId="13AD24BE">
      <w:pPr>
        <w:spacing w:line="600" w:lineRule="exact"/>
        <w:ind w:firstLine="640" w:firstLineChars="200"/>
        <w:rPr>
          <w:rFonts w:eastAsia="黑体"/>
          <w:sz w:val="32"/>
          <w:szCs w:val="32"/>
        </w:rPr>
      </w:pPr>
      <w:r>
        <w:rPr>
          <w:rFonts w:eastAsia="黑体"/>
          <w:sz w:val="32"/>
          <w:szCs w:val="32"/>
        </w:rPr>
        <w:t>六、</w:t>
      </w:r>
      <w:r>
        <w:rPr>
          <w:rFonts w:hint="eastAsia" w:eastAsia="黑体"/>
          <w:sz w:val="32"/>
          <w:szCs w:val="32"/>
          <w:lang w:eastAsia="zh-CN"/>
        </w:rPr>
        <w:t>资金使用及</w:t>
      </w:r>
      <w:r>
        <w:rPr>
          <w:rFonts w:eastAsia="黑体"/>
          <w:sz w:val="32"/>
          <w:szCs w:val="32"/>
        </w:rPr>
        <w:t>绩效情况</w:t>
      </w:r>
    </w:p>
    <w:p w14:paraId="7755E9D1">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ascii="Times New Roman" w:hAnsi="Times New Roman" w:eastAsia="楷体_GB2312" w:cs="Times New Roman"/>
          <w:b/>
          <w:kern w:val="2"/>
          <w:sz w:val="32"/>
          <w:szCs w:val="32"/>
          <w:lang w:val="en-US" w:eastAsia="zh-CN" w:bidi="ar-SA"/>
        </w:rPr>
        <w:t>(一）部门整体支出绩效情况</w:t>
      </w:r>
    </w:p>
    <w:p w14:paraId="4602CFEA">
      <w:pPr>
        <w:spacing w:line="600" w:lineRule="exact"/>
        <w:ind w:firstLine="640" w:firstLineChars="200"/>
        <w:rPr>
          <w:rFonts w:hint="eastAsia" w:eastAsia="仿宋_GB2312"/>
          <w:color w:val="000000"/>
          <w:sz w:val="32"/>
          <w:szCs w:val="32"/>
        </w:rPr>
      </w:pPr>
      <w:r>
        <w:rPr>
          <w:rFonts w:hint="eastAsia" w:eastAsia="仿宋_GB2312"/>
          <w:color w:val="000000"/>
          <w:sz w:val="32"/>
          <w:szCs w:val="32"/>
          <w:lang w:eastAsia="zh-CN"/>
        </w:rPr>
        <w:t>（</w:t>
      </w:r>
      <w:r>
        <w:rPr>
          <w:rFonts w:hint="eastAsia" w:eastAsia="仿宋_GB2312"/>
          <w:color w:val="000000"/>
          <w:sz w:val="32"/>
          <w:szCs w:val="32"/>
          <w:lang w:val="en-US" w:eastAsia="zh-CN"/>
        </w:rPr>
        <w:t>1</w:t>
      </w:r>
      <w:r>
        <w:rPr>
          <w:rFonts w:hint="eastAsia" w:eastAsia="仿宋_GB2312"/>
          <w:color w:val="000000"/>
          <w:sz w:val="32"/>
          <w:szCs w:val="32"/>
          <w:lang w:eastAsia="zh-CN"/>
        </w:rPr>
        <w:t>）</w:t>
      </w:r>
      <w:r>
        <w:rPr>
          <w:rFonts w:hint="eastAsia" w:eastAsia="仿宋_GB2312"/>
          <w:color w:val="000000"/>
          <w:sz w:val="32"/>
          <w:szCs w:val="32"/>
        </w:rPr>
        <w:t>压紧压实经济职能。紧扣发展第一要务，一是做深做实红商圈。开启文艺巷二期改造，争取雨污分流项目，改善人居、营商环境。着力推动区级“社区合伙人”试点工作，在何家坳社区推出“社区公司+社区合伙人”运营模式</w:t>
      </w:r>
      <w:r>
        <w:rPr>
          <w:rFonts w:hint="eastAsia" w:eastAsia="仿宋_GB2312"/>
          <w:color w:val="000000"/>
          <w:sz w:val="32"/>
          <w:szCs w:val="32"/>
          <w:lang w:eastAsia="zh-CN"/>
        </w:rPr>
        <w:t>；</w:t>
      </w:r>
      <w:r>
        <w:rPr>
          <w:rFonts w:hint="eastAsia" w:eastAsia="仿宋_GB2312"/>
          <w:color w:val="000000"/>
          <w:sz w:val="32"/>
          <w:szCs w:val="32"/>
        </w:rPr>
        <w:t>盘活街道社区资产。提高闲置资源利用率，积极引入优质项目，门面出租率上升到82%。</w:t>
      </w:r>
    </w:p>
    <w:p w14:paraId="69058632">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2</w:t>
      </w:r>
      <w:r>
        <w:rPr>
          <w:rFonts w:hint="eastAsia" w:eastAsia="仿宋_GB2312"/>
          <w:color w:val="000000"/>
          <w:sz w:val="32"/>
          <w:szCs w:val="32"/>
        </w:rPr>
        <w:t>）牢牢守住工作底线。严守安全生产红线。强化风险意识，严格落实安全生产“一岗双责、齐抓共管”责任制, 坚持落实安全生产责任制，同时，积极寻求项目盘活路径，持续推动市中院受理其破产重整申请，力求根本性解决问题。辖区整体态势平稳可控。</w:t>
      </w:r>
    </w:p>
    <w:p w14:paraId="30C80D09">
      <w:pPr>
        <w:spacing w:line="600" w:lineRule="exact"/>
        <w:ind w:firstLine="640" w:firstLineChars="200"/>
        <w:rPr>
          <w:rFonts w:hint="eastAsia" w:eastAsia="仿宋_GB2312"/>
          <w:color w:val="000000"/>
          <w:sz w:val="32"/>
          <w:szCs w:val="32"/>
        </w:rPr>
      </w:pPr>
      <w:r>
        <w:rPr>
          <w:rFonts w:hint="eastAsia" w:eastAsia="仿宋_GB2312"/>
          <w:color w:val="000000"/>
          <w:sz w:val="32"/>
          <w:szCs w:val="32"/>
        </w:rPr>
        <w:t>（</w:t>
      </w:r>
      <w:r>
        <w:rPr>
          <w:rFonts w:hint="eastAsia" w:eastAsia="仿宋_GB2312"/>
          <w:color w:val="000000"/>
          <w:sz w:val="32"/>
          <w:szCs w:val="32"/>
          <w:lang w:val="en-US" w:eastAsia="zh-CN"/>
        </w:rPr>
        <w:t>3</w:t>
      </w:r>
      <w:r>
        <w:rPr>
          <w:rFonts w:hint="eastAsia" w:eastAsia="仿宋_GB2312"/>
          <w:color w:val="000000"/>
          <w:sz w:val="32"/>
          <w:szCs w:val="32"/>
        </w:rPr>
        <w:t>）切实加强党的建设。持续深化作风建设。深入学习贯彻中央八项规定及其实施细则精神</w:t>
      </w:r>
      <w:r>
        <w:rPr>
          <w:rFonts w:hint="eastAsia" w:eastAsia="仿宋_GB2312"/>
          <w:color w:val="000000"/>
          <w:sz w:val="32"/>
          <w:szCs w:val="32"/>
          <w:lang w:eastAsia="zh-CN"/>
        </w:rPr>
        <w:t>，</w:t>
      </w:r>
      <w:r>
        <w:rPr>
          <w:rFonts w:hint="eastAsia" w:eastAsia="仿宋_GB2312"/>
          <w:color w:val="000000"/>
          <w:sz w:val="32"/>
          <w:szCs w:val="32"/>
        </w:rPr>
        <w:t>通过集中学习、案例剖析、交流研讨等多种形式，强化思想教育和警示震慑，筑牢作风建设思想根基</w:t>
      </w:r>
      <w:r>
        <w:rPr>
          <w:rFonts w:hint="eastAsia" w:eastAsia="仿宋_GB2312"/>
          <w:color w:val="000000"/>
          <w:sz w:val="32"/>
          <w:szCs w:val="32"/>
          <w:lang w:eastAsia="zh-CN"/>
        </w:rPr>
        <w:t>；</w:t>
      </w:r>
      <w:r>
        <w:rPr>
          <w:rFonts w:hint="eastAsia" w:eastAsia="仿宋_GB2312"/>
          <w:color w:val="000000"/>
          <w:sz w:val="32"/>
          <w:szCs w:val="32"/>
        </w:rPr>
        <w:t>强化干部队伍建设。多措并举培养街道和社区干部</w:t>
      </w:r>
      <w:r>
        <w:rPr>
          <w:rFonts w:hint="eastAsia" w:eastAsia="仿宋_GB2312"/>
          <w:color w:val="000000"/>
          <w:sz w:val="32"/>
          <w:szCs w:val="32"/>
          <w:lang w:eastAsia="zh-CN"/>
        </w:rPr>
        <w:t>；</w:t>
      </w:r>
      <w:r>
        <w:rPr>
          <w:rFonts w:hint="eastAsia" w:eastAsia="仿宋_GB2312"/>
          <w:color w:val="000000"/>
          <w:sz w:val="32"/>
          <w:szCs w:val="32"/>
        </w:rPr>
        <w:t>纵深推进正风肃纪反腐。坚决整治群众身边的不正之风和腐败问题，保持高压态势。</w:t>
      </w:r>
    </w:p>
    <w:p w14:paraId="2E5D5B38">
      <w:pPr>
        <w:spacing w:line="600" w:lineRule="exact"/>
        <w:ind w:firstLine="643" w:firstLineChars="200"/>
        <w:rPr>
          <w:rFonts w:hint="eastAsia" w:ascii="Times New Roman" w:hAnsi="Times New Roman" w:eastAsia="楷体_GB2312" w:cs="Times New Roman"/>
          <w:b/>
          <w:kern w:val="2"/>
          <w:sz w:val="32"/>
          <w:szCs w:val="32"/>
          <w:lang w:val="en-US" w:eastAsia="zh-CN" w:bidi="ar-SA"/>
        </w:rPr>
      </w:pPr>
      <w:r>
        <w:rPr>
          <w:rFonts w:hint="eastAsia" w:eastAsia="楷体_GB2312" w:cs="Times New Roman"/>
          <w:b/>
          <w:kern w:val="2"/>
          <w:sz w:val="32"/>
          <w:szCs w:val="32"/>
          <w:lang w:val="en-US" w:eastAsia="zh-CN" w:bidi="ar-SA"/>
        </w:rPr>
        <w:t>（二）</w:t>
      </w:r>
      <w:r>
        <w:rPr>
          <w:rFonts w:hint="eastAsia" w:ascii="Times New Roman" w:hAnsi="Times New Roman" w:eastAsia="楷体_GB2312" w:cs="Times New Roman"/>
          <w:b/>
          <w:kern w:val="2"/>
          <w:sz w:val="32"/>
          <w:szCs w:val="32"/>
          <w:lang w:val="en-US" w:eastAsia="zh-CN" w:bidi="ar-SA"/>
        </w:rPr>
        <w:t>专项资金支出绩效情况</w:t>
      </w:r>
    </w:p>
    <w:p w14:paraId="7A654102">
      <w:pPr>
        <w:pStyle w:val="6"/>
        <w:spacing w:line="600" w:lineRule="exact"/>
        <w:ind w:firstLine="640"/>
        <w:rPr>
          <w:rFonts w:hint="eastAsia" w:eastAsia="仿宋_GB2312"/>
          <w:color w:val="000000"/>
          <w:sz w:val="32"/>
          <w:szCs w:val="32"/>
          <w:lang w:val="en-US" w:eastAsia="zh-CN"/>
        </w:rPr>
      </w:pPr>
      <w:r>
        <w:rPr>
          <w:rFonts w:hint="eastAsia" w:eastAsia="仿宋_GB2312"/>
          <w:color w:val="000000"/>
          <w:sz w:val="32"/>
          <w:szCs w:val="32"/>
          <w:lang w:val="en-US" w:eastAsia="zh-CN"/>
        </w:rPr>
        <w:t>无</w:t>
      </w:r>
    </w:p>
    <w:p w14:paraId="34C84C78">
      <w:pPr>
        <w:pStyle w:val="6"/>
        <w:spacing w:line="600" w:lineRule="exact"/>
        <w:ind w:firstLine="640"/>
        <w:rPr>
          <w:rFonts w:ascii="Times New Roman" w:hAnsi="Times New Roman" w:eastAsia="黑体"/>
          <w:sz w:val="32"/>
          <w:szCs w:val="32"/>
        </w:rPr>
      </w:pPr>
      <w:r>
        <w:rPr>
          <w:rFonts w:ascii="Times New Roman" w:hAnsi="Times New Roman" w:eastAsia="黑体"/>
          <w:sz w:val="32"/>
          <w:szCs w:val="32"/>
        </w:rPr>
        <w:t>七、存在的问题及原因分析</w:t>
      </w:r>
    </w:p>
    <w:p w14:paraId="1B44DC70">
      <w:pPr>
        <w:keepNext w:val="0"/>
        <w:keepLines w:val="0"/>
        <w:pageBreakBefore w:val="0"/>
        <w:widowControl w:val="0"/>
        <w:kinsoku/>
        <w:wordWrap/>
        <w:overflowPunct/>
        <w:topLinePunct w:val="0"/>
        <w:autoSpaceDE/>
        <w:autoSpaceDN/>
        <w:bidi w:val="0"/>
        <w:adjustRightInd/>
        <w:snapToGrid w:val="0"/>
        <w:spacing w:line="640" w:lineRule="atLeast"/>
        <w:ind w:firstLine="640" w:firstLineChars="200"/>
        <w:textAlignment w:val="auto"/>
        <w:rPr>
          <w:rFonts w:hint="eastAsia" w:eastAsia="仿宋_GB2312"/>
          <w:sz w:val="32"/>
          <w:szCs w:val="32"/>
        </w:rPr>
      </w:pPr>
      <w:r>
        <w:rPr>
          <w:rFonts w:hint="eastAsia" w:eastAsia="仿宋_GB2312"/>
          <w:sz w:val="32"/>
          <w:szCs w:val="32"/>
        </w:rPr>
        <w:t>1、绩效评价工作机制有待进一步完善，由于在平时工作中未加强对绩效监控工作的重视，绩效监控工作容易滞后。</w:t>
      </w:r>
    </w:p>
    <w:p w14:paraId="5509AC07">
      <w:pPr>
        <w:keepNext w:val="0"/>
        <w:keepLines w:val="0"/>
        <w:pageBreakBefore w:val="0"/>
        <w:widowControl w:val="0"/>
        <w:kinsoku/>
        <w:wordWrap/>
        <w:overflowPunct/>
        <w:topLinePunct w:val="0"/>
        <w:autoSpaceDE/>
        <w:autoSpaceDN/>
        <w:bidi w:val="0"/>
        <w:adjustRightInd/>
        <w:spacing w:line="640" w:lineRule="atLeast"/>
        <w:ind w:firstLine="640" w:firstLineChars="200"/>
        <w:textAlignment w:val="auto"/>
        <w:rPr>
          <w:rFonts w:hint="eastAsia" w:eastAsia="仿宋_GB2312"/>
          <w:sz w:val="32"/>
          <w:szCs w:val="32"/>
          <w:lang w:val="en-US" w:eastAsia="zh-CN"/>
        </w:rPr>
      </w:pPr>
      <w:r>
        <w:rPr>
          <w:rFonts w:hint="eastAsia" w:eastAsia="仿宋_GB2312"/>
          <w:sz w:val="32"/>
          <w:szCs w:val="32"/>
        </w:rPr>
        <w:t>2、预算编制工作有待细化。预算编制不够明确和细化，预算编制的合理性需要提高。预算执行力度还要进一步加强。</w:t>
      </w:r>
      <w:r>
        <w:rPr>
          <w:rFonts w:hint="eastAsia" w:eastAsia="仿宋_GB2312"/>
          <w:sz w:val="32"/>
          <w:szCs w:val="32"/>
          <w:lang w:val="en-US" w:eastAsia="zh-CN"/>
        </w:rPr>
        <w:t xml:space="preserve">    </w:t>
      </w:r>
    </w:p>
    <w:p w14:paraId="2726DDF4">
      <w:pPr>
        <w:spacing w:line="600" w:lineRule="exact"/>
        <w:ind w:firstLine="640" w:firstLineChars="200"/>
        <w:rPr>
          <w:rFonts w:eastAsia="黑体"/>
          <w:sz w:val="32"/>
          <w:szCs w:val="32"/>
        </w:rPr>
      </w:pPr>
      <w:r>
        <w:rPr>
          <w:rFonts w:eastAsia="黑体"/>
          <w:sz w:val="32"/>
          <w:szCs w:val="32"/>
        </w:rPr>
        <w:t>八、下一步改进措施</w:t>
      </w:r>
    </w:p>
    <w:p w14:paraId="3EF2AF82">
      <w:pPr>
        <w:pStyle w:val="2"/>
        <w:ind w:firstLine="640"/>
        <w:rPr>
          <w:rFonts w:hint="eastAsia"/>
        </w:rPr>
      </w:pPr>
      <w:r>
        <w:rPr>
          <w:rFonts w:hint="eastAsia"/>
        </w:rPr>
        <w:t>1、加强组织领导， 增强预算编制的准确性，提高对预算编制与执行的认识，让各部门了解绩效工作，为绩效评价工作开展创造好的条件</w:t>
      </w:r>
    </w:p>
    <w:p w14:paraId="76DC9ABC">
      <w:pPr>
        <w:pStyle w:val="2"/>
        <w:ind w:firstLine="640"/>
        <w:rPr>
          <w:rFonts w:hint="eastAsia" w:eastAsia="仿宋_GB2312"/>
          <w:sz w:val="32"/>
          <w:szCs w:val="32"/>
          <w:lang w:val="en-US" w:eastAsia="zh-CN"/>
        </w:rPr>
      </w:pPr>
      <w:r>
        <w:rPr>
          <w:rFonts w:hint="eastAsia"/>
        </w:rPr>
        <w:t>2、建立长效机制，加强绩效自评结果应用，使资金发挥最大效益。</w:t>
      </w:r>
    </w:p>
    <w:p w14:paraId="2B6813E9">
      <w:pPr>
        <w:spacing w:line="600" w:lineRule="exact"/>
        <w:ind w:firstLine="640" w:firstLineChars="200"/>
        <w:rPr>
          <w:rFonts w:eastAsia="黑体"/>
          <w:sz w:val="32"/>
          <w:szCs w:val="32"/>
        </w:rPr>
      </w:pPr>
      <w:r>
        <w:rPr>
          <w:rFonts w:eastAsia="黑体"/>
          <w:sz w:val="32"/>
          <w:szCs w:val="32"/>
        </w:rPr>
        <w:t>九、绩效自评结果拟应用和公开情况</w:t>
      </w:r>
    </w:p>
    <w:p w14:paraId="6A6774E4">
      <w:pPr>
        <w:pStyle w:val="2"/>
        <w:ind w:firstLine="640"/>
        <w:rPr>
          <w:rFonts w:hint="eastAsia"/>
          <w:lang w:val="en-US" w:eastAsia="zh-CN"/>
        </w:rPr>
      </w:pPr>
      <w:r>
        <w:rPr>
          <w:rFonts w:hint="eastAsia"/>
          <w:lang w:val="en-US" w:eastAsia="zh-CN"/>
        </w:rPr>
        <w:t>无</w:t>
      </w:r>
    </w:p>
    <w:p w14:paraId="73D079AE">
      <w:pPr>
        <w:spacing w:line="600" w:lineRule="exact"/>
        <w:ind w:firstLine="640" w:firstLineChars="200"/>
        <w:rPr>
          <w:rFonts w:eastAsia="黑体"/>
          <w:sz w:val="32"/>
          <w:szCs w:val="32"/>
        </w:rPr>
      </w:pPr>
      <w:r>
        <w:rPr>
          <w:rFonts w:hint="eastAsia" w:eastAsia="黑体"/>
          <w:sz w:val="32"/>
          <w:szCs w:val="32"/>
          <w:lang w:eastAsia="zh-CN"/>
        </w:rPr>
        <w:t>十、</w:t>
      </w:r>
      <w:r>
        <w:rPr>
          <w:rFonts w:eastAsia="黑体"/>
          <w:sz w:val="32"/>
          <w:szCs w:val="32"/>
        </w:rPr>
        <w:t>其他需要说明的情况</w:t>
      </w:r>
    </w:p>
    <w:p w14:paraId="5D2F1411">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无</w:t>
      </w:r>
    </w:p>
    <w:p w14:paraId="09CC7730">
      <w:pPr>
        <w:spacing w:line="600" w:lineRule="exact"/>
        <w:rPr>
          <w:rFonts w:eastAsia="仿宋_GB2312"/>
          <w:kern w:val="0"/>
          <w:sz w:val="32"/>
          <w:szCs w:val="32"/>
        </w:rPr>
      </w:pPr>
    </w:p>
    <w:p w14:paraId="045EC994">
      <w:r>
        <w:rPr>
          <w:rFonts w:eastAsia="黑体"/>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222C25-DAEA-4F88-8F32-DB204789327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B9C8DCA-703E-4046-A739-342939790C15}"/>
  </w:font>
  <w:font w:name="仿宋_GB2312">
    <w:altName w:val="仿宋"/>
    <w:panose1 w:val="02010609030101010101"/>
    <w:charset w:val="86"/>
    <w:family w:val="modern"/>
    <w:pitch w:val="default"/>
    <w:sig w:usb0="00000000" w:usb1="00000000" w:usb2="00000000" w:usb3="00000000" w:csb0="00040000" w:csb1="00000000"/>
    <w:embedRegular r:id="rId3" w:fontKey="{EC770B61-3EA9-4E8E-AA71-AD0024B2BFB1}"/>
  </w:font>
  <w:font w:name="仿宋">
    <w:panose1 w:val="02010609060101010101"/>
    <w:charset w:val="86"/>
    <w:family w:val="roman"/>
    <w:pitch w:val="default"/>
    <w:sig w:usb0="800002BF" w:usb1="38CF7CFA" w:usb2="00000016" w:usb3="00000000" w:csb0="00040001" w:csb1="00000000"/>
    <w:embedRegular r:id="rId4" w:fontKey="{B7479560-30FE-4111-BBC2-EAA1805D961F}"/>
  </w:font>
  <w:font w:name="方正小标宋_GBK">
    <w:panose1 w:val="02000000000000000000"/>
    <w:charset w:val="86"/>
    <w:family w:val="script"/>
    <w:pitch w:val="default"/>
    <w:sig w:usb0="A00002BF" w:usb1="38CF7CFA" w:usb2="00082016" w:usb3="00000000" w:csb0="00040001" w:csb1="00000000"/>
    <w:embedRegular r:id="rId5" w:fontKey="{41454C2F-96FF-4A11-AB6E-CDC86995FF1C}"/>
  </w:font>
  <w:font w:name="楷体_GB2312">
    <w:altName w:val="楷体"/>
    <w:panose1 w:val="02010609030101010101"/>
    <w:charset w:val="86"/>
    <w:family w:val="modern"/>
    <w:pitch w:val="default"/>
    <w:sig w:usb0="00000000" w:usb1="00000000" w:usb2="00000000" w:usb3="00000000" w:csb0="00040000" w:csb1="00000000"/>
    <w:embedRegular r:id="rId6" w:fontKey="{637992F6-BF39-4A4D-80CE-2807B20E677B}"/>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FF15"/>
    <w:multiLevelType w:val="singleLevel"/>
    <w:tmpl w:val="4890FF15"/>
    <w:lvl w:ilvl="0" w:tentative="0">
      <w:start w:val="2"/>
      <w:numFmt w:val="chineseCounting"/>
      <w:suff w:val="nothing"/>
      <w:lvlText w:val="（%1）"/>
      <w:lvlJc w:val="left"/>
      <w:rPr>
        <w:rFonts w:hint="eastAsia"/>
      </w:rPr>
    </w:lvl>
  </w:abstractNum>
  <w:abstractNum w:abstractNumId="1">
    <w:nsid w:val="5CB006C7"/>
    <w:multiLevelType w:val="singleLevel"/>
    <w:tmpl w:val="5CB006C7"/>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1Yjg3NjVmZmU4MjJhYzIzZjM0NWY1OWYwNjhhMzgifQ=="/>
  </w:docVars>
  <w:rsids>
    <w:rsidRoot w:val="00000000"/>
    <w:rsid w:val="00004E70"/>
    <w:rsid w:val="00207FA3"/>
    <w:rsid w:val="005A433C"/>
    <w:rsid w:val="008C62A7"/>
    <w:rsid w:val="00A56C8A"/>
    <w:rsid w:val="00D5092F"/>
    <w:rsid w:val="00E55161"/>
    <w:rsid w:val="015876FF"/>
    <w:rsid w:val="016976BE"/>
    <w:rsid w:val="01A6665B"/>
    <w:rsid w:val="01EF5276"/>
    <w:rsid w:val="02665DCF"/>
    <w:rsid w:val="02A86D87"/>
    <w:rsid w:val="02AE4CCA"/>
    <w:rsid w:val="02D92DDA"/>
    <w:rsid w:val="03287320"/>
    <w:rsid w:val="03AE3AC0"/>
    <w:rsid w:val="03FA6217"/>
    <w:rsid w:val="046063A3"/>
    <w:rsid w:val="048E4A8E"/>
    <w:rsid w:val="04A8621F"/>
    <w:rsid w:val="052D1124"/>
    <w:rsid w:val="05841760"/>
    <w:rsid w:val="058C239E"/>
    <w:rsid w:val="06334EF1"/>
    <w:rsid w:val="06377F01"/>
    <w:rsid w:val="071E5F82"/>
    <w:rsid w:val="072B45AB"/>
    <w:rsid w:val="07BB6AF4"/>
    <w:rsid w:val="07EF4D29"/>
    <w:rsid w:val="08470747"/>
    <w:rsid w:val="0893725C"/>
    <w:rsid w:val="089572CF"/>
    <w:rsid w:val="08A00773"/>
    <w:rsid w:val="08A4283C"/>
    <w:rsid w:val="08EF0DD0"/>
    <w:rsid w:val="08F027B4"/>
    <w:rsid w:val="09783F74"/>
    <w:rsid w:val="0A3D57A2"/>
    <w:rsid w:val="0A4370BC"/>
    <w:rsid w:val="0A4D6F7D"/>
    <w:rsid w:val="0A94795B"/>
    <w:rsid w:val="0AB4192F"/>
    <w:rsid w:val="0B1F6B23"/>
    <w:rsid w:val="0B4524E9"/>
    <w:rsid w:val="0BA804E2"/>
    <w:rsid w:val="0BB94E2C"/>
    <w:rsid w:val="0BE27487"/>
    <w:rsid w:val="0C4F7C96"/>
    <w:rsid w:val="0C8E7A46"/>
    <w:rsid w:val="0C966F7F"/>
    <w:rsid w:val="0CCA6CB7"/>
    <w:rsid w:val="0CFF5FF0"/>
    <w:rsid w:val="0D1C42A9"/>
    <w:rsid w:val="0D366EDE"/>
    <w:rsid w:val="0D4B57FA"/>
    <w:rsid w:val="0D60161F"/>
    <w:rsid w:val="0E897C2B"/>
    <w:rsid w:val="0ED94D9B"/>
    <w:rsid w:val="0F957EE7"/>
    <w:rsid w:val="0F9A0948"/>
    <w:rsid w:val="0FA108F2"/>
    <w:rsid w:val="0FB873C3"/>
    <w:rsid w:val="10593E88"/>
    <w:rsid w:val="10C17504"/>
    <w:rsid w:val="10F06DED"/>
    <w:rsid w:val="11107299"/>
    <w:rsid w:val="1134034B"/>
    <w:rsid w:val="115176A2"/>
    <w:rsid w:val="129D6027"/>
    <w:rsid w:val="13242D1C"/>
    <w:rsid w:val="13A52CDF"/>
    <w:rsid w:val="146C1DD9"/>
    <w:rsid w:val="14BF24DE"/>
    <w:rsid w:val="14CC54C7"/>
    <w:rsid w:val="14DD5FD7"/>
    <w:rsid w:val="14E33844"/>
    <w:rsid w:val="14EA23A8"/>
    <w:rsid w:val="15A27FE2"/>
    <w:rsid w:val="1627453B"/>
    <w:rsid w:val="17197045"/>
    <w:rsid w:val="175C6F5E"/>
    <w:rsid w:val="179A7791"/>
    <w:rsid w:val="17DC3DC3"/>
    <w:rsid w:val="181F357B"/>
    <w:rsid w:val="188345AC"/>
    <w:rsid w:val="195E168F"/>
    <w:rsid w:val="196A7CDF"/>
    <w:rsid w:val="19C72BF8"/>
    <w:rsid w:val="19CA553D"/>
    <w:rsid w:val="1A4E2E8E"/>
    <w:rsid w:val="1AF51455"/>
    <w:rsid w:val="1B9D302A"/>
    <w:rsid w:val="1BF446CE"/>
    <w:rsid w:val="1C704031"/>
    <w:rsid w:val="1D271A66"/>
    <w:rsid w:val="1DCB47DF"/>
    <w:rsid w:val="1E601115"/>
    <w:rsid w:val="1EB03217"/>
    <w:rsid w:val="1F000FB0"/>
    <w:rsid w:val="1F111AD7"/>
    <w:rsid w:val="1F5A1E7F"/>
    <w:rsid w:val="1FA707DF"/>
    <w:rsid w:val="1FFE7B8C"/>
    <w:rsid w:val="203C025A"/>
    <w:rsid w:val="20775CA3"/>
    <w:rsid w:val="217A1AB1"/>
    <w:rsid w:val="22695B47"/>
    <w:rsid w:val="243235AA"/>
    <w:rsid w:val="24B10BAC"/>
    <w:rsid w:val="24D2061D"/>
    <w:rsid w:val="251132F3"/>
    <w:rsid w:val="253C38DE"/>
    <w:rsid w:val="25B24E22"/>
    <w:rsid w:val="262B4FF6"/>
    <w:rsid w:val="264810A7"/>
    <w:rsid w:val="265A7CC8"/>
    <w:rsid w:val="27014400"/>
    <w:rsid w:val="271B2298"/>
    <w:rsid w:val="276D0D8C"/>
    <w:rsid w:val="27DE2311"/>
    <w:rsid w:val="286C33CA"/>
    <w:rsid w:val="28E4125D"/>
    <w:rsid w:val="29BB6A7E"/>
    <w:rsid w:val="29EC49AF"/>
    <w:rsid w:val="2AC43DDE"/>
    <w:rsid w:val="2AEF4956"/>
    <w:rsid w:val="2B1C41DD"/>
    <w:rsid w:val="2BBE35CD"/>
    <w:rsid w:val="2BD6382B"/>
    <w:rsid w:val="2C1116AF"/>
    <w:rsid w:val="2C7A0558"/>
    <w:rsid w:val="2C933EBB"/>
    <w:rsid w:val="2CDF6E04"/>
    <w:rsid w:val="2D284D02"/>
    <w:rsid w:val="2D3A266F"/>
    <w:rsid w:val="2D8470B0"/>
    <w:rsid w:val="2D85399E"/>
    <w:rsid w:val="2DC65E1F"/>
    <w:rsid w:val="2DF720F5"/>
    <w:rsid w:val="2E1C0F3D"/>
    <w:rsid w:val="2E583569"/>
    <w:rsid w:val="2E69253C"/>
    <w:rsid w:val="2EEF2198"/>
    <w:rsid w:val="2F0246FC"/>
    <w:rsid w:val="2F080155"/>
    <w:rsid w:val="30343502"/>
    <w:rsid w:val="30470CFF"/>
    <w:rsid w:val="306918BE"/>
    <w:rsid w:val="30A37680"/>
    <w:rsid w:val="31AF70F0"/>
    <w:rsid w:val="32D24F00"/>
    <w:rsid w:val="32D963A9"/>
    <w:rsid w:val="32ED21B4"/>
    <w:rsid w:val="331926DE"/>
    <w:rsid w:val="35124AFB"/>
    <w:rsid w:val="35164EC9"/>
    <w:rsid w:val="35EE1AE6"/>
    <w:rsid w:val="36216ACD"/>
    <w:rsid w:val="36AD5505"/>
    <w:rsid w:val="36DB24F1"/>
    <w:rsid w:val="37904E67"/>
    <w:rsid w:val="3797204C"/>
    <w:rsid w:val="37A771FF"/>
    <w:rsid w:val="37B37AED"/>
    <w:rsid w:val="37EF7DFA"/>
    <w:rsid w:val="380A1D4B"/>
    <w:rsid w:val="38A54053"/>
    <w:rsid w:val="38D37D37"/>
    <w:rsid w:val="39312765"/>
    <w:rsid w:val="393A2055"/>
    <w:rsid w:val="399C1F0E"/>
    <w:rsid w:val="3A003CFF"/>
    <w:rsid w:val="3A1339C4"/>
    <w:rsid w:val="3AF63590"/>
    <w:rsid w:val="3B06110B"/>
    <w:rsid w:val="3B9B7004"/>
    <w:rsid w:val="3BCF551C"/>
    <w:rsid w:val="3C87456A"/>
    <w:rsid w:val="3CA231F4"/>
    <w:rsid w:val="3CDC3CFC"/>
    <w:rsid w:val="3CFC20B7"/>
    <w:rsid w:val="3E694CE7"/>
    <w:rsid w:val="3E835DD7"/>
    <w:rsid w:val="3EC819BA"/>
    <w:rsid w:val="3EEE35A4"/>
    <w:rsid w:val="3F7004CB"/>
    <w:rsid w:val="3FFC7781"/>
    <w:rsid w:val="405317F7"/>
    <w:rsid w:val="40754FF3"/>
    <w:rsid w:val="40CE715B"/>
    <w:rsid w:val="40D508AB"/>
    <w:rsid w:val="40E640CC"/>
    <w:rsid w:val="41D57B43"/>
    <w:rsid w:val="43141345"/>
    <w:rsid w:val="43420DA9"/>
    <w:rsid w:val="435C781C"/>
    <w:rsid w:val="437C0F5D"/>
    <w:rsid w:val="44B87D18"/>
    <w:rsid w:val="453A160B"/>
    <w:rsid w:val="45E2026E"/>
    <w:rsid w:val="45F85A17"/>
    <w:rsid w:val="463747B7"/>
    <w:rsid w:val="47212ECA"/>
    <w:rsid w:val="47323108"/>
    <w:rsid w:val="47D51345"/>
    <w:rsid w:val="47E11557"/>
    <w:rsid w:val="48196B29"/>
    <w:rsid w:val="4885603F"/>
    <w:rsid w:val="491722FF"/>
    <w:rsid w:val="491D74A7"/>
    <w:rsid w:val="497C7C2F"/>
    <w:rsid w:val="498307B4"/>
    <w:rsid w:val="49882B9B"/>
    <w:rsid w:val="49AF4809"/>
    <w:rsid w:val="49B324BE"/>
    <w:rsid w:val="4A3763F6"/>
    <w:rsid w:val="4A5007FC"/>
    <w:rsid w:val="4A885383"/>
    <w:rsid w:val="4AE85958"/>
    <w:rsid w:val="4AF51ADF"/>
    <w:rsid w:val="4AFD5436"/>
    <w:rsid w:val="4B7C2BF9"/>
    <w:rsid w:val="4B920728"/>
    <w:rsid w:val="4B9357A5"/>
    <w:rsid w:val="4BC67BFF"/>
    <w:rsid w:val="4C19263D"/>
    <w:rsid w:val="4C253F32"/>
    <w:rsid w:val="4C442E20"/>
    <w:rsid w:val="4C714499"/>
    <w:rsid w:val="4C845F8F"/>
    <w:rsid w:val="4D36566E"/>
    <w:rsid w:val="4DBB24B5"/>
    <w:rsid w:val="4E03467F"/>
    <w:rsid w:val="4EE91176"/>
    <w:rsid w:val="4EF96755"/>
    <w:rsid w:val="4EFF6E71"/>
    <w:rsid w:val="4F7317CB"/>
    <w:rsid w:val="4F7C135A"/>
    <w:rsid w:val="4FC01EDA"/>
    <w:rsid w:val="50281CF3"/>
    <w:rsid w:val="509154B6"/>
    <w:rsid w:val="50BB4683"/>
    <w:rsid w:val="50EC10F9"/>
    <w:rsid w:val="5177797E"/>
    <w:rsid w:val="52F6075F"/>
    <w:rsid w:val="53086FF5"/>
    <w:rsid w:val="534D0228"/>
    <w:rsid w:val="53AB142E"/>
    <w:rsid w:val="54207C51"/>
    <w:rsid w:val="54DA727F"/>
    <w:rsid w:val="54E65F5A"/>
    <w:rsid w:val="557D2E1D"/>
    <w:rsid w:val="55804F6C"/>
    <w:rsid w:val="564516B7"/>
    <w:rsid w:val="56685DC5"/>
    <w:rsid w:val="567C109E"/>
    <w:rsid w:val="567E6210"/>
    <w:rsid w:val="56933523"/>
    <w:rsid w:val="56BA55C6"/>
    <w:rsid w:val="57124CDD"/>
    <w:rsid w:val="576D1203"/>
    <w:rsid w:val="57837BDE"/>
    <w:rsid w:val="57935E95"/>
    <w:rsid w:val="58152013"/>
    <w:rsid w:val="58CE683B"/>
    <w:rsid w:val="59A40B9B"/>
    <w:rsid w:val="5A3C1A0D"/>
    <w:rsid w:val="5A6A2A29"/>
    <w:rsid w:val="5A9244F7"/>
    <w:rsid w:val="5AF97A89"/>
    <w:rsid w:val="5B352171"/>
    <w:rsid w:val="5B514882"/>
    <w:rsid w:val="5B5C757D"/>
    <w:rsid w:val="5B6B124E"/>
    <w:rsid w:val="5B7B7BC8"/>
    <w:rsid w:val="5D155819"/>
    <w:rsid w:val="5D656D7E"/>
    <w:rsid w:val="5DCE0C96"/>
    <w:rsid w:val="5DE454AE"/>
    <w:rsid w:val="5DEC70B2"/>
    <w:rsid w:val="5E1F095F"/>
    <w:rsid w:val="5E482C04"/>
    <w:rsid w:val="5E5D637B"/>
    <w:rsid w:val="5EC735B0"/>
    <w:rsid w:val="5F0F193D"/>
    <w:rsid w:val="5F2B6724"/>
    <w:rsid w:val="60C055B7"/>
    <w:rsid w:val="612D4EDB"/>
    <w:rsid w:val="61F20913"/>
    <w:rsid w:val="624B0B8B"/>
    <w:rsid w:val="62923B3C"/>
    <w:rsid w:val="62C32DEC"/>
    <w:rsid w:val="630D66DA"/>
    <w:rsid w:val="639F4202"/>
    <w:rsid w:val="63B0031B"/>
    <w:rsid w:val="640D5FD9"/>
    <w:rsid w:val="641E0B92"/>
    <w:rsid w:val="642C6292"/>
    <w:rsid w:val="643B0B1A"/>
    <w:rsid w:val="645E3C0F"/>
    <w:rsid w:val="647D1024"/>
    <w:rsid w:val="649324AE"/>
    <w:rsid w:val="64B66725"/>
    <w:rsid w:val="64C074E1"/>
    <w:rsid w:val="65025750"/>
    <w:rsid w:val="65191B9C"/>
    <w:rsid w:val="653021A9"/>
    <w:rsid w:val="65EB60C2"/>
    <w:rsid w:val="66022946"/>
    <w:rsid w:val="66A877C4"/>
    <w:rsid w:val="67303E4C"/>
    <w:rsid w:val="67347CE6"/>
    <w:rsid w:val="675A5E15"/>
    <w:rsid w:val="677549A9"/>
    <w:rsid w:val="67F2708D"/>
    <w:rsid w:val="68030691"/>
    <w:rsid w:val="689E76A5"/>
    <w:rsid w:val="68DB1AF2"/>
    <w:rsid w:val="68E0427F"/>
    <w:rsid w:val="68EA3783"/>
    <w:rsid w:val="68F75735"/>
    <w:rsid w:val="694757F4"/>
    <w:rsid w:val="6B3B48D5"/>
    <w:rsid w:val="6BBF4B8D"/>
    <w:rsid w:val="6C630660"/>
    <w:rsid w:val="6C6E6460"/>
    <w:rsid w:val="6C8079FA"/>
    <w:rsid w:val="6C9165DC"/>
    <w:rsid w:val="6C9331C1"/>
    <w:rsid w:val="6D2E13D1"/>
    <w:rsid w:val="6D3264BE"/>
    <w:rsid w:val="6D6D6826"/>
    <w:rsid w:val="6D9E11D0"/>
    <w:rsid w:val="6DCC19D2"/>
    <w:rsid w:val="6E224140"/>
    <w:rsid w:val="6E2E58DF"/>
    <w:rsid w:val="6E987E4E"/>
    <w:rsid w:val="6EE044A0"/>
    <w:rsid w:val="6F0F7BD0"/>
    <w:rsid w:val="6F1D59CD"/>
    <w:rsid w:val="6FE61A56"/>
    <w:rsid w:val="704C412C"/>
    <w:rsid w:val="70AD1C74"/>
    <w:rsid w:val="70F058CE"/>
    <w:rsid w:val="711C4732"/>
    <w:rsid w:val="72696BF8"/>
    <w:rsid w:val="734F28D5"/>
    <w:rsid w:val="734F3820"/>
    <w:rsid w:val="73F11B0B"/>
    <w:rsid w:val="7455119F"/>
    <w:rsid w:val="749B7B08"/>
    <w:rsid w:val="74B015AB"/>
    <w:rsid w:val="74BF00CF"/>
    <w:rsid w:val="74CF5344"/>
    <w:rsid w:val="75786376"/>
    <w:rsid w:val="75F34010"/>
    <w:rsid w:val="765D45B4"/>
    <w:rsid w:val="76735213"/>
    <w:rsid w:val="772B072A"/>
    <w:rsid w:val="778F1D5A"/>
    <w:rsid w:val="7836349E"/>
    <w:rsid w:val="78A55F95"/>
    <w:rsid w:val="794F5B82"/>
    <w:rsid w:val="79E234DF"/>
    <w:rsid w:val="7A0966D2"/>
    <w:rsid w:val="7A0F2FD7"/>
    <w:rsid w:val="7A1B3CD1"/>
    <w:rsid w:val="7A5B19C4"/>
    <w:rsid w:val="7A702BF0"/>
    <w:rsid w:val="7B091C7D"/>
    <w:rsid w:val="7B877F0B"/>
    <w:rsid w:val="7C511C26"/>
    <w:rsid w:val="7CA00AC6"/>
    <w:rsid w:val="7CEF5D73"/>
    <w:rsid w:val="7D00680F"/>
    <w:rsid w:val="7DED6266"/>
    <w:rsid w:val="7E1953C1"/>
    <w:rsid w:val="7E226C0D"/>
    <w:rsid w:val="7E294730"/>
    <w:rsid w:val="7E3B45BE"/>
    <w:rsid w:val="7EC4324E"/>
    <w:rsid w:val="7EF36598"/>
    <w:rsid w:val="7F811079"/>
    <w:rsid w:val="7F953939"/>
    <w:rsid w:val="7FD064E0"/>
    <w:rsid w:val="7FD323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after="0"/>
      <w:ind w:left="0" w:leftChars="0" w:firstLine="420" w:firstLineChars="200"/>
    </w:pPr>
    <w:rPr>
      <w:rFonts w:eastAsia="仿宋_GB2312"/>
      <w:sz w:val="32"/>
      <w:szCs w:val="32"/>
    </w:rPr>
  </w:style>
  <w:style w:type="paragraph" w:styleId="3">
    <w:name w:val="Body Text Indent"/>
    <w:basedOn w:val="1"/>
    <w:unhideWhenUsed/>
    <w:qFormat/>
    <w:uiPriority w:val="99"/>
    <w:pPr>
      <w:spacing w:after="120"/>
      <w:ind w:left="420" w:leftChars="200"/>
    </w:pPr>
  </w:style>
  <w:style w:type="paragraph" w:styleId="6">
    <w:name w:val="List Paragraph"/>
    <w:basedOn w:val="1"/>
    <w:qFormat/>
    <w:uiPriority w:val="99"/>
    <w:pPr>
      <w:ind w:firstLine="420" w:firstLineChars="200"/>
    </w:pPr>
    <w:rPr>
      <w:rFonts w:ascii="Calibri" w:hAnsi="Calibri" w:eastAsia="宋体" w:cs="Times New Roman"/>
      <w:szCs w:val="22"/>
    </w:rPr>
  </w:style>
  <w:style w:type="paragraph" w:customStyle="1" w:styleId="7">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2401</Words>
  <Characters>2498</Characters>
  <Lines>0</Lines>
  <Paragraphs>0</Paragraphs>
  <TotalTime>7</TotalTime>
  <ScaleCrop>false</ScaleCrop>
  <LinksUpToDate>false</LinksUpToDate>
  <CharactersWithSpaces>2505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2021-03-23T07:16:00Z</dcterms:created>
  <dc:creator>Administrator.BF-20190731HTSG</dc:creator>
  <cp:lastModifiedBy>宗</cp:lastModifiedBy>
  <dcterms:modified xsi:type="dcterms:W3CDTF">2025-12-04T01:50:27Z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89251CC75C94423BA1E0DB9B2DD53FBA_13</vt:lpwstr>
  </property>
  <property fmtid="{D5CDD505-2E9C-101B-9397-08002B2CF9AE}" pid="4" name="KSOTemplateDocerSaveRecord">
    <vt:lpwstr>eyJoZGlkIjoiMTdlNzdmYmU0NmYwZjFkMThjYjNiYzgwYjhkYmE5MTUiLCJ1c2VySWQiOiIxNDI3OTU5OTA3In0=</vt:lpwstr>
  </property>
</Properties>
</file>