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E3F8">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年度部门（单位）</w:t>
      </w:r>
      <w:r>
        <w:rPr>
          <w:rFonts w:hint="eastAsia" w:eastAsia="方正小标宋_GBK"/>
          <w:sz w:val="48"/>
          <w:szCs w:val="48"/>
          <w:lang w:eastAsia="zh-CN"/>
        </w:rPr>
        <w:t>整体</w:t>
      </w:r>
      <w:r>
        <w:rPr>
          <w:rFonts w:eastAsia="方正小标宋_GBK"/>
          <w:sz w:val="48"/>
          <w:szCs w:val="48"/>
        </w:rPr>
        <w:t>支出</w:t>
      </w:r>
    </w:p>
    <w:p w14:paraId="5F560BF7">
      <w:pPr>
        <w:jc w:val="center"/>
        <w:rPr>
          <w:rFonts w:eastAsia="方正小标宋_GBK"/>
          <w:sz w:val="48"/>
          <w:szCs w:val="48"/>
        </w:rPr>
      </w:pPr>
      <w:r>
        <w:rPr>
          <w:rFonts w:eastAsia="方正小标宋_GBK"/>
          <w:sz w:val="48"/>
          <w:szCs w:val="48"/>
        </w:rPr>
        <w:t>绩效自评报告</w:t>
      </w:r>
    </w:p>
    <w:p w14:paraId="5F9D8ABA">
      <w:pPr>
        <w:jc w:val="center"/>
        <w:rPr>
          <w:rFonts w:eastAsia="黑体"/>
          <w:sz w:val="32"/>
          <w:szCs w:val="32"/>
        </w:rPr>
      </w:pPr>
    </w:p>
    <w:p w14:paraId="2FFE2A7C">
      <w:pPr>
        <w:jc w:val="center"/>
        <w:rPr>
          <w:rFonts w:eastAsia="黑体"/>
          <w:sz w:val="32"/>
          <w:szCs w:val="32"/>
        </w:rPr>
      </w:pPr>
    </w:p>
    <w:p w14:paraId="2ACE959F">
      <w:pPr>
        <w:jc w:val="center"/>
        <w:rPr>
          <w:rFonts w:eastAsia="黑体"/>
          <w:sz w:val="32"/>
          <w:szCs w:val="32"/>
        </w:rPr>
      </w:pPr>
    </w:p>
    <w:p w14:paraId="136C92E2">
      <w:pPr>
        <w:jc w:val="center"/>
        <w:rPr>
          <w:rFonts w:eastAsia="黑体"/>
          <w:sz w:val="32"/>
          <w:szCs w:val="32"/>
        </w:rPr>
      </w:pPr>
    </w:p>
    <w:p w14:paraId="36A76EDB">
      <w:pPr>
        <w:jc w:val="center"/>
        <w:rPr>
          <w:rFonts w:eastAsia="黑体"/>
          <w:sz w:val="32"/>
          <w:szCs w:val="32"/>
        </w:rPr>
      </w:pPr>
    </w:p>
    <w:p w14:paraId="3ED19A89">
      <w:pPr>
        <w:jc w:val="center"/>
        <w:rPr>
          <w:rFonts w:eastAsia="黑体"/>
          <w:sz w:val="32"/>
          <w:szCs w:val="32"/>
        </w:rPr>
      </w:pPr>
    </w:p>
    <w:p w14:paraId="6DB8C699">
      <w:pPr>
        <w:ind w:firstLine="880" w:firstLineChars="200"/>
        <w:jc w:val="center"/>
        <w:rPr>
          <w:rFonts w:eastAsia="黑体"/>
          <w:sz w:val="44"/>
          <w:szCs w:val="44"/>
        </w:rPr>
      </w:pPr>
    </w:p>
    <w:p w14:paraId="73328BF9">
      <w:pPr>
        <w:ind w:firstLine="880" w:firstLineChars="200"/>
        <w:jc w:val="center"/>
        <w:rPr>
          <w:rFonts w:eastAsia="黑体"/>
          <w:sz w:val="44"/>
          <w:szCs w:val="44"/>
        </w:rPr>
      </w:pPr>
    </w:p>
    <w:p w14:paraId="747A8BEB">
      <w:pPr>
        <w:ind w:firstLine="880" w:firstLineChars="200"/>
        <w:jc w:val="center"/>
        <w:rPr>
          <w:rFonts w:eastAsia="黑体"/>
          <w:sz w:val="44"/>
          <w:szCs w:val="44"/>
        </w:rPr>
      </w:pPr>
    </w:p>
    <w:p w14:paraId="5B539270">
      <w:pPr>
        <w:ind w:firstLine="720" w:firstLineChars="200"/>
        <w:jc w:val="center"/>
        <w:rPr>
          <w:rFonts w:hint="default" w:eastAsia="仿宋_GB2312"/>
          <w:sz w:val="36"/>
          <w:szCs w:val="36"/>
          <w:lang w:val="en-US" w:eastAsia="zh-CN"/>
        </w:rPr>
      </w:pPr>
      <w:r>
        <w:rPr>
          <w:rFonts w:eastAsia="黑体"/>
          <w:sz w:val="36"/>
          <w:szCs w:val="36"/>
        </w:rPr>
        <w:t>单位名称（盖章）</w:t>
      </w:r>
      <w:r>
        <w:rPr>
          <w:rFonts w:eastAsia="黑体"/>
          <w:sz w:val="36"/>
          <w:szCs w:val="36"/>
          <w:u w:val="none"/>
        </w:rPr>
        <w:t>：</w:t>
      </w:r>
      <w:r>
        <w:rPr>
          <w:rFonts w:hint="eastAsia" w:eastAsia="黑体"/>
          <w:sz w:val="36"/>
          <w:szCs w:val="36"/>
          <w:u w:val="single"/>
          <w:lang w:val="en-US" w:eastAsia="zh-CN"/>
        </w:rPr>
        <w:t xml:space="preserve"> </w:t>
      </w:r>
      <w:r>
        <w:rPr>
          <w:rFonts w:hint="eastAsia" w:ascii="仿宋_GB2312" w:eastAsia="仿宋_GB2312"/>
          <w:sz w:val="32"/>
          <w:szCs w:val="32"/>
          <w:u w:val="single"/>
        </w:rPr>
        <w:t>株洲市芦淞区</w:t>
      </w:r>
      <w:r>
        <w:rPr>
          <w:rFonts w:hint="eastAsia" w:ascii="仿宋_GB2312" w:eastAsia="仿宋_GB2312"/>
          <w:sz w:val="32"/>
          <w:szCs w:val="32"/>
          <w:u w:val="single"/>
          <w:lang w:eastAsia="zh-CN"/>
        </w:rPr>
        <w:t>机关事务服务中心</w:t>
      </w:r>
      <w:r>
        <w:rPr>
          <w:rFonts w:hint="eastAsia" w:ascii="仿宋_GB2312" w:eastAsia="仿宋_GB2312"/>
          <w:sz w:val="32"/>
          <w:szCs w:val="32"/>
          <w:u w:val="none"/>
          <w:lang w:val="en-US" w:eastAsia="zh-CN"/>
        </w:rPr>
        <w:t xml:space="preserve"> </w:t>
      </w:r>
      <w:r>
        <w:rPr>
          <w:rFonts w:hint="eastAsia" w:ascii="仿宋_GB2312" w:eastAsia="仿宋_GB2312"/>
          <w:sz w:val="32"/>
          <w:szCs w:val="32"/>
          <w:u w:val="single"/>
          <w:lang w:val="en-US" w:eastAsia="zh-CN"/>
        </w:rPr>
        <w:t xml:space="preserve">       </w:t>
      </w:r>
    </w:p>
    <w:p w14:paraId="5D60F3E9">
      <w:pPr>
        <w:jc w:val="center"/>
        <w:rPr>
          <w:rFonts w:eastAsia="黑体"/>
          <w:sz w:val="36"/>
          <w:szCs w:val="36"/>
        </w:rPr>
      </w:pPr>
    </w:p>
    <w:p w14:paraId="1477B2A4">
      <w:pPr>
        <w:jc w:val="center"/>
        <w:rPr>
          <w:rFonts w:eastAsia="黑体"/>
          <w:sz w:val="32"/>
          <w:szCs w:val="32"/>
        </w:rPr>
      </w:pPr>
    </w:p>
    <w:p w14:paraId="641D4F2F">
      <w:pPr>
        <w:jc w:val="center"/>
        <w:rPr>
          <w:rFonts w:eastAsia="黑体"/>
          <w:sz w:val="32"/>
          <w:szCs w:val="32"/>
        </w:rPr>
      </w:pPr>
    </w:p>
    <w:p w14:paraId="030E8EE7">
      <w:pPr>
        <w:jc w:val="center"/>
        <w:rPr>
          <w:rFonts w:eastAsia="黑体"/>
          <w:sz w:val="32"/>
          <w:szCs w:val="32"/>
        </w:rPr>
      </w:pPr>
    </w:p>
    <w:p w14:paraId="4C42CAFD">
      <w:pPr>
        <w:jc w:val="center"/>
        <w:rPr>
          <w:rFonts w:eastAsia="黑体"/>
          <w:sz w:val="32"/>
          <w:szCs w:val="32"/>
        </w:rPr>
      </w:pPr>
    </w:p>
    <w:p w14:paraId="0EA8E334">
      <w:pPr>
        <w:jc w:val="center"/>
        <w:rPr>
          <w:rFonts w:eastAsia="黑体"/>
          <w:sz w:val="32"/>
          <w:szCs w:val="32"/>
        </w:rPr>
      </w:pPr>
    </w:p>
    <w:p w14:paraId="224D6560">
      <w:pPr>
        <w:jc w:val="center"/>
        <w:rPr>
          <w:rFonts w:eastAsia="黑体"/>
          <w:sz w:val="32"/>
          <w:szCs w:val="32"/>
        </w:rPr>
      </w:pPr>
    </w:p>
    <w:p w14:paraId="06075FC3">
      <w:pPr>
        <w:jc w:val="center"/>
        <w:rPr>
          <w:rFonts w:eastAsia="仿宋_GB2312"/>
          <w:sz w:val="32"/>
          <w:szCs w:val="32"/>
        </w:rPr>
      </w:pPr>
    </w:p>
    <w:p w14:paraId="50570D44">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16384069">
      <w:pPr>
        <w:numPr>
          <w:ilvl w:val="0"/>
          <w:numId w:val="1"/>
        </w:numPr>
        <w:spacing w:line="600" w:lineRule="exact"/>
        <w:ind w:firstLine="643" w:firstLineChars="200"/>
        <w:rPr>
          <w:rFonts w:eastAsia="楷体_GB2312"/>
          <w:b/>
          <w:sz w:val="32"/>
          <w:szCs w:val="32"/>
        </w:rPr>
      </w:pPr>
      <w:r>
        <w:rPr>
          <w:rFonts w:eastAsia="楷体_GB2312"/>
          <w:b/>
          <w:sz w:val="32"/>
          <w:szCs w:val="32"/>
        </w:rPr>
        <w:t>部门（单位）基本情况</w:t>
      </w:r>
    </w:p>
    <w:p w14:paraId="53E35BA6">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eastAsia="仿宋"/>
          <w:color w:val="auto"/>
          <w:sz w:val="32"/>
          <w:szCs w:val="32"/>
          <w:lang w:val="en-US" w:eastAsia="zh-CN"/>
        </w:rPr>
        <w:t>1.机构情况。</w:t>
      </w:r>
      <w:r>
        <w:rPr>
          <w:rFonts w:hint="eastAsia" w:ascii="Times New Roman" w:hAnsi="Times New Roman" w:eastAsia="仿宋_GB2312" w:cs="Times New Roman"/>
          <w:kern w:val="2"/>
          <w:sz w:val="32"/>
          <w:szCs w:val="32"/>
          <w:lang w:val="en-US" w:eastAsia="zh-CN" w:bidi="ar-SA"/>
        </w:rPr>
        <w:t>株洲市芦淞区机关事务服务中心系区政府直属正科级事业单位，属区一级预算单位（没有其他二级预算单位），为全额拨款单位。</w:t>
      </w:r>
      <w:r>
        <w:rPr>
          <w:rFonts w:hint="eastAsia" w:ascii="Times New Roman" w:hAnsi="Times New Roman" w:eastAsia="仿宋_GB2312" w:cs="Times New Roman"/>
          <w:bCs/>
          <w:color w:val="000000"/>
          <w:sz w:val="32"/>
          <w:szCs w:val="32"/>
        </w:rPr>
        <w:t>内设科室</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bCs/>
          <w:color w:val="000000"/>
          <w:sz w:val="32"/>
          <w:szCs w:val="32"/>
        </w:rPr>
        <w:t>个，分别是：</w:t>
      </w:r>
      <w:r>
        <w:rPr>
          <w:rFonts w:hint="eastAsia" w:ascii="Times New Roman" w:hAnsi="Times New Roman" w:eastAsia="仿宋_GB2312" w:cs="Times New Roman"/>
          <w:color w:val="000000"/>
          <w:sz w:val="32"/>
          <w:szCs w:val="32"/>
          <w:lang w:val="en-US" w:eastAsia="zh-CN"/>
        </w:rPr>
        <w:t>办公室、物业管理股、项目建设管理股、公车平台管理股、财务室</w:t>
      </w:r>
      <w:r>
        <w:rPr>
          <w:rFonts w:hint="eastAsia" w:ascii="Times New Roman" w:hAnsi="Times New Roman" w:eastAsia="仿宋_GB2312" w:cs="Times New Roman"/>
          <w:bCs/>
          <w:color w:val="000000"/>
          <w:sz w:val="32"/>
          <w:szCs w:val="32"/>
        </w:rPr>
        <w:t>。</w:t>
      </w:r>
    </w:p>
    <w:p w14:paraId="5EFD7500">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eastAsia="仿宋"/>
          <w:color w:val="auto"/>
          <w:sz w:val="32"/>
          <w:szCs w:val="32"/>
          <w:lang w:val="en-US" w:eastAsia="zh-CN"/>
        </w:rPr>
        <w:t>2.人员情况。</w:t>
      </w:r>
      <w:r>
        <w:rPr>
          <w:rFonts w:ascii="Times New Roman" w:hAnsi="Times New Roman" w:eastAsia="仿宋_GB2312" w:cs="Times New Roman"/>
          <w:kern w:val="2"/>
          <w:sz w:val="32"/>
          <w:szCs w:val="32"/>
          <w:lang w:val="en-US" w:eastAsia="zh-CN" w:bidi="ar-SA"/>
        </w:rPr>
        <w:t>截止</w:t>
      </w:r>
      <w:r>
        <w:rPr>
          <w:rFonts w:hint="eastAsia" w:ascii="Times New Roman" w:hAnsi="Times New Roman" w:eastAsia="仿宋_GB2312" w:cs="Times New Roman"/>
          <w:kern w:val="2"/>
          <w:sz w:val="32"/>
          <w:szCs w:val="32"/>
          <w:lang w:val="en-US" w:eastAsia="zh-CN" w:bidi="ar-SA"/>
        </w:rPr>
        <w:t>2024年12月31日，</w:t>
      </w:r>
      <w:r>
        <w:rPr>
          <w:rFonts w:ascii="Times New Roman" w:hAnsi="Times New Roman" w:eastAsia="仿宋_GB2312" w:cs="Times New Roman"/>
          <w:kern w:val="2"/>
          <w:sz w:val="32"/>
          <w:szCs w:val="32"/>
          <w:lang w:val="en-US" w:eastAsia="zh-CN" w:bidi="ar-SA"/>
        </w:rPr>
        <w:t>部门共有人员</w:t>
      </w:r>
      <w:r>
        <w:rPr>
          <w:rFonts w:hint="eastAsia" w:ascii="Times New Roman" w:hAnsi="Times New Roman" w:eastAsia="仿宋_GB2312" w:cs="Times New Roman"/>
          <w:kern w:val="2"/>
          <w:sz w:val="32"/>
          <w:szCs w:val="32"/>
          <w:lang w:val="en-US" w:eastAsia="zh-CN" w:bidi="ar-SA"/>
        </w:rPr>
        <w:t>3</w:t>
      </w:r>
      <w:r>
        <w:rPr>
          <w:rFonts w:hint="eastAsia" w:eastAsia="仿宋_GB2312" w:cs="Times New Roman"/>
          <w:kern w:val="2"/>
          <w:sz w:val="32"/>
          <w:szCs w:val="32"/>
          <w:lang w:val="en-US" w:eastAsia="zh-CN" w:bidi="ar-SA"/>
        </w:rPr>
        <w:t>7</w:t>
      </w:r>
      <w:r>
        <w:rPr>
          <w:rFonts w:ascii="Times New Roman" w:hAnsi="Times New Roman" w:eastAsia="仿宋_GB2312" w:cs="Times New Roman"/>
          <w:kern w:val="2"/>
          <w:sz w:val="32"/>
          <w:szCs w:val="32"/>
          <w:lang w:val="en-US" w:eastAsia="zh-CN" w:bidi="ar-SA"/>
        </w:rPr>
        <w:t>人</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其中在职人员</w:t>
      </w:r>
      <w:r>
        <w:rPr>
          <w:rFonts w:hint="eastAsia"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6</w:t>
      </w:r>
      <w:r>
        <w:rPr>
          <w:rFonts w:ascii="Times New Roman" w:hAnsi="Times New Roman" w:eastAsia="仿宋_GB2312" w:cs="Times New Roman"/>
          <w:kern w:val="2"/>
          <w:sz w:val="32"/>
          <w:szCs w:val="32"/>
          <w:lang w:val="en-US" w:eastAsia="zh-CN" w:bidi="ar-SA"/>
        </w:rPr>
        <w:t>人，退休人员</w:t>
      </w:r>
      <w:r>
        <w:rPr>
          <w:rFonts w:hint="eastAsia" w:ascii="Times New Roman" w:hAnsi="Times New Roman" w:eastAsia="仿宋_GB2312" w:cs="Times New Roman"/>
          <w:kern w:val="2"/>
          <w:sz w:val="32"/>
          <w:szCs w:val="32"/>
          <w:lang w:val="en-US" w:eastAsia="zh-CN" w:bidi="ar-SA"/>
        </w:rPr>
        <w:t>2</w:t>
      </w:r>
      <w:r>
        <w:rPr>
          <w:rFonts w:hint="eastAsia" w:eastAsia="仿宋_GB2312" w:cs="Times New Roman"/>
          <w:kern w:val="2"/>
          <w:sz w:val="32"/>
          <w:szCs w:val="32"/>
          <w:lang w:val="en-US" w:eastAsia="zh-CN" w:bidi="ar-SA"/>
        </w:rPr>
        <w:t>1</w:t>
      </w:r>
      <w:r>
        <w:rPr>
          <w:rFonts w:ascii="Times New Roman" w:hAnsi="Times New Roman" w:eastAsia="仿宋_GB2312" w:cs="Times New Roman"/>
          <w:kern w:val="2"/>
          <w:sz w:val="32"/>
          <w:szCs w:val="32"/>
          <w:lang w:val="en-US" w:eastAsia="zh-CN" w:bidi="ar-SA"/>
        </w:rPr>
        <w:t>人。</w:t>
      </w:r>
    </w:p>
    <w:p w14:paraId="333DE039">
      <w:pPr>
        <w:spacing w:line="580" w:lineRule="exact"/>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3.主要职能:</w:t>
      </w:r>
      <w:bookmarkStart w:id="0" w:name="_GoBack"/>
      <w:bookmarkEnd w:id="0"/>
    </w:p>
    <w:p w14:paraId="620AB99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根据党和国家的方针政策，结合区直机关的实际情况，研究制定机关事务后勤改革的总体规划、实施方案和规章制度，并组织实施。</w:t>
      </w:r>
    </w:p>
    <w:p w14:paraId="284AAC18">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负责区委、区人大、区政府、区政协重要会议的统一管理及有关会务工作。</w:t>
      </w:r>
    </w:p>
    <w:p w14:paraId="12FBB779">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负责市外厅级以上领导（四大家）的公务接待工作。</w:t>
      </w:r>
    </w:p>
    <w:p w14:paraId="48CF26A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负责区机关大院卫生、绿化、消防、安全保卫等工作。</w:t>
      </w:r>
    </w:p>
    <w:p w14:paraId="7CDCEAD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负责区机关大院内各种机电设施设备的维护保养工作，保障院内水、电、气正常供给。</w:t>
      </w:r>
    </w:p>
    <w:p w14:paraId="375A0D5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负责区机关大院、老院、西院的办公用房及其他资产管理，负责三个院子基础设施设备的维修改造。</w:t>
      </w:r>
    </w:p>
    <w:p w14:paraId="08CB9246">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负责区机关大院内办公用房的调整及办公家具采购工作。</w:t>
      </w:r>
    </w:p>
    <w:p w14:paraId="585BAEEE">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负责区机关大院、老院、西院的物业管理工作。</w:t>
      </w:r>
    </w:p>
    <w:p w14:paraId="7A9297A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负责区政府机关食堂管理、文印室管理工作。</w:t>
      </w:r>
    </w:p>
    <w:p w14:paraId="07CE26C9">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负责公务用车平台管理工作。</w:t>
      </w:r>
    </w:p>
    <w:p w14:paraId="34EA1DE4">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完成区委、区政府交办的其他任务。</w:t>
      </w:r>
    </w:p>
    <w:p w14:paraId="19FD8678">
      <w:pPr>
        <w:spacing w:line="600" w:lineRule="exact"/>
        <w:ind w:firstLine="643" w:firstLineChars="200"/>
        <w:rPr>
          <w:rFonts w:eastAsia="楷体_GB2312"/>
          <w:b/>
          <w:sz w:val="32"/>
          <w:szCs w:val="32"/>
        </w:rPr>
      </w:pPr>
      <w:r>
        <w:rPr>
          <w:rFonts w:eastAsia="楷体_GB2312"/>
          <w:b/>
          <w:sz w:val="32"/>
          <w:szCs w:val="32"/>
        </w:rPr>
        <w:t>（二）部门（单位）年度</w:t>
      </w:r>
      <w:r>
        <w:rPr>
          <w:rFonts w:hint="eastAsia" w:eastAsia="楷体_GB2312"/>
          <w:b/>
          <w:sz w:val="32"/>
          <w:szCs w:val="32"/>
          <w:lang w:eastAsia="zh-CN"/>
        </w:rPr>
        <w:t>各项</w:t>
      </w:r>
      <w:r>
        <w:rPr>
          <w:rFonts w:eastAsia="楷体_GB2312"/>
          <w:b/>
          <w:sz w:val="32"/>
          <w:szCs w:val="32"/>
        </w:rPr>
        <w:t>绩效目标</w:t>
      </w:r>
    </w:p>
    <w:p w14:paraId="5C70284F">
      <w:pPr>
        <w:pStyle w:val="6"/>
        <w:spacing w:line="600" w:lineRule="exact"/>
        <w:ind w:firstLine="643"/>
        <w:rPr>
          <w:rFonts w:hint="eastAsia" w:eastAsia="仿宋"/>
          <w:color w:val="auto"/>
          <w:sz w:val="32"/>
          <w:szCs w:val="32"/>
          <w:lang w:eastAsia="zh-CN"/>
        </w:rPr>
      </w:pPr>
      <w:r>
        <w:rPr>
          <w:rFonts w:hint="eastAsia" w:eastAsia="仿宋"/>
          <w:color w:val="auto"/>
          <w:sz w:val="32"/>
          <w:szCs w:val="32"/>
          <w:lang w:val="en-US" w:eastAsia="zh-CN"/>
        </w:rPr>
        <w:t>1、2024年度</w:t>
      </w:r>
      <w:r>
        <w:rPr>
          <w:rFonts w:hint="eastAsia" w:eastAsia="仿宋"/>
          <w:color w:val="auto"/>
          <w:sz w:val="32"/>
          <w:szCs w:val="32"/>
          <w:lang w:eastAsia="zh-CN"/>
        </w:rPr>
        <w:t>整体支出绩效目标</w:t>
      </w:r>
    </w:p>
    <w:p w14:paraId="460362FA">
      <w:pPr>
        <w:pStyle w:val="6"/>
        <w:numPr>
          <w:ilvl w:val="0"/>
          <w:numId w:val="2"/>
        </w:numPr>
        <w:spacing w:line="600" w:lineRule="exact"/>
        <w:ind w:firstLine="643"/>
        <w:rPr>
          <w:rFonts w:hint="eastAsia" w:eastAsia="仿宋"/>
          <w:color w:val="auto"/>
          <w:sz w:val="32"/>
          <w:szCs w:val="32"/>
          <w:lang w:eastAsia="zh-CN"/>
        </w:rPr>
      </w:pPr>
      <w:r>
        <w:rPr>
          <w:rFonts w:hint="eastAsia" w:eastAsia="仿宋"/>
          <w:color w:val="auto"/>
          <w:sz w:val="32"/>
          <w:szCs w:val="32"/>
          <w:lang w:eastAsia="zh-CN"/>
        </w:rPr>
        <w:t>确保机关新院、老院、西院及武装部院子的正常运转</w:t>
      </w:r>
    </w:p>
    <w:p w14:paraId="10ADF9FD">
      <w:pPr>
        <w:pStyle w:val="6"/>
        <w:numPr>
          <w:ilvl w:val="0"/>
          <w:numId w:val="2"/>
        </w:numPr>
        <w:spacing w:line="600" w:lineRule="exact"/>
        <w:ind w:firstLine="643"/>
        <w:rPr>
          <w:rFonts w:hint="eastAsia" w:eastAsia="仿宋"/>
          <w:color w:val="auto"/>
          <w:sz w:val="32"/>
          <w:szCs w:val="32"/>
          <w:lang w:eastAsia="zh-CN"/>
        </w:rPr>
      </w:pPr>
      <w:r>
        <w:rPr>
          <w:rFonts w:hint="eastAsia" w:eastAsia="仿宋"/>
          <w:color w:val="auto"/>
          <w:sz w:val="32"/>
          <w:szCs w:val="32"/>
          <w:lang w:eastAsia="zh-CN"/>
        </w:rPr>
        <w:t>确保区内公务用车正常运转</w:t>
      </w:r>
    </w:p>
    <w:p w14:paraId="6EA9957E">
      <w:pPr>
        <w:pStyle w:val="6"/>
        <w:numPr>
          <w:ilvl w:val="0"/>
          <w:numId w:val="2"/>
        </w:numPr>
        <w:spacing w:line="600" w:lineRule="exact"/>
        <w:ind w:left="0" w:leftChars="0" w:firstLine="640" w:firstLineChars="200"/>
        <w:rPr>
          <w:rFonts w:hint="eastAsia" w:eastAsia="仿宋"/>
          <w:color w:val="auto"/>
          <w:sz w:val="32"/>
          <w:szCs w:val="32"/>
          <w:lang w:eastAsia="zh-CN"/>
        </w:rPr>
      </w:pPr>
      <w:r>
        <w:rPr>
          <w:rFonts w:hint="eastAsia" w:eastAsia="仿宋"/>
          <w:color w:val="auto"/>
          <w:sz w:val="32"/>
          <w:szCs w:val="32"/>
          <w:lang w:eastAsia="zh-CN"/>
        </w:rPr>
        <w:t>确保公务接待工作保质合标的完成</w:t>
      </w:r>
    </w:p>
    <w:p w14:paraId="6758976B">
      <w:pPr>
        <w:pStyle w:val="6"/>
        <w:numPr>
          <w:ilvl w:val="0"/>
          <w:numId w:val="2"/>
        </w:numPr>
        <w:spacing w:line="600" w:lineRule="exact"/>
        <w:ind w:left="0" w:leftChars="0" w:firstLine="640" w:firstLineChars="200"/>
        <w:rPr>
          <w:rFonts w:hint="eastAsia" w:eastAsia="仿宋"/>
          <w:color w:val="auto"/>
          <w:sz w:val="32"/>
          <w:szCs w:val="32"/>
          <w:lang w:eastAsia="zh-CN"/>
        </w:rPr>
      </w:pPr>
      <w:r>
        <w:rPr>
          <w:rFonts w:hint="eastAsia" w:eastAsia="仿宋"/>
          <w:color w:val="auto"/>
          <w:sz w:val="32"/>
          <w:szCs w:val="32"/>
          <w:lang w:eastAsia="zh-CN"/>
        </w:rPr>
        <w:t>确保文印任务保质保量完成</w:t>
      </w:r>
    </w:p>
    <w:p w14:paraId="39680987">
      <w:pPr>
        <w:pStyle w:val="6"/>
        <w:spacing w:line="600" w:lineRule="exact"/>
        <w:ind w:firstLine="643"/>
        <w:rPr>
          <w:rFonts w:hint="eastAsia" w:eastAsia="仿宋"/>
          <w:color w:val="auto"/>
          <w:sz w:val="32"/>
          <w:szCs w:val="32"/>
          <w:lang w:val="en-US" w:eastAsia="zh-CN"/>
        </w:rPr>
      </w:pPr>
      <w:r>
        <w:rPr>
          <w:rFonts w:hint="eastAsia" w:eastAsia="仿宋"/>
          <w:color w:val="auto"/>
          <w:sz w:val="32"/>
          <w:szCs w:val="32"/>
          <w:lang w:val="en-US" w:eastAsia="zh-CN"/>
        </w:rPr>
        <w:t>2、2024年度部门专项资金绩效目标</w:t>
      </w:r>
    </w:p>
    <w:p w14:paraId="4158554E">
      <w:pPr>
        <w:pStyle w:val="6"/>
        <w:spacing w:line="600" w:lineRule="exact"/>
        <w:ind w:firstLine="643"/>
        <w:rPr>
          <w:rFonts w:hint="eastAsia" w:eastAsia="仿宋"/>
          <w:color w:val="auto"/>
          <w:sz w:val="32"/>
          <w:szCs w:val="32"/>
          <w:lang w:val="en-US" w:eastAsia="zh-CN"/>
        </w:rPr>
      </w:pPr>
      <w:r>
        <w:rPr>
          <w:rFonts w:hint="eastAsia" w:ascii="Times New Roman" w:hAnsi="Times New Roman" w:eastAsia="仿宋_GB2312"/>
          <w:sz w:val="32"/>
          <w:szCs w:val="32"/>
          <w:highlight w:val="none"/>
        </w:rPr>
        <w:t>机关</w:t>
      </w:r>
      <w:r>
        <w:rPr>
          <w:rFonts w:hint="eastAsia" w:ascii="Times New Roman" w:hAnsi="Times New Roman" w:eastAsia="仿宋_GB2312"/>
          <w:color w:val="auto"/>
          <w:sz w:val="32"/>
          <w:szCs w:val="32"/>
          <w:highlight w:val="none"/>
        </w:rPr>
        <w:t>运转</w:t>
      </w:r>
      <w:r>
        <w:rPr>
          <w:rFonts w:hint="eastAsia" w:eastAsia="仿宋"/>
          <w:color w:val="auto"/>
          <w:sz w:val="32"/>
          <w:szCs w:val="32"/>
          <w:lang w:val="en-US" w:eastAsia="zh-CN"/>
        </w:rPr>
        <w:t>、</w:t>
      </w:r>
      <w:r>
        <w:rPr>
          <w:rFonts w:hint="eastAsia" w:ascii="Times New Roman" w:hAnsi="Times New Roman" w:eastAsia="仿宋_GB2312"/>
          <w:color w:val="auto"/>
          <w:sz w:val="32"/>
          <w:szCs w:val="32"/>
          <w:highlight w:val="none"/>
        </w:rPr>
        <w:t>文印中心</w:t>
      </w:r>
      <w:r>
        <w:rPr>
          <w:rFonts w:hint="eastAsia" w:ascii="Times New Roman" w:hAnsi="Times New Roman" w:eastAsia="仿宋" w:cs="Times New Roman"/>
          <w:color w:val="auto"/>
          <w:kern w:val="2"/>
          <w:sz w:val="32"/>
          <w:szCs w:val="32"/>
          <w:lang w:val="en-US" w:eastAsia="zh-CN" w:bidi="ar-SA"/>
        </w:rPr>
        <w:t>、</w:t>
      </w:r>
      <w:r>
        <w:rPr>
          <w:rFonts w:hint="eastAsia" w:ascii="Times New Roman" w:hAnsi="Times New Roman" w:eastAsia="仿宋_GB2312"/>
          <w:color w:val="auto"/>
          <w:sz w:val="32"/>
          <w:szCs w:val="32"/>
          <w:highlight w:val="none"/>
        </w:rPr>
        <w:t>公务用车平台</w:t>
      </w:r>
      <w:r>
        <w:rPr>
          <w:rFonts w:hint="eastAsia" w:ascii="Times New Roman" w:hAnsi="Times New Roman" w:eastAsia="仿宋" w:cs="Times New Roman"/>
          <w:color w:val="auto"/>
          <w:kern w:val="2"/>
          <w:sz w:val="32"/>
          <w:szCs w:val="32"/>
          <w:lang w:val="en-US" w:eastAsia="zh-CN" w:bidi="ar-SA"/>
        </w:rPr>
        <w:t>、</w:t>
      </w:r>
      <w:r>
        <w:rPr>
          <w:rFonts w:hint="eastAsia" w:ascii="Times New Roman" w:hAnsi="Times New Roman" w:eastAsia="仿宋_GB2312"/>
          <w:color w:val="auto"/>
          <w:sz w:val="32"/>
          <w:szCs w:val="32"/>
          <w:highlight w:val="none"/>
          <w:lang w:eastAsia="zh-CN"/>
        </w:rPr>
        <w:t>纪委谈话室</w:t>
      </w:r>
      <w:r>
        <w:rPr>
          <w:rFonts w:hint="eastAsia" w:ascii="Times New Roman" w:hAnsi="Times New Roman" w:eastAsia="仿宋" w:cs="Times New Roman"/>
          <w:color w:val="auto"/>
          <w:kern w:val="2"/>
          <w:sz w:val="32"/>
          <w:szCs w:val="32"/>
          <w:lang w:val="en-US" w:eastAsia="zh-CN" w:bidi="ar-SA"/>
        </w:rPr>
        <w:t>、</w:t>
      </w:r>
      <w:r>
        <w:rPr>
          <w:rFonts w:hint="eastAsia" w:ascii="Times New Roman" w:hAnsi="Times New Roman" w:eastAsia="仿宋_GB2312"/>
          <w:color w:val="auto"/>
          <w:sz w:val="32"/>
          <w:szCs w:val="32"/>
          <w:highlight w:val="none"/>
        </w:rPr>
        <w:t>经济表彰</w:t>
      </w:r>
      <w:r>
        <w:rPr>
          <w:rFonts w:hint="eastAsia" w:ascii="Times New Roman" w:hAnsi="Times New Roman" w:eastAsia="仿宋" w:cs="Times New Roman"/>
          <w:color w:val="auto"/>
          <w:kern w:val="2"/>
          <w:sz w:val="32"/>
          <w:szCs w:val="32"/>
          <w:lang w:val="en-US" w:eastAsia="zh-CN" w:bidi="ar-SA"/>
        </w:rPr>
        <w:t>、</w:t>
      </w:r>
      <w:r>
        <w:rPr>
          <w:rFonts w:hint="eastAsia" w:ascii="Times New Roman" w:hAnsi="Times New Roman" w:eastAsia="仿宋_GB2312"/>
          <w:sz w:val="32"/>
          <w:szCs w:val="32"/>
          <w:highlight w:val="none"/>
        </w:rPr>
        <w:t>新冠肺炎疫情防控</w:t>
      </w:r>
      <w:r>
        <w:rPr>
          <w:rFonts w:hint="eastAsia" w:ascii="Times New Roman" w:hAnsi="Times New Roman" w:eastAsia="仿宋" w:cs="Times New Roman"/>
          <w:color w:val="auto"/>
          <w:kern w:val="2"/>
          <w:sz w:val="32"/>
          <w:szCs w:val="32"/>
          <w:lang w:val="en-US" w:eastAsia="zh-CN" w:bidi="ar-SA"/>
        </w:rPr>
        <w:t>、</w:t>
      </w:r>
      <w:r>
        <w:rPr>
          <w:rFonts w:hint="eastAsia" w:ascii="Times New Roman" w:hAnsi="Times New Roman" w:eastAsia="仿宋_GB2312"/>
          <w:sz w:val="32"/>
          <w:szCs w:val="32"/>
          <w:highlight w:val="none"/>
          <w:lang w:val="en-US" w:eastAsia="zh-CN"/>
        </w:rPr>
        <w:t>党建</w:t>
      </w:r>
      <w:r>
        <w:rPr>
          <w:rFonts w:hint="eastAsia" w:ascii="Times New Roman" w:hAnsi="Times New Roman" w:eastAsia="仿宋_GB2312"/>
          <w:color w:val="auto"/>
          <w:sz w:val="32"/>
          <w:szCs w:val="32"/>
          <w:lang w:val="en-US" w:eastAsia="zh-CN"/>
        </w:rPr>
        <w:t>。</w:t>
      </w:r>
    </w:p>
    <w:p w14:paraId="42125801">
      <w:pPr>
        <w:pStyle w:val="6"/>
        <w:numPr>
          <w:ilvl w:val="0"/>
          <w:numId w:val="3"/>
        </w:numPr>
        <w:spacing w:line="600" w:lineRule="exact"/>
        <w:ind w:firstLine="643"/>
        <w:rPr>
          <w:rFonts w:hint="eastAsia" w:eastAsia="仿宋"/>
          <w:color w:val="auto"/>
          <w:sz w:val="32"/>
          <w:szCs w:val="32"/>
          <w:lang w:val="en-US" w:eastAsia="zh-CN"/>
        </w:rPr>
      </w:pPr>
      <w:r>
        <w:rPr>
          <w:rFonts w:hint="eastAsia" w:eastAsia="仿宋"/>
          <w:color w:val="auto"/>
          <w:sz w:val="32"/>
          <w:szCs w:val="32"/>
          <w:lang w:val="en-US" w:eastAsia="zh-CN"/>
        </w:rPr>
        <w:t>其他项目支出绩效目标</w:t>
      </w:r>
    </w:p>
    <w:p w14:paraId="1F759029">
      <w:pPr>
        <w:pStyle w:val="6"/>
        <w:numPr>
          <w:ilvl w:val="0"/>
          <w:numId w:val="0"/>
        </w:numPr>
        <w:spacing w:line="600" w:lineRule="exact"/>
        <w:rPr>
          <w:rFonts w:hint="default" w:eastAsia="仿宋"/>
          <w:color w:val="auto"/>
          <w:sz w:val="32"/>
          <w:szCs w:val="32"/>
          <w:lang w:val="en-US" w:eastAsia="zh-CN"/>
        </w:rPr>
      </w:pPr>
      <w:r>
        <w:rPr>
          <w:rFonts w:hint="eastAsia" w:eastAsia="仿宋"/>
          <w:color w:val="auto"/>
          <w:sz w:val="32"/>
          <w:szCs w:val="32"/>
          <w:lang w:val="en-US" w:eastAsia="zh-CN"/>
        </w:rPr>
        <w:t xml:space="preserve">    无</w:t>
      </w:r>
    </w:p>
    <w:p w14:paraId="0AB17879">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28CEDB5A">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7D12BF9C">
      <w:pPr>
        <w:pStyle w:val="6"/>
        <w:spacing w:line="600" w:lineRule="exact"/>
        <w:ind w:firstLine="643"/>
        <w:rPr>
          <w:rFonts w:eastAsia="仿宋"/>
          <w:color w:val="000000"/>
          <w:sz w:val="32"/>
          <w:szCs w:val="32"/>
        </w:rPr>
      </w:pPr>
      <w:r>
        <w:rPr>
          <w:rFonts w:hint="eastAsia" w:ascii="Times New Roman" w:hAnsi="Times New Roman" w:eastAsia="楷体_GB2312"/>
          <w:b/>
          <w:sz w:val="32"/>
          <w:szCs w:val="32"/>
          <w:lang w:val="en-US" w:eastAsia="zh-CN"/>
        </w:rPr>
        <w:t>1、</w:t>
      </w:r>
      <w:r>
        <w:rPr>
          <w:rFonts w:hint="eastAsia" w:eastAsia="仿宋"/>
          <w:color w:val="000000"/>
          <w:sz w:val="32"/>
          <w:szCs w:val="32"/>
          <w:lang w:eastAsia="zh-CN"/>
        </w:rPr>
        <w:t>2024</w:t>
      </w:r>
      <w:r>
        <w:rPr>
          <w:rFonts w:eastAsia="仿宋"/>
          <w:color w:val="000000"/>
          <w:sz w:val="32"/>
          <w:szCs w:val="32"/>
        </w:rPr>
        <w:t>年预算资金</w:t>
      </w:r>
      <w:r>
        <w:rPr>
          <w:rFonts w:hint="eastAsia" w:eastAsia="仿宋"/>
          <w:color w:val="000000"/>
          <w:sz w:val="32"/>
          <w:szCs w:val="32"/>
          <w:lang w:val="en-US" w:eastAsia="zh-CN"/>
        </w:rPr>
        <w:t>2,674.56万元。</w:t>
      </w:r>
    </w:p>
    <w:p w14:paraId="629D16DE">
      <w:pPr>
        <w:pStyle w:val="6"/>
        <w:spacing w:line="600" w:lineRule="exact"/>
        <w:ind w:firstLine="643"/>
        <w:rPr>
          <w:rFonts w:hint="default" w:eastAsia="仿宋"/>
          <w:color w:val="auto"/>
          <w:sz w:val="32"/>
          <w:szCs w:val="32"/>
          <w:lang w:val="en-US" w:eastAsia="zh-CN"/>
        </w:rPr>
      </w:pPr>
      <w:r>
        <w:rPr>
          <w:rFonts w:hint="eastAsia" w:eastAsia="仿宋"/>
          <w:color w:val="auto"/>
          <w:sz w:val="32"/>
          <w:szCs w:val="32"/>
          <w:lang w:val="en-US" w:eastAsia="zh-CN"/>
        </w:rPr>
        <w:t>2、2024年度</w:t>
      </w:r>
      <w:r>
        <w:rPr>
          <w:rFonts w:eastAsia="仿宋"/>
          <w:color w:val="auto"/>
          <w:sz w:val="32"/>
          <w:szCs w:val="32"/>
        </w:rPr>
        <w:t>单位</w:t>
      </w:r>
      <w:r>
        <w:rPr>
          <w:rFonts w:hint="eastAsia" w:eastAsia="仿宋"/>
          <w:color w:val="auto"/>
          <w:sz w:val="32"/>
          <w:szCs w:val="32"/>
        </w:rPr>
        <w:t>一般公共预算财政拨款</w:t>
      </w:r>
      <w:r>
        <w:rPr>
          <w:rFonts w:eastAsia="仿宋"/>
          <w:color w:val="auto"/>
          <w:sz w:val="32"/>
          <w:szCs w:val="32"/>
        </w:rPr>
        <w:t>收入</w:t>
      </w:r>
      <w:r>
        <w:rPr>
          <w:rFonts w:hint="eastAsia" w:eastAsia="仿宋"/>
          <w:color w:val="auto"/>
          <w:sz w:val="32"/>
          <w:szCs w:val="32"/>
          <w:lang w:val="en-US" w:eastAsia="zh-CN"/>
        </w:rPr>
        <w:t>2,601.00万元。</w:t>
      </w:r>
    </w:p>
    <w:p w14:paraId="7ED1DCE1">
      <w:pPr>
        <w:spacing w:line="580" w:lineRule="exact"/>
        <w:ind w:firstLine="640" w:firstLineChars="200"/>
        <w:rPr>
          <w:rFonts w:hint="eastAsia" w:eastAsia="仿宋"/>
          <w:color w:val="0000FF"/>
          <w:sz w:val="32"/>
          <w:szCs w:val="32"/>
          <w:lang w:val="en-US" w:eastAsia="zh-CN"/>
        </w:rPr>
      </w:pPr>
      <w:r>
        <w:rPr>
          <w:rFonts w:hint="eastAsia" w:eastAsia="仿宋"/>
          <w:color w:val="auto"/>
          <w:sz w:val="32"/>
          <w:szCs w:val="32"/>
          <w:lang w:val="en-US" w:eastAsia="zh-CN"/>
        </w:rPr>
        <w:t>3、2024年度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w:t>
      </w:r>
      <w:r>
        <w:rPr>
          <w:rFonts w:hint="eastAsia" w:eastAsia="仿宋"/>
          <w:color w:val="auto"/>
          <w:sz w:val="32"/>
          <w:szCs w:val="32"/>
          <w:lang w:val="en-US" w:eastAsia="zh-CN"/>
        </w:rPr>
        <w:t>2,601.00万元</w:t>
      </w:r>
      <w:r>
        <w:rPr>
          <w:rFonts w:eastAsia="仿宋"/>
          <w:color w:val="auto"/>
          <w:sz w:val="32"/>
          <w:szCs w:val="32"/>
        </w:rPr>
        <w:t>其中：项目支出</w:t>
      </w:r>
      <w:r>
        <w:rPr>
          <w:rFonts w:hint="eastAsia" w:eastAsia="仿宋"/>
          <w:color w:val="auto"/>
          <w:sz w:val="32"/>
          <w:szCs w:val="32"/>
          <w:lang w:val="en-US" w:eastAsia="zh-CN"/>
        </w:rPr>
        <w:t>2,247.13</w:t>
      </w:r>
      <w:r>
        <w:rPr>
          <w:rFonts w:eastAsia="仿宋"/>
          <w:color w:val="auto"/>
          <w:sz w:val="32"/>
          <w:szCs w:val="32"/>
        </w:rPr>
        <w:t>万元，基本支出</w:t>
      </w:r>
      <w:r>
        <w:rPr>
          <w:rFonts w:hint="eastAsia" w:eastAsia="仿宋"/>
          <w:color w:val="auto"/>
          <w:sz w:val="32"/>
          <w:szCs w:val="32"/>
          <w:lang w:val="en-US" w:eastAsia="zh-CN"/>
        </w:rPr>
        <w:t>353.86</w:t>
      </w:r>
      <w:r>
        <w:rPr>
          <w:rFonts w:eastAsia="仿宋"/>
          <w:color w:val="auto"/>
          <w:sz w:val="32"/>
          <w:szCs w:val="32"/>
        </w:rPr>
        <w:t>万元，其中：人员经费</w:t>
      </w:r>
      <w:r>
        <w:rPr>
          <w:rFonts w:hint="eastAsia" w:eastAsia="仿宋"/>
          <w:color w:val="auto"/>
          <w:sz w:val="32"/>
          <w:szCs w:val="32"/>
          <w:lang w:val="en-US" w:eastAsia="zh-CN"/>
        </w:rPr>
        <w:t>321.95</w:t>
      </w:r>
      <w:r>
        <w:rPr>
          <w:rFonts w:eastAsia="仿宋"/>
          <w:color w:val="auto"/>
          <w:sz w:val="32"/>
          <w:szCs w:val="32"/>
        </w:rPr>
        <w:t>万元，公用经费</w:t>
      </w:r>
      <w:r>
        <w:rPr>
          <w:rFonts w:hint="eastAsia" w:eastAsia="仿宋"/>
          <w:color w:val="auto"/>
          <w:sz w:val="32"/>
          <w:szCs w:val="32"/>
          <w:lang w:val="en-US" w:eastAsia="zh-CN"/>
        </w:rPr>
        <w:t>31.91万</w:t>
      </w:r>
      <w:r>
        <w:rPr>
          <w:rFonts w:eastAsia="仿宋"/>
          <w:color w:val="auto"/>
          <w:sz w:val="32"/>
          <w:szCs w:val="32"/>
        </w:rPr>
        <w:t>元。</w:t>
      </w:r>
    </w:p>
    <w:p w14:paraId="675E7E8D">
      <w:pPr>
        <w:pStyle w:val="6"/>
        <w:numPr>
          <w:ilvl w:val="0"/>
          <w:numId w:val="4"/>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6B00AAEF">
      <w:pPr>
        <w:pStyle w:val="6"/>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一般公共服务支出1</w:t>
      </w:r>
      <w:r>
        <w:rPr>
          <w:rFonts w:hint="eastAsia" w:eastAsia="仿宋"/>
          <w:color w:val="auto"/>
          <w:sz w:val="32"/>
          <w:szCs w:val="32"/>
          <w:lang w:val="en-US" w:eastAsia="zh-CN"/>
        </w:rPr>
        <w:t>,</w:t>
      </w:r>
      <w:r>
        <w:rPr>
          <w:rFonts w:hint="eastAsia" w:ascii="Times New Roman" w:hAnsi="Times New Roman" w:eastAsia="仿宋" w:cs="Times New Roman"/>
          <w:color w:val="auto"/>
          <w:kern w:val="2"/>
          <w:sz w:val="32"/>
          <w:szCs w:val="32"/>
          <w:lang w:val="en-US" w:eastAsia="zh-CN" w:bidi="ar-SA"/>
        </w:rPr>
        <w:t>973.74万元；</w:t>
      </w:r>
    </w:p>
    <w:p w14:paraId="221F07D9">
      <w:pPr>
        <w:pStyle w:val="6"/>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卫生健康支出44.76万元；</w:t>
      </w:r>
    </w:p>
    <w:p w14:paraId="1410D7A8">
      <w:pPr>
        <w:pStyle w:val="6"/>
        <w:numPr>
          <w:ilvl w:val="0"/>
          <w:numId w:val="5"/>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olor w:val="auto"/>
          <w:sz w:val="32"/>
          <w:szCs w:val="32"/>
        </w:rPr>
        <w:t>社会保障和就业</w:t>
      </w:r>
      <w:r>
        <w:rPr>
          <w:rFonts w:hint="eastAsia" w:ascii="Times New Roman" w:hAnsi="Times New Roman" w:eastAsia="仿宋" w:cs="Times New Roman"/>
          <w:color w:val="auto"/>
          <w:kern w:val="2"/>
          <w:sz w:val="32"/>
          <w:szCs w:val="32"/>
          <w:lang w:val="en-US" w:eastAsia="zh-CN" w:bidi="ar-SA"/>
        </w:rPr>
        <w:t>支出228.64万元。</w:t>
      </w:r>
    </w:p>
    <w:p w14:paraId="2E9E7041">
      <w:pPr>
        <w:pStyle w:val="6"/>
        <w:numPr>
          <w:ilvl w:val="0"/>
          <w:numId w:val="6"/>
        </w:numPr>
        <w:spacing w:line="60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14:paraId="322BA72F">
      <w:pPr>
        <w:pStyle w:val="6"/>
        <w:numPr>
          <w:ilvl w:val="0"/>
          <w:numId w:val="0"/>
        </w:numPr>
        <w:spacing w:line="600" w:lineRule="exac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14:paraId="148F99B1">
      <w:pPr>
        <w:pStyle w:val="6"/>
        <w:numPr>
          <w:ilvl w:val="0"/>
          <w:numId w:val="6"/>
        </w:numPr>
        <w:spacing w:line="600" w:lineRule="exact"/>
        <w:ind w:firstLine="640" w:firstLineChars="200"/>
        <w:rPr>
          <w:rFonts w:hint="eastAsia" w:ascii="Times New Roman" w:hAnsi="Times New Roman" w:eastAsia="黑体"/>
          <w:sz w:val="32"/>
          <w:szCs w:val="32"/>
          <w:lang w:eastAsia="zh-CN"/>
        </w:rPr>
      </w:pPr>
      <w:r>
        <w:rPr>
          <w:rFonts w:ascii="Times New Roman" w:hAnsi="Times New Roman" w:eastAsia="黑体"/>
          <w:sz w:val="32"/>
          <w:szCs w:val="32"/>
        </w:rPr>
        <w:t>国有资本经营预算支出情况</w:t>
      </w:r>
    </w:p>
    <w:p w14:paraId="3636268E">
      <w:pPr>
        <w:pStyle w:val="6"/>
        <w:numPr>
          <w:ilvl w:val="0"/>
          <w:numId w:val="0"/>
        </w:numPr>
        <w:spacing w:line="60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14:paraId="3A84B4E9">
      <w:pPr>
        <w:pStyle w:val="6"/>
        <w:numPr>
          <w:ilvl w:val="0"/>
          <w:numId w:val="6"/>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14:paraId="2641B06D">
      <w:pPr>
        <w:pStyle w:val="6"/>
        <w:numPr>
          <w:ilvl w:val="0"/>
          <w:numId w:val="0"/>
        </w:numPr>
        <w:spacing w:line="600" w:lineRule="exact"/>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14:paraId="7E817AA3">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48021482">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4B51B0DC">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1、党建工作持续压实。一是组织开展“第一议题”集中学习11次，深入学习习近平总书记关于党纪学习教育的重要讲话精神。在职党员轮流讲“微党课”15次，观看党性教育片13次，研讨发言13次。二是组织全体党员参观廉洁文化示范基地，不断发挥党支部的凝聚力、向心力和战斗力。三是组织开展“在职党员进社区‘双报到、双服务’”、平安夜巡等活动，机关党组织的战斗堡垒作用在基层得到了充分体现。</w:t>
      </w:r>
    </w:p>
    <w:p w14:paraId="785A50EB">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2、食堂服务不断提升。圆满完成了人大、政协两会期间公务用餐，接待代表、委员千余人次，得到了代表和委员的高度评价。与区总工会、区卫健局联合主办“百日蜕变·轻盈未来”减重大赛，制定了为期100天的少油少盐减脂菜，同时推出减脂轻食，帮助广大机关干部养成良好的饮食习惯。研究制定《株洲市芦淞区机关食堂餐卡管理办法》，进一步确保规范、合理使用机关食堂餐卡。</w:t>
      </w:r>
    </w:p>
    <w:p w14:paraId="32318C96">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3、公务出行有效保障。一是圆满完成轨博会、服博会、航博会等市、区重点节会活动保障用车。截至目前，平台累计派车2596趟，行驶里程约10万公里。二是根据省市要求严控新能源公车配置比例，今年新购入2台新能源汽车，新购新能源车占比100%。经核算，新能源汽车行驶费用比燃油车少1.42元/公里，显著地降低了行政成本。三是组织召开公车平台安全生产会及司勤人员安全教育警示会，公车平台全体驾驶员签订《安全责任承诺书》，筑牢安全防线。</w:t>
      </w:r>
    </w:p>
    <w:p w14:paraId="7A222DA2">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物业管理不断优化。一是完成了新一轮物业管理进驻运营工作，将三个院子统一由一家物业公司以同样的服务标准进行管理。二是扎实做好会务服务工作，统一姓名牌管理、创建会务工作微信群，及时发布会务信息，确保物业部门掌握会议保障要求，做好联动服务工作。三是继续完善一楼便民服务箱的物品配备，在一楼大厅根据四季养生理念，推出不同品种的茶水，努力把服务做到机关干部心坎上。</w:t>
      </w:r>
    </w:p>
    <w:p w14:paraId="3F35A84C">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办公用房日益规范。一是对区政府院内党政机关办公用房使用情况进行了摸底自查。从严核定各单位办公用房总面积，统筹调配使用。二是严把集约使用关，优先整合利用现有办公用房保障资源，积极推进办公用房集约利用、合理配置，提高腾退办公用房使用效益。三是严把维修审批关，重点支持消除隐患类维修，禁止超标准豪华装修，切实把“坚持勤俭办一切事业”要求落到实处。</w:t>
      </w:r>
    </w:p>
    <w:p w14:paraId="7E46A19D">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院内安全切实加强。一是开展安全知识培训和消防设施的使用培训，增强安全防范意识和责任意识。二是协助相关单位做好了上访人员、群体性事件的秩序维护工作，有效维护了机关良好的工作秩序。三是深入开展节前安全隐患大排查，全面筑牢安全生产防线，确保机关院内各项工作的平稳运行。</w:t>
      </w:r>
    </w:p>
    <w:p w14:paraId="12B5BC49">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63AA362E">
      <w:pPr>
        <w:pStyle w:val="6"/>
        <w:spacing w:line="600" w:lineRule="exact"/>
        <w:ind w:firstLine="64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本部门</w:t>
      </w:r>
      <w:r>
        <w:rPr>
          <w:rFonts w:hint="eastAsia" w:ascii="Times New Roman" w:hAnsi="Times New Roman" w:eastAsia="仿宋_GB2312"/>
          <w:sz w:val="32"/>
          <w:szCs w:val="32"/>
          <w:highlight w:val="none"/>
          <w:lang w:eastAsia="zh-CN"/>
        </w:rPr>
        <w:t>2024</w:t>
      </w:r>
      <w:r>
        <w:rPr>
          <w:rFonts w:hint="eastAsia" w:ascii="Times New Roman" w:hAnsi="Times New Roman" w:eastAsia="仿宋_GB2312"/>
          <w:sz w:val="32"/>
          <w:szCs w:val="32"/>
          <w:highlight w:val="none"/>
        </w:rPr>
        <w:t>年年初预算专项资金共3个，具体情况如下：</w:t>
      </w:r>
    </w:p>
    <w:p w14:paraId="3AA26726">
      <w:pPr>
        <w:pStyle w:val="6"/>
        <w:spacing w:line="600" w:lineRule="exact"/>
        <w:ind w:firstLine="64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一是机关运转（含会议专项），</w:t>
      </w:r>
      <w:r>
        <w:rPr>
          <w:rFonts w:hint="eastAsia" w:eastAsia="仿宋_GB2312"/>
          <w:sz w:val="32"/>
          <w:szCs w:val="32"/>
          <w:highlight w:val="none"/>
          <w:lang w:eastAsia="zh-CN"/>
        </w:rPr>
        <w:t>上年结转</w:t>
      </w:r>
      <w:r>
        <w:rPr>
          <w:rFonts w:hint="eastAsia" w:ascii="Times New Roman" w:hAnsi="Times New Roman" w:eastAsia="仿宋_GB2312"/>
          <w:sz w:val="32"/>
          <w:szCs w:val="32"/>
          <w:highlight w:val="none"/>
        </w:rPr>
        <w:t>59.99</w:t>
      </w:r>
      <w:r>
        <w:rPr>
          <w:rFonts w:hint="eastAsia" w:eastAsia="仿宋_GB2312"/>
          <w:sz w:val="32"/>
          <w:szCs w:val="32"/>
          <w:highlight w:val="none"/>
          <w:lang w:eastAsia="zh-CN"/>
        </w:rPr>
        <w:t>万元，</w:t>
      </w:r>
      <w:r>
        <w:rPr>
          <w:rFonts w:hint="eastAsia" w:ascii="Times New Roman" w:hAnsi="Times New Roman" w:eastAsia="仿宋_GB2312"/>
          <w:sz w:val="32"/>
          <w:szCs w:val="32"/>
          <w:highlight w:val="none"/>
        </w:rPr>
        <w:t>年初预算资金2,050.0</w:t>
      </w:r>
      <w:r>
        <w:rPr>
          <w:rFonts w:hint="eastAsia" w:ascii="Times New Roman" w:hAnsi="Times New Roman" w:eastAsia="仿宋_GB2312"/>
          <w:color w:val="auto"/>
          <w:sz w:val="32"/>
          <w:szCs w:val="32"/>
          <w:highlight w:val="none"/>
        </w:rPr>
        <w:t>0万元，年中执行调减</w:t>
      </w:r>
      <w:r>
        <w:rPr>
          <w:rFonts w:hint="eastAsia" w:ascii="Times New Roman" w:hAnsi="Times New Roman" w:eastAsia="仿宋_GB2312"/>
          <w:color w:val="auto"/>
          <w:sz w:val="32"/>
          <w:szCs w:val="32"/>
          <w:highlight w:val="none"/>
          <w:lang w:val="en-US" w:eastAsia="zh-CN"/>
        </w:rPr>
        <w:t>324.42</w:t>
      </w:r>
      <w:r>
        <w:rPr>
          <w:rFonts w:hint="eastAsia" w:ascii="Times New Roman" w:hAnsi="Times New Roman" w:eastAsia="仿宋_GB2312"/>
          <w:color w:val="auto"/>
          <w:sz w:val="32"/>
          <w:szCs w:val="32"/>
          <w:highlight w:val="none"/>
        </w:rPr>
        <w:t>万元，实际支出1,</w:t>
      </w:r>
      <w:r>
        <w:rPr>
          <w:rFonts w:hint="eastAsia" w:ascii="Times New Roman" w:hAnsi="Times New Roman" w:eastAsia="仿宋_GB2312"/>
          <w:color w:val="auto"/>
          <w:sz w:val="32"/>
          <w:szCs w:val="32"/>
          <w:highlight w:val="none"/>
          <w:lang w:val="en-US" w:eastAsia="zh-CN"/>
        </w:rPr>
        <w:t>725.58</w:t>
      </w:r>
      <w:r>
        <w:rPr>
          <w:rFonts w:hint="eastAsia" w:ascii="Times New Roman" w:hAnsi="Times New Roman" w:eastAsia="仿宋_GB2312"/>
          <w:color w:val="auto"/>
          <w:sz w:val="32"/>
          <w:szCs w:val="32"/>
          <w:highlight w:val="none"/>
        </w:rPr>
        <w:t>万元，结余结转</w:t>
      </w:r>
      <w:r>
        <w:rPr>
          <w:rFonts w:hint="eastAsia" w:ascii="Times New Roman" w:hAnsi="Times New Roman" w:eastAsia="仿宋_GB2312"/>
          <w:color w:val="auto"/>
          <w:sz w:val="32"/>
          <w:szCs w:val="32"/>
          <w:highlight w:val="none"/>
          <w:lang w:val="en-US" w:eastAsia="zh-CN"/>
        </w:rPr>
        <w:t>34.14</w:t>
      </w:r>
      <w:r>
        <w:rPr>
          <w:rFonts w:hint="eastAsia" w:ascii="Times New Roman" w:hAnsi="Times New Roman" w:eastAsia="仿宋_GB2312"/>
          <w:color w:val="auto"/>
          <w:sz w:val="32"/>
          <w:szCs w:val="32"/>
          <w:highlight w:val="none"/>
        </w:rPr>
        <w:t>万元。该专项资金支出是为了确保:搞好新院、老院、西院物业管理；每月</w:t>
      </w:r>
      <w:r>
        <w:rPr>
          <w:rFonts w:hint="eastAsia" w:ascii="Times New Roman" w:hAnsi="Times New Roman" w:eastAsia="仿宋_GB2312"/>
          <w:sz w:val="32"/>
          <w:szCs w:val="32"/>
          <w:highlight w:val="none"/>
        </w:rPr>
        <w:t>支付好新院、老院、西院及食堂水、电、气费；养护好院内园林绿化；保证食堂就餐工作及餐卡充值、新办、结算工作；消杀新院、老院、西院、武装部院子、食堂、原湘菜时代老鼠、蟑螂、蚊蝇；预防、灭治新院、原湘菜时代建筑物及绿化区域内的白蚁及安装白蚁监测系统；维修维护好新院、老院、西院内的办公房屋及设施设备；清运好新院、西院、老院内的生活垃圾；购置好新院内各单位所需的办公家俱及新院、老院、西院内必须的各类设施设备；采购好会务、保洁、安保、维修工作材料；清洗好会议中心及办公室地毯、桌布、窗帘、椅套、幕布等；搞好院内的氛围布置及各项中心工作宣传、广告制作等。</w:t>
      </w:r>
    </w:p>
    <w:p w14:paraId="6AA11217">
      <w:pPr>
        <w:pStyle w:val="6"/>
        <w:spacing w:line="600" w:lineRule="exact"/>
        <w:ind w:firstLine="64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二是文印中心运转，年初预算资金2</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.00万元，年中执行调</w:t>
      </w:r>
      <w:r>
        <w:rPr>
          <w:rFonts w:hint="eastAsia" w:ascii="Times New Roman" w:hAnsi="Times New Roman" w:eastAsia="仿宋_GB2312"/>
          <w:color w:val="auto"/>
          <w:sz w:val="32"/>
          <w:szCs w:val="32"/>
          <w:highlight w:val="none"/>
          <w:lang w:eastAsia="zh-CN"/>
        </w:rPr>
        <w:t>增</w:t>
      </w:r>
      <w:r>
        <w:rPr>
          <w:rFonts w:hint="eastAsia" w:ascii="Times New Roman" w:hAnsi="Times New Roman" w:eastAsia="仿宋_GB2312"/>
          <w:color w:val="auto"/>
          <w:sz w:val="32"/>
          <w:szCs w:val="32"/>
          <w:highlight w:val="none"/>
          <w:lang w:val="en-US" w:eastAsia="zh-CN"/>
        </w:rPr>
        <w:t>5.92</w:t>
      </w:r>
      <w:r>
        <w:rPr>
          <w:rFonts w:hint="eastAsia" w:ascii="Times New Roman" w:hAnsi="Times New Roman" w:eastAsia="仿宋_GB2312"/>
          <w:color w:val="auto"/>
          <w:sz w:val="32"/>
          <w:szCs w:val="32"/>
          <w:highlight w:val="none"/>
        </w:rPr>
        <w:t>万元，实际支出</w:t>
      </w:r>
      <w:r>
        <w:rPr>
          <w:rFonts w:hint="eastAsia" w:ascii="Times New Roman" w:hAnsi="Times New Roman" w:eastAsia="仿宋_GB2312"/>
          <w:color w:val="auto"/>
          <w:sz w:val="32"/>
          <w:szCs w:val="32"/>
          <w:highlight w:val="none"/>
          <w:lang w:val="en-US" w:eastAsia="zh-CN"/>
        </w:rPr>
        <w:t>25.92</w:t>
      </w:r>
      <w:r>
        <w:rPr>
          <w:rFonts w:hint="eastAsia" w:ascii="Times New Roman" w:hAnsi="Times New Roman" w:eastAsia="仿宋_GB2312"/>
          <w:color w:val="auto"/>
          <w:sz w:val="32"/>
          <w:szCs w:val="32"/>
          <w:highlight w:val="none"/>
        </w:rPr>
        <w:t>万元，结余结转0.00万元。该专项资金支出确保文印工作保质保量完成，做到全年无投诉，做到全年无事故，保质保量的完成打印任务。</w:t>
      </w:r>
    </w:p>
    <w:p w14:paraId="6E34BC98">
      <w:pPr>
        <w:pStyle w:val="6"/>
        <w:spacing w:line="600" w:lineRule="exact"/>
        <w:ind w:firstLine="64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三</w:t>
      </w:r>
      <w:r>
        <w:rPr>
          <w:rFonts w:hint="eastAsia" w:ascii="Times New Roman" w:hAnsi="Times New Roman" w:eastAsia="仿宋_GB2312"/>
          <w:color w:val="auto"/>
          <w:sz w:val="32"/>
          <w:szCs w:val="32"/>
          <w:highlight w:val="none"/>
        </w:rPr>
        <w:t>是公务用车平台经费，年初预算资金</w:t>
      </w:r>
      <w:r>
        <w:rPr>
          <w:rFonts w:hint="eastAsia" w:ascii="Times New Roman" w:hAnsi="Times New Roman" w:eastAsia="仿宋_GB2312"/>
          <w:color w:val="auto"/>
          <w:sz w:val="32"/>
          <w:szCs w:val="32"/>
          <w:highlight w:val="none"/>
          <w:lang w:val="en-US" w:eastAsia="zh-CN"/>
        </w:rPr>
        <w:t>242.60</w:t>
      </w:r>
      <w:r>
        <w:rPr>
          <w:rFonts w:hint="eastAsia" w:ascii="Times New Roman" w:hAnsi="Times New Roman" w:eastAsia="仿宋_GB2312"/>
          <w:color w:val="auto"/>
          <w:sz w:val="32"/>
          <w:szCs w:val="32"/>
          <w:highlight w:val="none"/>
        </w:rPr>
        <w:t>万元，年中执行调减</w:t>
      </w:r>
      <w:r>
        <w:rPr>
          <w:rFonts w:hint="eastAsia" w:ascii="Times New Roman" w:hAnsi="Times New Roman" w:eastAsia="仿宋_GB2312"/>
          <w:color w:val="auto"/>
          <w:sz w:val="32"/>
          <w:szCs w:val="32"/>
          <w:highlight w:val="none"/>
          <w:lang w:val="en-US" w:eastAsia="zh-CN"/>
        </w:rPr>
        <w:t>61.57</w:t>
      </w:r>
      <w:r>
        <w:rPr>
          <w:rFonts w:hint="eastAsia" w:ascii="Times New Roman" w:hAnsi="Times New Roman" w:eastAsia="仿宋_GB2312"/>
          <w:color w:val="auto"/>
          <w:sz w:val="32"/>
          <w:szCs w:val="32"/>
          <w:highlight w:val="none"/>
        </w:rPr>
        <w:t>万元，实际支出</w:t>
      </w:r>
      <w:r>
        <w:rPr>
          <w:rFonts w:hint="eastAsia" w:ascii="Times New Roman" w:hAnsi="Times New Roman" w:eastAsia="仿宋_GB2312"/>
          <w:color w:val="auto"/>
          <w:sz w:val="32"/>
          <w:szCs w:val="32"/>
          <w:highlight w:val="none"/>
          <w:lang w:val="en-US" w:eastAsia="zh-CN"/>
        </w:rPr>
        <w:t>181.03</w:t>
      </w:r>
      <w:r>
        <w:rPr>
          <w:rFonts w:hint="eastAsia" w:ascii="Times New Roman" w:hAnsi="Times New Roman" w:eastAsia="仿宋_GB2312"/>
          <w:color w:val="auto"/>
          <w:sz w:val="32"/>
          <w:szCs w:val="32"/>
          <w:highlight w:val="none"/>
        </w:rPr>
        <w:t>万元，结余结转0.00万元。该专项资金支出确保：全年无安全事故、</w:t>
      </w:r>
      <w:r>
        <w:rPr>
          <w:rFonts w:hint="eastAsia" w:ascii="Times New Roman" w:hAnsi="Times New Roman" w:eastAsia="仿宋_GB2312"/>
          <w:sz w:val="32"/>
          <w:szCs w:val="32"/>
          <w:highlight w:val="none"/>
        </w:rPr>
        <w:t>车辆全年无违章、全年出车服务无投诉；确保出车准点、每次出车确保车内外整洁、干净；确保每次出车前车辆运行正常；确保车辆统一产权登记、统一调度派遣、统一定点加油、统一定点维修、统一定点保险、喷涂全省统一公车标识、统一集中停放指定地点设置地锁装置。</w:t>
      </w:r>
    </w:p>
    <w:p w14:paraId="03248398">
      <w:pPr>
        <w:pStyle w:val="6"/>
        <w:spacing w:line="600" w:lineRule="exact"/>
        <w:ind w:firstLine="64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另外，有</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个专项资金来源为本级横向非财政资金、上年结余指标或追加预算，不在年初预算中体现。具体情况如下：</w:t>
      </w:r>
    </w:p>
    <w:p w14:paraId="5CAC7050">
      <w:pPr>
        <w:pStyle w:val="6"/>
        <w:spacing w:line="600" w:lineRule="exact"/>
        <w:ind w:firstLine="640"/>
        <w:rPr>
          <w:rFonts w:hint="eastAsia" w:ascii="Times New Roman" w:hAnsi="Times New Roman" w:eastAsia="仿宋_GB2312"/>
          <w:color w:val="auto"/>
          <w:sz w:val="32"/>
          <w:szCs w:val="32"/>
          <w:highlight w:val="none"/>
        </w:rPr>
      </w:pPr>
      <w:r>
        <w:rPr>
          <w:rFonts w:hint="eastAsia" w:ascii="Times New Roman" w:hAnsi="Times New Roman" w:eastAsia="仿宋_GB2312"/>
          <w:sz w:val="32"/>
          <w:szCs w:val="32"/>
          <w:highlight w:val="none"/>
        </w:rPr>
        <w:t>一是</w:t>
      </w:r>
      <w:r>
        <w:rPr>
          <w:rFonts w:hint="eastAsia" w:ascii="Times New Roman" w:hAnsi="Times New Roman" w:eastAsia="仿宋_GB2312"/>
          <w:sz w:val="32"/>
          <w:szCs w:val="32"/>
          <w:highlight w:val="none"/>
          <w:lang w:eastAsia="zh-CN"/>
        </w:rPr>
        <w:t>纪委谈话室</w:t>
      </w:r>
      <w:r>
        <w:rPr>
          <w:rFonts w:hint="eastAsia" w:ascii="Times New Roman" w:hAnsi="Times New Roman" w:eastAsia="仿宋_GB2312"/>
          <w:sz w:val="32"/>
          <w:szCs w:val="32"/>
          <w:highlight w:val="none"/>
        </w:rPr>
        <w:t>，实际支出</w:t>
      </w:r>
      <w:r>
        <w:rPr>
          <w:rFonts w:hint="eastAsia" w:ascii="Times New Roman" w:hAnsi="Times New Roman" w:eastAsia="仿宋_GB2312"/>
          <w:sz w:val="32"/>
          <w:szCs w:val="32"/>
          <w:highlight w:val="none"/>
          <w:lang w:val="en-US" w:eastAsia="zh-CN"/>
        </w:rPr>
        <w:t>86.82</w:t>
      </w:r>
      <w:r>
        <w:rPr>
          <w:rFonts w:hint="eastAsia" w:ascii="Times New Roman" w:hAnsi="Times New Roman" w:eastAsia="仿宋_GB2312"/>
          <w:sz w:val="32"/>
          <w:szCs w:val="32"/>
          <w:highlight w:val="none"/>
        </w:rPr>
        <w:t>万元，结余结转0.00万元。</w:t>
      </w:r>
      <w:r>
        <w:rPr>
          <w:rFonts w:hint="eastAsia" w:ascii="Times New Roman" w:hAnsi="Times New Roman" w:eastAsia="仿宋_GB2312"/>
          <w:color w:val="auto"/>
          <w:sz w:val="32"/>
          <w:szCs w:val="32"/>
          <w:highlight w:val="none"/>
        </w:rPr>
        <w:t>该专项资金支出是为了完成</w:t>
      </w:r>
      <w:r>
        <w:rPr>
          <w:rFonts w:hint="eastAsia" w:ascii="Times New Roman" w:hAnsi="Times New Roman" w:eastAsia="仿宋_GB2312"/>
          <w:color w:val="auto"/>
          <w:sz w:val="32"/>
          <w:szCs w:val="32"/>
          <w:highlight w:val="none"/>
          <w:lang w:eastAsia="zh-CN"/>
        </w:rPr>
        <w:t>纪委谈话</w:t>
      </w:r>
      <w:r>
        <w:rPr>
          <w:rFonts w:hint="eastAsia" w:ascii="Times New Roman" w:hAnsi="Times New Roman" w:eastAsia="仿宋_GB2312"/>
          <w:color w:val="auto"/>
          <w:sz w:val="32"/>
          <w:szCs w:val="32"/>
          <w:highlight w:val="none"/>
        </w:rPr>
        <w:t>事项，确保</w:t>
      </w:r>
      <w:r>
        <w:rPr>
          <w:rFonts w:hint="eastAsia" w:ascii="Times New Roman" w:hAnsi="Times New Roman" w:eastAsia="仿宋_GB2312"/>
          <w:color w:val="auto"/>
          <w:sz w:val="32"/>
          <w:szCs w:val="32"/>
          <w:highlight w:val="none"/>
          <w:lang w:eastAsia="zh-CN"/>
        </w:rPr>
        <w:t>纪委</w:t>
      </w:r>
      <w:r>
        <w:rPr>
          <w:rFonts w:hint="eastAsia" w:ascii="Times New Roman" w:hAnsi="Times New Roman" w:eastAsia="仿宋_GB2312"/>
          <w:color w:val="auto"/>
          <w:sz w:val="32"/>
          <w:szCs w:val="32"/>
          <w:highlight w:val="none"/>
        </w:rPr>
        <w:t>工作保质合标的完成。</w:t>
      </w:r>
    </w:p>
    <w:p w14:paraId="57E012E9">
      <w:pPr>
        <w:pStyle w:val="6"/>
        <w:spacing w:line="600" w:lineRule="exact"/>
        <w:ind w:firstLine="64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二是经济表彰，实际支出</w:t>
      </w:r>
      <w:r>
        <w:rPr>
          <w:rFonts w:hint="eastAsia" w:ascii="Times New Roman" w:hAnsi="Times New Roman" w:eastAsia="仿宋_GB2312"/>
          <w:sz w:val="32"/>
          <w:szCs w:val="32"/>
          <w:highlight w:val="none"/>
          <w:lang w:val="en-US" w:eastAsia="zh-CN"/>
        </w:rPr>
        <w:t>228.64</w:t>
      </w:r>
      <w:r>
        <w:rPr>
          <w:rFonts w:hint="eastAsia" w:ascii="Times New Roman" w:hAnsi="Times New Roman" w:eastAsia="仿宋_GB2312"/>
          <w:sz w:val="32"/>
          <w:szCs w:val="32"/>
          <w:highlight w:val="none"/>
        </w:rPr>
        <w:t>万元，结余结转0.00万元。该专项资金支出是为了对上一年度为我区经济发展做出杰出贡献的企事业单位、企业家进行表彰奖励，推动区域经济社会发展。</w:t>
      </w:r>
    </w:p>
    <w:p w14:paraId="532E765F">
      <w:pPr>
        <w:pStyle w:val="6"/>
        <w:spacing w:line="600" w:lineRule="exact"/>
        <w:ind w:firstLine="64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三是新冠肺炎疫情防控专项资金，实际支出</w:t>
      </w:r>
      <w:r>
        <w:rPr>
          <w:rFonts w:hint="eastAsia" w:ascii="Times New Roman" w:hAnsi="Times New Roman" w:eastAsia="仿宋_GB2312"/>
          <w:sz w:val="32"/>
          <w:szCs w:val="32"/>
          <w:highlight w:val="none"/>
          <w:lang w:val="en-US" w:eastAsia="zh-CN"/>
        </w:rPr>
        <w:t>44.76</w:t>
      </w:r>
      <w:r>
        <w:rPr>
          <w:rFonts w:hint="eastAsia" w:ascii="Times New Roman" w:hAnsi="Times New Roman" w:eastAsia="仿宋_GB2312"/>
          <w:sz w:val="32"/>
          <w:szCs w:val="32"/>
          <w:highlight w:val="none"/>
        </w:rPr>
        <w:t>万元，结余结转0.00万元。该专项资金支出是为了支付疫情防控期间我区外来医务人员发生的费用，保障新冠肺炎疫情得到有效防控。</w:t>
      </w:r>
    </w:p>
    <w:p w14:paraId="131CA20D">
      <w:pPr>
        <w:pStyle w:val="6"/>
        <w:spacing w:line="600" w:lineRule="exact"/>
        <w:ind w:firstLine="64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四是党建专项，</w:t>
      </w:r>
      <w:r>
        <w:rPr>
          <w:rFonts w:hint="eastAsia" w:ascii="Times New Roman" w:hAnsi="Times New Roman" w:eastAsia="仿宋_GB2312"/>
          <w:sz w:val="32"/>
          <w:szCs w:val="32"/>
          <w:highlight w:val="none"/>
          <w:lang w:eastAsia="zh-CN"/>
        </w:rPr>
        <w:t>上年结转</w:t>
      </w:r>
      <w:r>
        <w:rPr>
          <w:rFonts w:hint="eastAsia" w:ascii="Times New Roman" w:hAnsi="Times New Roman" w:eastAsia="仿宋_GB2312"/>
          <w:sz w:val="32"/>
          <w:szCs w:val="32"/>
          <w:highlight w:val="none"/>
          <w:lang w:val="en-US" w:eastAsia="zh-CN"/>
        </w:rPr>
        <w:t>0.79万元，</w:t>
      </w:r>
      <w:r>
        <w:rPr>
          <w:rFonts w:hint="eastAsia" w:ascii="Times New Roman" w:hAnsi="Times New Roman" w:eastAsia="仿宋_GB2312"/>
          <w:sz w:val="32"/>
          <w:szCs w:val="32"/>
          <w:highlight w:val="none"/>
        </w:rPr>
        <w:t>实际支出</w:t>
      </w:r>
      <w:r>
        <w:rPr>
          <w:rFonts w:hint="eastAsia" w:ascii="Times New Roman" w:hAnsi="Times New Roman" w:eastAsia="仿宋_GB2312"/>
          <w:sz w:val="32"/>
          <w:szCs w:val="32"/>
          <w:highlight w:val="none"/>
          <w:lang w:val="en-US" w:eastAsia="zh-CN"/>
        </w:rPr>
        <w:t>0.79万元</w:t>
      </w:r>
      <w:r>
        <w:rPr>
          <w:rFonts w:hint="eastAsia" w:ascii="Times New Roman" w:hAnsi="Times New Roman" w:eastAsia="仿宋_GB2312"/>
          <w:sz w:val="32"/>
          <w:szCs w:val="32"/>
          <w:highlight w:val="none"/>
        </w:rPr>
        <w:t>万元，结余0.</w:t>
      </w:r>
      <w:r>
        <w:rPr>
          <w:rFonts w:hint="eastAsia" w:ascii="Times New Roman" w:hAnsi="Times New Roman" w:eastAsia="仿宋_GB2312"/>
          <w:sz w:val="32"/>
          <w:szCs w:val="32"/>
          <w:highlight w:val="none"/>
          <w:lang w:val="en-US" w:eastAsia="zh-CN"/>
        </w:rPr>
        <w:t>00</w:t>
      </w:r>
      <w:r>
        <w:rPr>
          <w:rFonts w:hint="eastAsia" w:ascii="Times New Roman" w:hAnsi="Times New Roman" w:eastAsia="仿宋_GB2312"/>
          <w:sz w:val="32"/>
          <w:szCs w:val="32"/>
          <w:highlight w:val="none"/>
        </w:rPr>
        <w:t>万元，该专项资金支出是为了认真学习贯彻党的二十大精神，发挥党建引领作用，更好地服务区委区政府中心工作。</w:t>
      </w:r>
    </w:p>
    <w:p w14:paraId="40EB9101">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3515618E">
      <w:pPr>
        <w:spacing w:line="600" w:lineRule="exact"/>
        <w:ind w:firstLine="640" w:firstLineChars="200"/>
        <w:rPr>
          <w:rFonts w:hint="eastAsia" w:eastAsia="仿宋_GB2312"/>
          <w:sz w:val="32"/>
          <w:szCs w:val="32"/>
        </w:rPr>
      </w:pPr>
      <w:r>
        <w:rPr>
          <w:rFonts w:hint="eastAsia" w:eastAsia="仿宋_GB2312"/>
          <w:sz w:val="32"/>
          <w:szCs w:val="32"/>
        </w:rPr>
        <w:t>1.基本的机关运行经费保障不足。扶贫、党建、退休职工活动经费、工会补助等支出占据相当多的基本的机关运行经费。</w:t>
      </w:r>
    </w:p>
    <w:p w14:paraId="2657A835">
      <w:pPr>
        <w:spacing w:line="600" w:lineRule="exact"/>
        <w:ind w:firstLine="640" w:firstLineChars="200"/>
        <w:rPr>
          <w:rFonts w:hint="eastAsia" w:eastAsia="仿宋_GB2312"/>
          <w:sz w:val="32"/>
          <w:szCs w:val="32"/>
        </w:rPr>
      </w:pPr>
      <w:r>
        <w:rPr>
          <w:rFonts w:hint="eastAsia" w:eastAsia="仿宋_GB2312"/>
          <w:sz w:val="32"/>
          <w:szCs w:val="32"/>
        </w:rPr>
        <w:t>2.收集与评估绩效标准有关的数据难度大。在资金管理的绩效评价中，收集与被评估者绩效标准有关的数据是一项浩大的工程，往往会耗费大量的时间和精力，并且数据的准确性常常会引起争议。</w:t>
      </w:r>
    </w:p>
    <w:p w14:paraId="16FED0EE">
      <w:pPr>
        <w:spacing w:line="600" w:lineRule="exact"/>
        <w:ind w:firstLine="640" w:firstLineChars="200"/>
        <w:rPr>
          <w:rFonts w:hint="eastAsia" w:eastAsia="仿宋_GB2312"/>
          <w:sz w:val="32"/>
          <w:szCs w:val="32"/>
          <w:lang w:val="en-US" w:eastAsia="zh-CN"/>
        </w:rPr>
      </w:pPr>
      <w:r>
        <w:rPr>
          <w:rFonts w:hint="eastAsia" w:eastAsia="仿宋_GB2312"/>
          <w:sz w:val="32"/>
          <w:szCs w:val="32"/>
        </w:rPr>
        <w:t>3.资金管理及绩效仅仅是财务人员的事情。目前许多人错误地认为资金管理及绩效仅仅是财务人员的事情，其实全体参与者都需要在资金管理及绩效系统中承担起积极的角色，这样才能更好地实现资金管理及绩效的目标。</w:t>
      </w:r>
      <w:r>
        <w:rPr>
          <w:rFonts w:hint="eastAsia" w:eastAsia="仿宋_GB2312"/>
          <w:sz w:val="32"/>
          <w:szCs w:val="32"/>
          <w:lang w:val="en-US" w:eastAsia="zh-CN"/>
        </w:rPr>
        <w:t xml:space="preserve">  </w:t>
      </w:r>
    </w:p>
    <w:p w14:paraId="46D3B360">
      <w:pPr>
        <w:spacing w:line="600" w:lineRule="exact"/>
        <w:ind w:firstLine="640" w:firstLineChars="200"/>
        <w:rPr>
          <w:rFonts w:eastAsia="黑体"/>
          <w:sz w:val="32"/>
          <w:szCs w:val="32"/>
        </w:rPr>
      </w:pPr>
      <w:r>
        <w:rPr>
          <w:rFonts w:eastAsia="黑体"/>
          <w:sz w:val="32"/>
          <w:szCs w:val="32"/>
        </w:rPr>
        <w:t>八、下一步改进措施</w:t>
      </w:r>
    </w:p>
    <w:p w14:paraId="22A696D2">
      <w:pPr>
        <w:spacing w:line="600" w:lineRule="exact"/>
        <w:ind w:firstLine="640" w:firstLineChars="200"/>
        <w:rPr>
          <w:rFonts w:hint="eastAsia" w:ascii="Times New Roman" w:eastAsia="仿宋_GB2312"/>
          <w:sz w:val="32"/>
          <w:szCs w:val="32"/>
        </w:rPr>
      </w:pPr>
      <w:r>
        <w:rPr>
          <w:rFonts w:hint="eastAsia" w:ascii="Times New Roman" w:eastAsia="仿宋_GB2312"/>
          <w:sz w:val="32"/>
          <w:szCs w:val="32"/>
        </w:rPr>
        <w:t>1.资金管理及绩效需要高层领导鼎力支持。资金管理及绩效离不开领导的支持和亲自参与、充分的自上而下的培训。</w:t>
      </w:r>
    </w:p>
    <w:p w14:paraId="48212AE9">
      <w:pPr>
        <w:spacing w:line="600" w:lineRule="exact"/>
        <w:ind w:firstLine="640" w:firstLineChars="200"/>
        <w:rPr>
          <w:rFonts w:hint="eastAsia" w:ascii="Times New Roman" w:eastAsia="仿宋_GB2312"/>
          <w:sz w:val="32"/>
          <w:szCs w:val="32"/>
        </w:rPr>
      </w:pPr>
      <w:r>
        <w:rPr>
          <w:rFonts w:hint="eastAsia" w:ascii="Times New Roman" w:eastAsia="仿宋_GB2312"/>
          <w:sz w:val="32"/>
          <w:szCs w:val="32"/>
        </w:rPr>
        <w:t>2.资金管理及绩效的制度化和规范化。要注重资金管理及绩效体系制度化和规范化，形成正式的文字。在实施的每一年发现的新问题，都要及时提出解决方案并补充到制度中去。可以每年更新一次绩效管理操作手册，便于员工及时掌握有关新的变化。</w:t>
      </w:r>
    </w:p>
    <w:p w14:paraId="11D59DFC">
      <w:pPr>
        <w:spacing w:line="600" w:lineRule="exact"/>
        <w:ind w:firstLine="640" w:firstLineChars="200"/>
        <w:rPr>
          <w:rFonts w:eastAsia="黑体"/>
          <w:sz w:val="32"/>
          <w:szCs w:val="32"/>
        </w:rPr>
      </w:pPr>
      <w:r>
        <w:rPr>
          <w:rFonts w:hint="eastAsia" w:ascii="Times New Roman" w:eastAsia="仿宋_GB2312"/>
          <w:sz w:val="32"/>
          <w:szCs w:val="32"/>
        </w:rPr>
        <w:t>3.进行阶段性的绩效回顾和沟通。进行阶段性的绩效回顾和沟通十分必要，一旦发现项目支出和基本支出执行偏离绩效目标的情况，并分析其原因，提出改进的措施、工作建议。</w:t>
      </w:r>
      <w:r>
        <w:rPr>
          <w:rFonts w:eastAsia="黑体"/>
          <w:sz w:val="32"/>
          <w:szCs w:val="32"/>
        </w:rPr>
        <w:t>九、绩效自评结果拟应用和公开情况</w:t>
      </w:r>
    </w:p>
    <w:p w14:paraId="3DC363AA">
      <w:pPr>
        <w:pStyle w:val="8"/>
        <w:autoSpaceDE/>
        <w:autoSpaceDN/>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通过绩效自评，进一步掌握了资金使用情况和取得的效果。</w:t>
      </w:r>
    </w:p>
    <w:p w14:paraId="530A268A">
      <w:pPr>
        <w:pStyle w:val="8"/>
        <w:autoSpaceDE/>
        <w:autoSpaceDN/>
        <w:spacing w:line="560" w:lineRule="exact"/>
        <w:ind w:firstLine="640" w:firstLineChars="200"/>
        <w:rPr>
          <w:rFonts w:eastAsia="黑体"/>
          <w:sz w:val="32"/>
          <w:szCs w:val="32"/>
        </w:rPr>
      </w:pPr>
      <w:r>
        <w:rPr>
          <w:rFonts w:hint="eastAsia" w:ascii="Times New Roman" w:hAnsi="Times New Roman" w:eastAsia="仿宋_GB2312" w:cs="Times New Roman"/>
          <w:sz w:val="32"/>
          <w:szCs w:val="32"/>
        </w:rPr>
        <w:t>本单位没有独立网站，此次绩效自评报告将与202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年部门决算一起在芦淞区政府信息公开专栏中公开，接受群众监督。</w:t>
      </w:r>
    </w:p>
    <w:p w14:paraId="34288782">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2172BB69">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14:paraId="3EE4E07B">
      <w:pPr>
        <w:spacing w:line="600" w:lineRule="exact"/>
        <w:rPr>
          <w:rFonts w:eastAsia="仿宋_GB2312"/>
          <w:kern w:val="0"/>
          <w:sz w:val="32"/>
          <w:szCs w:val="32"/>
        </w:rPr>
      </w:pPr>
    </w:p>
    <w:p w14:paraId="16F0725B">
      <w:r>
        <w:rPr>
          <w:rFonts w:eastAsia="黑体"/>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abstractNum w:abstractNumId="1">
    <w:nsid w:val="68F4CC69"/>
    <w:multiLevelType w:val="singleLevel"/>
    <w:tmpl w:val="68F4CC69"/>
    <w:lvl w:ilvl="0" w:tentative="0">
      <w:start w:val="1"/>
      <w:numFmt w:val="chineseCounting"/>
      <w:suff w:val="nothing"/>
      <w:lvlText w:val="（%1）"/>
      <w:lvlJc w:val="left"/>
    </w:lvl>
  </w:abstractNum>
  <w:abstractNum w:abstractNumId="2">
    <w:nsid w:val="68F4CE96"/>
    <w:multiLevelType w:val="singleLevel"/>
    <w:tmpl w:val="68F4CE96"/>
    <w:lvl w:ilvl="0" w:tentative="0">
      <w:start w:val="1"/>
      <w:numFmt w:val="decimal"/>
      <w:suff w:val="nothing"/>
      <w:lvlText w:val="（%1）"/>
      <w:lvlJc w:val="left"/>
    </w:lvl>
  </w:abstractNum>
  <w:abstractNum w:abstractNumId="3">
    <w:nsid w:val="68F4CFEB"/>
    <w:multiLevelType w:val="singleLevel"/>
    <w:tmpl w:val="68F4CFEB"/>
    <w:lvl w:ilvl="0" w:tentative="0">
      <w:start w:val="3"/>
      <w:numFmt w:val="decimal"/>
      <w:suff w:val="nothing"/>
      <w:lvlText w:val="%1、"/>
      <w:lvlJc w:val="left"/>
    </w:lvl>
  </w:abstractNum>
  <w:abstractNum w:abstractNumId="4">
    <w:nsid w:val="68F4D003"/>
    <w:multiLevelType w:val="singleLevel"/>
    <w:tmpl w:val="68F4D003"/>
    <w:lvl w:ilvl="0" w:tentative="0">
      <w:start w:val="3"/>
      <w:numFmt w:val="chineseCounting"/>
      <w:suff w:val="nothing"/>
      <w:lvlText w:val="%1、"/>
      <w:lvlJc w:val="left"/>
    </w:lvl>
  </w:abstractNum>
  <w:abstractNum w:abstractNumId="5">
    <w:nsid w:val="68F4D194"/>
    <w:multiLevelType w:val="singleLevel"/>
    <w:tmpl w:val="68F4D194"/>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D3B91"/>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6233C8"/>
    <w:rsid w:val="1B9D302A"/>
    <w:rsid w:val="1BF446CE"/>
    <w:rsid w:val="1C704031"/>
    <w:rsid w:val="1CBE6F97"/>
    <w:rsid w:val="1D271A66"/>
    <w:rsid w:val="1DCB47DF"/>
    <w:rsid w:val="1E067B59"/>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DFA5AED"/>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1E4CD1"/>
    <w:rsid w:val="36216ACD"/>
    <w:rsid w:val="36AD5505"/>
    <w:rsid w:val="36DB24F1"/>
    <w:rsid w:val="37904E67"/>
    <w:rsid w:val="3797204C"/>
    <w:rsid w:val="37A771FF"/>
    <w:rsid w:val="37B37AED"/>
    <w:rsid w:val="37EF7DFA"/>
    <w:rsid w:val="380A1D4B"/>
    <w:rsid w:val="38A54053"/>
    <w:rsid w:val="38D37D37"/>
    <w:rsid w:val="39312765"/>
    <w:rsid w:val="393A2055"/>
    <w:rsid w:val="39441DBF"/>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2284D"/>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27C7A"/>
    <w:rsid w:val="4B7C2BF9"/>
    <w:rsid w:val="4B920728"/>
    <w:rsid w:val="4B9357A5"/>
    <w:rsid w:val="4BC67BFF"/>
    <w:rsid w:val="4C0373D9"/>
    <w:rsid w:val="4C19263D"/>
    <w:rsid w:val="4C253F32"/>
    <w:rsid w:val="4C442E20"/>
    <w:rsid w:val="4C714499"/>
    <w:rsid w:val="4C845F8F"/>
    <w:rsid w:val="4CE73AFB"/>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504EA1"/>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312E84"/>
    <w:rsid w:val="65EB60C2"/>
    <w:rsid w:val="66022946"/>
    <w:rsid w:val="66A877C4"/>
    <w:rsid w:val="67303E4C"/>
    <w:rsid w:val="67347CE6"/>
    <w:rsid w:val="675A5E15"/>
    <w:rsid w:val="677549A9"/>
    <w:rsid w:val="67F2708D"/>
    <w:rsid w:val="68030691"/>
    <w:rsid w:val="689E76A5"/>
    <w:rsid w:val="68DB1AF2"/>
    <w:rsid w:val="68E0427F"/>
    <w:rsid w:val="68F75735"/>
    <w:rsid w:val="694757F4"/>
    <w:rsid w:val="6A116F0C"/>
    <w:rsid w:val="6A457688"/>
    <w:rsid w:val="6B3B48D5"/>
    <w:rsid w:val="6BB70B7A"/>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68F5B89"/>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C7499A"/>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List Paragraph"/>
    <w:basedOn w:val="1"/>
    <w:qFormat/>
    <w:uiPriority w:val="99"/>
    <w:pPr>
      <w:ind w:firstLine="420" w:firstLineChars="200"/>
    </w:pPr>
    <w:rPr>
      <w:rFonts w:ascii="Calibri" w:hAnsi="Calibri" w:eastAsia="宋体" w:cs="Times New Roman"/>
      <w:szCs w:val="22"/>
    </w:rPr>
  </w:style>
  <w:style w:type="paragraph" w:customStyle="1" w:styleId="7">
    <w:name w:val="_Style 3"/>
    <w:basedOn w:val="1"/>
    <w:qFormat/>
    <w:uiPriority w:val="99"/>
    <w:pPr>
      <w:ind w:firstLine="420" w:firstLineChars="200"/>
    </w:pPr>
    <w:rPr>
      <w:rFonts w:ascii="Calibri" w:hAnsi="Calibri"/>
      <w:szCs w:val="22"/>
    </w:r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9">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3593</Words>
  <Characters>3800</Characters>
  <Lines>0</Lines>
  <Paragraphs>0</Paragraphs>
  <TotalTime>20</TotalTime>
  <ScaleCrop>false</ScaleCrop>
  <LinksUpToDate>false</LinksUpToDate>
  <CharactersWithSpaces>3830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佳美</cp:lastModifiedBy>
  <dcterms:modified xsi:type="dcterms:W3CDTF">2025-11-13T07:18:08Z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73812D5DADE74F088BED182D314BEA16_13</vt:lpwstr>
  </property>
  <property fmtid="{D5CDD505-2E9C-101B-9397-08002B2CF9AE}" pid="4" name="KSOTemplateDocerSaveRecord">
    <vt:lpwstr>eyJoZGlkIjoiM2FiZDIzMjBhYjY3YjcwYmIxYWI1NjM4YzVmYjEyMDMiLCJ1c2VySWQiOiIzNzA2NDI1NTgifQ==</vt:lpwstr>
  </property>
</Properties>
</file>