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株洲市芦淞区大京风景名胜区管理中心</w:t>
      </w:r>
      <w:r>
        <w:rPr>
          <w:rFonts w:hint="eastAsia" w:eastAsia="方正小标宋_GBK"/>
          <w:sz w:val="48"/>
          <w:szCs w:val="48"/>
          <w:lang w:eastAsia="zh-CN"/>
        </w:rPr>
        <w:t>整体</w:t>
      </w:r>
      <w:r>
        <w:rPr>
          <w:rFonts w:eastAsia="方正小标宋_GBK"/>
          <w:sz w:val="48"/>
          <w:szCs w:val="48"/>
        </w:rPr>
        <w:t>支出绩效自评报告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1.机构情况。内设科室3个，分别为：办公室、景区管理股、开发建设股。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2.人员情况。 2024年本单位共有编制人数6人。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（二）单位年度整体支出绩效目标，</w:t>
      </w:r>
      <w:r>
        <w:rPr>
          <w:rFonts w:hint="eastAsia" w:eastAsia="楷体_GB2312"/>
          <w:b/>
          <w:sz w:val="32"/>
          <w:szCs w:val="32"/>
          <w:lang w:eastAsia="zh-CN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专项资金绩效目标、其他项目支出（除省级专项资金以外）绩效目标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紧紧围绕职能，进一步优化景区环境，改善旅游基础设施，提高管理和接待能力，提升旅游品质；积极做好招商引资服务工作，根据区委区政府对大京整体开发的决策做好项目落地各项工作；3A级旅游景区复核和省级风景名胜区检查；继续做好各项常规工作，确保高质量完成区委区政府交办的各项工作指标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4"/>
        <w:spacing w:line="600" w:lineRule="exact"/>
        <w:ind w:firstLine="643"/>
        <w:rPr>
          <w:rFonts w:hint="eastAsia" w:eastAsia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 w:val="0"/>
          <w:bCs/>
          <w:sz w:val="32"/>
          <w:szCs w:val="32"/>
          <w:lang w:val="en-US" w:eastAsia="zh-CN"/>
        </w:rPr>
        <w:t>1、</w:t>
      </w:r>
      <w:r>
        <w:rPr>
          <w:rFonts w:hint="eastAsia" w:eastAsia="仿宋"/>
          <w:b w:val="0"/>
          <w:bCs/>
          <w:color w:val="000000"/>
          <w:sz w:val="32"/>
          <w:szCs w:val="32"/>
          <w:lang w:eastAsia="zh-CN"/>
        </w:rPr>
        <w:t>2024</w:t>
      </w:r>
      <w:r>
        <w:rPr>
          <w:rFonts w:eastAsia="仿宋"/>
          <w:b w:val="0"/>
          <w:bCs/>
          <w:color w:val="000000"/>
          <w:sz w:val="32"/>
          <w:szCs w:val="32"/>
        </w:rPr>
        <w:t>年预算资金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132.44</w:t>
      </w:r>
      <w:r>
        <w:rPr>
          <w:rFonts w:hint="eastAsia" w:eastAsia="仿宋"/>
          <w:b w:val="0"/>
          <w:bCs/>
          <w:color w:val="000000"/>
          <w:sz w:val="32"/>
          <w:szCs w:val="32"/>
          <w:lang w:eastAsia="zh-CN"/>
        </w:rPr>
        <w:t>万元。</w:t>
      </w:r>
    </w:p>
    <w:p>
      <w:pPr>
        <w:pStyle w:val="4"/>
        <w:spacing w:line="600" w:lineRule="exact"/>
        <w:ind w:firstLine="643"/>
        <w:rPr>
          <w:rFonts w:hint="eastAsia" w:eastAsia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b w:val="0"/>
          <w:bCs/>
          <w:color w:val="auto"/>
          <w:sz w:val="32"/>
          <w:szCs w:val="32"/>
          <w:lang w:val="en-US" w:eastAsia="zh-CN"/>
        </w:rPr>
        <w:t>2、2024年度</w:t>
      </w:r>
      <w:r>
        <w:rPr>
          <w:rFonts w:eastAsia="仿宋"/>
          <w:b w:val="0"/>
          <w:bCs/>
          <w:color w:val="auto"/>
          <w:sz w:val="32"/>
          <w:szCs w:val="32"/>
        </w:rPr>
        <w:t>单位</w:t>
      </w:r>
      <w:r>
        <w:rPr>
          <w:rFonts w:hint="eastAsia" w:eastAsia="仿宋"/>
          <w:b w:val="0"/>
          <w:bCs/>
          <w:color w:val="auto"/>
          <w:sz w:val="32"/>
          <w:szCs w:val="32"/>
        </w:rPr>
        <w:t>一般公共预算财政拨款</w:t>
      </w:r>
      <w:r>
        <w:rPr>
          <w:rFonts w:eastAsia="仿宋"/>
          <w:b w:val="0"/>
          <w:bCs/>
          <w:color w:val="auto"/>
          <w:sz w:val="32"/>
          <w:szCs w:val="32"/>
        </w:rPr>
        <w:t>收入</w:t>
      </w:r>
      <w:r>
        <w:rPr>
          <w:rFonts w:hint="eastAsia" w:eastAsia="仿宋"/>
          <w:b w:val="0"/>
          <w:bCs/>
          <w:color w:val="auto"/>
          <w:sz w:val="32"/>
          <w:szCs w:val="32"/>
          <w:lang w:eastAsia="zh-CN"/>
        </w:rPr>
        <w:t>150.70万元。</w:t>
      </w:r>
    </w:p>
    <w:p>
      <w:pPr>
        <w:spacing w:line="580" w:lineRule="exact"/>
        <w:ind w:firstLine="640" w:firstLineChars="200"/>
        <w:rPr>
          <w:rFonts w:hint="eastAsia" w:eastAsia="仿宋"/>
          <w:color w:val="0000FF"/>
          <w:sz w:val="32"/>
          <w:szCs w:val="32"/>
          <w:lang w:val="en-US" w:eastAsia="zh-CN"/>
        </w:rPr>
      </w:pPr>
      <w:r>
        <w:rPr>
          <w:rFonts w:eastAsia="仿宋"/>
          <w:b w:val="0"/>
          <w:bCs/>
          <w:color w:val="auto"/>
          <w:sz w:val="32"/>
          <w:szCs w:val="32"/>
        </w:rPr>
        <w:t>3</w:t>
      </w:r>
      <w:r>
        <w:rPr>
          <w:rFonts w:hint="eastAsia" w:eastAsia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eastAsia="仿宋"/>
          <w:b w:val="0"/>
          <w:bCs/>
          <w:color w:val="auto"/>
          <w:sz w:val="32"/>
          <w:szCs w:val="32"/>
          <w:lang w:val="en-US" w:eastAsia="zh-CN"/>
        </w:rPr>
        <w:t>2024年度</w:t>
      </w:r>
      <w:r>
        <w:rPr>
          <w:rFonts w:eastAsia="仿宋"/>
          <w:b w:val="0"/>
          <w:bCs/>
          <w:color w:val="auto"/>
          <w:sz w:val="32"/>
          <w:szCs w:val="32"/>
        </w:rPr>
        <w:t>单位</w:t>
      </w:r>
      <w:r>
        <w:rPr>
          <w:rFonts w:hint="eastAsia" w:eastAsia="仿宋"/>
          <w:b w:val="0"/>
          <w:bCs/>
          <w:color w:val="auto"/>
          <w:sz w:val="32"/>
          <w:szCs w:val="32"/>
        </w:rPr>
        <w:t>一般公共预算财政拨款</w:t>
      </w:r>
      <w:r>
        <w:rPr>
          <w:rFonts w:hint="eastAsia" w:eastAsia="仿宋"/>
          <w:b w:val="0"/>
          <w:bCs/>
          <w:color w:val="auto"/>
          <w:sz w:val="32"/>
          <w:szCs w:val="32"/>
          <w:lang w:eastAsia="zh-CN"/>
        </w:rPr>
        <w:t>支出150.70万元，</w:t>
      </w:r>
      <w:r>
        <w:rPr>
          <w:rFonts w:eastAsia="仿宋"/>
          <w:b w:val="0"/>
          <w:bCs/>
          <w:color w:val="auto"/>
          <w:sz w:val="32"/>
          <w:szCs w:val="32"/>
        </w:rPr>
        <w:t>其中：项目支出</w:t>
      </w:r>
      <w:r>
        <w:rPr>
          <w:rFonts w:hint="eastAsia" w:eastAsia="仿宋"/>
          <w:b w:val="0"/>
          <w:bCs/>
          <w:color w:val="auto"/>
          <w:sz w:val="32"/>
          <w:szCs w:val="32"/>
          <w:lang w:val="en-US" w:eastAsia="zh-CN"/>
        </w:rPr>
        <w:t>35.72</w:t>
      </w:r>
      <w:r>
        <w:rPr>
          <w:rFonts w:eastAsia="仿宋"/>
          <w:b w:val="0"/>
          <w:bCs/>
          <w:color w:val="auto"/>
          <w:sz w:val="32"/>
          <w:szCs w:val="32"/>
        </w:rPr>
        <w:t>万元，基本支出</w:t>
      </w:r>
      <w:r>
        <w:rPr>
          <w:rFonts w:hint="eastAsia" w:eastAsia="仿宋"/>
          <w:b w:val="0"/>
          <w:bCs/>
          <w:color w:val="auto"/>
          <w:sz w:val="32"/>
          <w:szCs w:val="32"/>
          <w:lang w:val="en-US" w:eastAsia="zh-CN"/>
        </w:rPr>
        <w:t>114.98</w:t>
      </w:r>
      <w:r>
        <w:rPr>
          <w:rFonts w:eastAsia="仿宋"/>
          <w:b w:val="0"/>
          <w:bCs/>
          <w:color w:val="auto"/>
          <w:sz w:val="32"/>
          <w:szCs w:val="32"/>
        </w:rPr>
        <w:t>万元，其中：人员经费</w:t>
      </w:r>
      <w:r>
        <w:rPr>
          <w:rFonts w:hint="eastAsia" w:eastAsia="仿宋"/>
          <w:b w:val="0"/>
          <w:bCs/>
          <w:color w:val="auto"/>
          <w:sz w:val="32"/>
          <w:szCs w:val="32"/>
          <w:lang w:val="en-US" w:eastAsia="zh-CN"/>
        </w:rPr>
        <w:t>101.58</w:t>
      </w:r>
      <w:r>
        <w:rPr>
          <w:rFonts w:eastAsia="仿宋"/>
          <w:b w:val="0"/>
          <w:bCs/>
          <w:color w:val="auto"/>
          <w:sz w:val="32"/>
          <w:szCs w:val="32"/>
        </w:rPr>
        <w:t>万元，公用经费</w:t>
      </w:r>
      <w:r>
        <w:rPr>
          <w:rFonts w:hint="eastAsia" w:eastAsia="仿宋"/>
          <w:b w:val="0"/>
          <w:bCs/>
          <w:color w:val="auto"/>
          <w:sz w:val="32"/>
          <w:szCs w:val="32"/>
          <w:lang w:val="en-US" w:eastAsia="zh-CN"/>
        </w:rPr>
        <w:t>13.40万</w:t>
      </w:r>
      <w:r>
        <w:rPr>
          <w:rFonts w:eastAsia="仿宋"/>
          <w:b w:val="0"/>
          <w:bCs/>
          <w:color w:val="auto"/>
          <w:sz w:val="32"/>
          <w:szCs w:val="32"/>
        </w:rPr>
        <w:t>元。</w:t>
      </w:r>
    </w:p>
    <w:p>
      <w:pPr>
        <w:pStyle w:val="4"/>
        <w:numPr>
          <w:ilvl w:val="0"/>
          <w:numId w:val="1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sz w:val="32"/>
          <w:szCs w:val="32"/>
          <w:lang w:val="en-US" w:eastAsia="zh-CN"/>
        </w:rPr>
        <w:t>项目支出情况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1、3A级旅游景区复核11.72万元；2、大京提质与旅游服务设施提升6.70万元；3、物管经费15.30万元；4、租金返还2.00万元。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4"/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无。</w:t>
      </w:r>
    </w:p>
    <w:p>
      <w:pPr>
        <w:pStyle w:val="4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4"/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无。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pStyle w:val="4"/>
        <w:numPr>
          <w:ilvl w:val="0"/>
          <w:numId w:val="0"/>
        </w:num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无。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  <w:lang w:eastAsia="zh-CN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是加大巡查力度。对发现的违规开荒，挖山毁林等行为及时制止和情况通报，对突出问题，及时发现和整改。针对二号码头处破坏山体严重，造成恶劣影响的典型行为，联合白关镇等部门做出相应的行政处罚，并督促其按相关行业部门要求恢复原貌。二是大力开展景区环境大整治行动，对核心景区范围以及京水湖湖面等重要区域，开展环境卫生整治及标识标牌完善工作，维护了景区的自然风貌和生态环境。三是开展文旅企业安全生产工作巡查常态化，严格落实“一岗双责”，组织了1次消防安全教育培训，开展了数十次景区酒店、寺庙、游船公司、滑索和乐源营地的安全检查，对存在安全隐患的相关景区企业，及时沟通、及时暂停项目运营，并督促整改落实。特别是滑索这一特种行业，现已督促经营户暂停营业并进行完善。四是协同相关部门扎实做好景区森林防火、防汛等工作，采取微信群、宣传车、标语、喇叭等宣传方式，加大对森林防火、防汛知识和典型案例的宣传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专项资金支出绩效情况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本部门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年年初预算专项资金共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2个，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一是国家3A级景区复核11.72万元，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该专项资金支出完善景区设施，通过3A景区复核，吸引更多游客参观，吸引投资。二是物管费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15.30万元，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该专项资金支出确保单位人员正常就餐。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专项资金支出为了确保在职人员的正常办公，生活秩序，做好2024年的大京风景名胜区管理中心食堂就餐，3A级旅游景区复核和省级风景名胜区检查等工作。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实际支出中以下项目未做年初预算，具体情况如下：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1、大京提质与旅游服务设施提升6.70万元，资金来源为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上级专款省级林业生态保护修复及发展资金（大京提质与旅游服务设施提升）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；2、租金返还2.00万元；资金来源为租金非税收入返还。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资金支出进度分配不均匀，有待进一步加强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争取加大项目资金投入，同时高度重视绩效管理工作，及时掌握绩效运行情况，资金支出进度等，全面提高资金使用效益。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本单位没有独立公开网站，自评结果在芦淞区政府官网上公示公开，接受社会监督。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7B40"/>
    <w:multiLevelType w:val="singleLevel"/>
    <w:tmpl w:val="D0227B4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jg3NjVmZmU4MjJhYzIzZjM0NWY1OWYwNjhhMzg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4F70F7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DD5FD7"/>
    <w:rsid w:val="14E33844"/>
    <w:rsid w:val="14EA23A8"/>
    <w:rsid w:val="15A27FE2"/>
    <w:rsid w:val="1627453B"/>
    <w:rsid w:val="17197045"/>
    <w:rsid w:val="175C6F5E"/>
    <w:rsid w:val="178E31BF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7DE2311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2F2A46CD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056241"/>
    <w:rsid w:val="39312765"/>
    <w:rsid w:val="393A2055"/>
    <w:rsid w:val="399C1F0E"/>
    <w:rsid w:val="3A003CFF"/>
    <w:rsid w:val="3A1339C4"/>
    <w:rsid w:val="3A96323D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473423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076D0D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1382</Words>
  <Characters>1471</Characters>
  <Lines>0</Lines>
  <Paragraphs>0</Paragraphs>
  <TotalTime>12</TotalTime>
  <ScaleCrop>false</ScaleCrop>
  <LinksUpToDate>false</LinksUpToDate>
  <CharactersWithSpaces>1472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dcterms:modified xsi:type="dcterms:W3CDTF">2025-10-20T09:06:02Z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73812D5DADE74F088BED182D314BEA16_13</vt:lpwstr>
  </property>
</Properties>
</file>