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D294E">
      <w:pPr>
        <w:jc w:val="center"/>
        <w:rPr>
          <w:rFonts w:eastAsia="方正小标宋_GBK"/>
          <w:sz w:val="48"/>
          <w:szCs w:val="48"/>
        </w:rPr>
      </w:pPr>
      <w:bookmarkStart w:id="0" w:name="_GoBack"/>
      <w:bookmarkEnd w:id="0"/>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rPr>
        <w:t>董家塅街道办事处</w:t>
      </w:r>
      <w:r>
        <w:rPr>
          <w:rFonts w:hint="eastAsia" w:eastAsia="方正小标宋_GBK"/>
          <w:sz w:val="48"/>
          <w:szCs w:val="48"/>
          <w:lang w:eastAsia="zh-CN"/>
        </w:rPr>
        <w:t>整体</w:t>
      </w:r>
      <w:r>
        <w:rPr>
          <w:rFonts w:eastAsia="方正小标宋_GBK"/>
          <w:sz w:val="48"/>
          <w:szCs w:val="48"/>
        </w:rPr>
        <w:t>支出</w:t>
      </w:r>
    </w:p>
    <w:p w14:paraId="7EDF8C7B">
      <w:pPr>
        <w:jc w:val="center"/>
        <w:rPr>
          <w:rFonts w:eastAsia="方正小标宋_GBK"/>
          <w:sz w:val="48"/>
          <w:szCs w:val="48"/>
        </w:rPr>
      </w:pPr>
      <w:r>
        <w:rPr>
          <w:rFonts w:eastAsia="方正小标宋_GBK"/>
          <w:sz w:val="48"/>
          <w:szCs w:val="48"/>
        </w:rPr>
        <w:t>绩效自评报告</w:t>
      </w:r>
    </w:p>
    <w:p w14:paraId="2D79DCB2">
      <w:pPr>
        <w:jc w:val="center"/>
        <w:rPr>
          <w:rFonts w:eastAsia="黑体"/>
          <w:sz w:val="32"/>
          <w:szCs w:val="32"/>
        </w:rPr>
      </w:pPr>
    </w:p>
    <w:p w14:paraId="37B2E9E9">
      <w:pPr>
        <w:jc w:val="center"/>
        <w:rPr>
          <w:rFonts w:eastAsia="黑体"/>
          <w:sz w:val="32"/>
          <w:szCs w:val="32"/>
        </w:rPr>
      </w:pPr>
    </w:p>
    <w:p w14:paraId="285EEB8A">
      <w:pPr>
        <w:jc w:val="center"/>
        <w:rPr>
          <w:rFonts w:eastAsia="黑体"/>
          <w:sz w:val="32"/>
          <w:szCs w:val="32"/>
        </w:rPr>
      </w:pPr>
    </w:p>
    <w:p w14:paraId="7434AE98">
      <w:pPr>
        <w:jc w:val="center"/>
        <w:rPr>
          <w:rFonts w:eastAsia="黑体"/>
          <w:sz w:val="32"/>
          <w:szCs w:val="32"/>
        </w:rPr>
      </w:pPr>
    </w:p>
    <w:p w14:paraId="399AF19F">
      <w:pPr>
        <w:jc w:val="center"/>
        <w:rPr>
          <w:rFonts w:eastAsia="黑体"/>
          <w:sz w:val="32"/>
          <w:szCs w:val="32"/>
        </w:rPr>
      </w:pPr>
    </w:p>
    <w:p w14:paraId="65944B1E">
      <w:pPr>
        <w:jc w:val="center"/>
        <w:rPr>
          <w:rFonts w:eastAsia="黑体"/>
          <w:sz w:val="32"/>
          <w:szCs w:val="32"/>
        </w:rPr>
      </w:pPr>
    </w:p>
    <w:p w14:paraId="7B5B0E1E">
      <w:pPr>
        <w:jc w:val="center"/>
        <w:rPr>
          <w:rFonts w:eastAsia="黑体"/>
          <w:sz w:val="32"/>
          <w:szCs w:val="32"/>
        </w:rPr>
      </w:pPr>
    </w:p>
    <w:p w14:paraId="48ABE4D1">
      <w:pPr>
        <w:ind w:firstLine="880" w:firstLineChars="200"/>
        <w:jc w:val="center"/>
        <w:rPr>
          <w:rFonts w:eastAsia="黑体"/>
          <w:sz w:val="44"/>
          <w:szCs w:val="44"/>
        </w:rPr>
      </w:pPr>
    </w:p>
    <w:p w14:paraId="4AFD0331">
      <w:pPr>
        <w:ind w:firstLine="880" w:firstLineChars="200"/>
        <w:jc w:val="center"/>
        <w:rPr>
          <w:rFonts w:eastAsia="黑体"/>
          <w:sz w:val="44"/>
          <w:szCs w:val="44"/>
        </w:rPr>
      </w:pPr>
    </w:p>
    <w:p w14:paraId="5C74A64B">
      <w:pPr>
        <w:ind w:firstLine="880" w:firstLineChars="200"/>
        <w:jc w:val="center"/>
        <w:rPr>
          <w:rFonts w:eastAsia="黑体"/>
          <w:sz w:val="44"/>
          <w:szCs w:val="44"/>
        </w:rPr>
      </w:pPr>
    </w:p>
    <w:p w14:paraId="34A5737F">
      <w:pPr>
        <w:jc w:val="both"/>
        <w:rPr>
          <w:rFonts w:hint="eastAsia" w:eastAsia="黑体"/>
          <w:sz w:val="36"/>
          <w:szCs w:val="36"/>
          <w:lang w:val="en-US" w:eastAsia="zh-CN"/>
        </w:rPr>
      </w:pPr>
      <w:r>
        <w:rPr>
          <w:rFonts w:eastAsia="黑体"/>
          <w:sz w:val="36"/>
          <w:szCs w:val="36"/>
        </w:rPr>
        <w:t>单位名称（盖章）：</w:t>
      </w:r>
      <w:r>
        <w:rPr>
          <w:rFonts w:hint="eastAsia" w:eastAsia="黑体"/>
          <w:sz w:val="36"/>
          <w:szCs w:val="36"/>
          <w:lang w:eastAsia="zh-CN"/>
        </w:rPr>
        <w:t>株洲市芦淞区董家塅街道办事处</w:t>
      </w:r>
    </w:p>
    <w:p w14:paraId="61269067">
      <w:pPr>
        <w:jc w:val="center"/>
        <w:rPr>
          <w:rFonts w:eastAsia="黑体"/>
          <w:sz w:val="36"/>
          <w:szCs w:val="36"/>
        </w:rPr>
      </w:pPr>
    </w:p>
    <w:p w14:paraId="1953666F">
      <w:pPr>
        <w:jc w:val="center"/>
        <w:rPr>
          <w:rFonts w:eastAsia="黑体"/>
          <w:sz w:val="32"/>
          <w:szCs w:val="32"/>
        </w:rPr>
      </w:pPr>
    </w:p>
    <w:p w14:paraId="6C3785DC">
      <w:pPr>
        <w:jc w:val="center"/>
        <w:rPr>
          <w:rFonts w:eastAsia="黑体"/>
          <w:sz w:val="32"/>
          <w:szCs w:val="32"/>
        </w:rPr>
      </w:pPr>
    </w:p>
    <w:p w14:paraId="4AA4F720">
      <w:pPr>
        <w:jc w:val="center"/>
        <w:rPr>
          <w:rFonts w:eastAsia="黑体"/>
          <w:sz w:val="32"/>
          <w:szCs w:val="32"/>
        </w:rPr>
      </w:pPr>
    </w:p>
    <w:p w14:paraId="702691EB">
      <w:pPr>
        <w:jc w:val="center"/>
        <w:rPr>
          <w:rFonts w:eastAsia="黑体"/>
          <w:sz w:val="32"/>
          <w:szCs w:val="32"/>
        </w:rPr>
      </w:pPr>
    </w:p>
    <w:p w14:paraId="64E811BC">
      <w:pPr>
        <w:jc w:val="center"/>
        <w:rPr>
          <w:rFonts w:eastAsia="黑体"/>
          <w:sz w:val="32"/>
          <w:szCs w:val="32"/>
        </w:rPr>
      </w:pPr>
    </w:p>
    <w:p w14:paraId="3273D6DA">
      <w:pPr>
        <w:jc w:val="center"/>
        <w:rPr>
          <w:rFonts w:eastAsia="黑体"/>
          <w:sz w:val="32"/>
          <w:szCs w:val="32"/>
        </w:rPr>
      </w:pPr>
    </w:p>
    <w:p w14:paraId="608EF080">
      <w:pPr>
        <w:spacing w:line="600" w:lineRule="exact"/>
        <w:ind w:firstLine="640" w:firstLineChars="200"/>
        <w:rPr>
          <w:rFonts w:eastAsia="黑体"/>
          <w:sz w:val="32"/>
          <w:szCs w:val="32"/>
        </w:rPr>
      </w:pPr>
      <w:r>
        <w:rPr>
          <w:rFonts w:eastAsia="仿宋_GB2312"/>
          <w:sz w:val="32"/>
          <w:szCs w:val="32"/>
        </w:rPr>
        <w:br w:type="page"/>
      </w:r>
      <w:r>
        <w:rPr>
          <w:rFonts w:eastAsia="黑体"/>
          <w:sz w:val="32"/>
          <w:szCs w:val="32"/>
        </w:rPr>
        <w:t>一、基本情况</w:t>
      </w:r>
    </w:p>
    <w:p w14:paraId="4DBB6356">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lang w:eastAsia="zh-CN"/>
        </w:rPr>
        <w:t>部门（</w:t>
      </w:r>
      <w:r>
        <w:rPr>
          <w:rFonts w:eastAsia="楷体_GB2312"/>
          <w:b/>
          <w:sz w:val="32"/>
          <w:szCs w:val="32"/>
        </w:rPr>
        <w:t>单位</w:t>
      </w:r>
      <w:r>
        <w:rPr>
          <w:rFonts w:hint="eastAsia" w:eastAsia="楷体_GB2312"/>
          <w:b/>
          <w:sz w:val="32"/>
          <w:szCs w:val="32"/>
          <w:lang w:eastAsia="zh-CN"/>
        </w:rPr>
        <w:t>）</w:t>
      </w:r>
      <w:r>
        <w:rPr>
          <w:rFonts w:eastAsia="楷体_GB2312"/>
          <w:b/>
          <w:sz w:val="32"/>
          <w:szCs w:val="32"/>
        </w:rPr>
        <w:t>基本情况</w:t>
      </w:r>
    </w:p>
    <w:p w14:paraId="697BE959">
      <w:pPr>
        <w:pStyle w:val="2"/>
        <w:rPr>
          <w:rFonts w:hint="eastAsia"/>
          <w:lang w:val="en-US" w:eastAsia="zh-CN"/>
        </w:rPr>
      </w:pPr>
      <w:r>
        <w:rPr>
          <w:rFonts w:hint="eastAsia"/>
          <w:lang w:val="en-US" w:eastAsia="zh-CN"/>
        </w:rPr>
        <w:t>1.机构情况</w:t>
      </w:r>
    </w:p>
    <w:p w14:paraId="1622BC1D">
      <w:pPr>
        <w:pStyle w:val="2"/>
        <w:rPr>
          <w:rFonts w:hint="eastAsia"/>
          <w:lang w:val="en-US" w:eastAsia="zh-CN"/>
        </w:rPr>
      </w:pPr>
      <w:r>
        <w:rPr>
          <w:rFonts w:hint="eastAsia"/>
          <w:lang w:val="en-US" w:eastAsia="zh-CN"/>
        </w:rPr>
        <w:t>2024年本单位设内设机构5个、其他机构1个，包括：1.内设机构：党政办公室、党建办公室、经济发展办公室、民生事务办公室、平安法治和应急管理办公室；2.其他机构：财政办公室。此外，街道按有关规定或章程设置人大、纪检监察、人民武装等机构和工会、共青团、妇联等组织，明确由街道党政领导分管。办事处属于县级一级预算单位，执行行政单位会计制度。</w:t>
      </w:r>
    </w:p>
    <w:p w14:paraId="5E0035AA">
      <w:pPr>
        <w:pStyle w:val="2"/>
        <w:rPr>
          <w:rFonts w:hint="default"/>
          <w:lang w:val="en-US" w:eastAsia="zh-CN"/>
        </w:rPr>
      </w:pPr>
      <w:r>
        <w:rPr>
          <w:rFonts w:hint="eastAsia"/>
          <w:lang w:val="en-US" w:eastAsia="zh-CN"/>
        </w:rPr>
        <w:t>2.主要职能</w:t>
      </w:r>
    </w:p>
    <w:p w14:paraId="29FAE3C6">
      <w:pPr>
        <w:pStyle w:val="2"/>
        <w:rPr>
          <w:rFonts w:hint="eastAsia"/>
          <w:lang w:val="en-US" w:eastAsia="zh-CN"/>
        </w:rPr>
      </w:pPr>
      <w:r>
        <w:rPr>
          <w:rFonts w:hint="eastAsia"/>
          <w:lang w:val="en-US" w:eastAsia="zh-CN"/>
        </w:rPr>
        <w:t>（1）加强党的建设。落实基层党建工作责任制，加强党对基层治理的全面领导，统筹抓好基层党建工作和基层党组织建设各项制度，增强基层党组织的政治属性和服务功能。推进全面从严治党，强化“两个责任”，确保党的路线方针政策在基层得到全面贯彻落实。</w:t>
      </w:r>
    </w:p>
    <w:p w14:paraId="1C98C0C7">
      <w:pPr>
        <w:pStyle w:val="2"/>
        <w:rPr>
          <w:rFonts w:hint="eastAsia"/>
          <w:lang w:val="en-US" w:eastAsia="zh-CN"/>
        </w:rPr>
      </w:pPr>
      <w:r>
        <w:rPr>
          <w:rFonts w:hint="eastAsia"/>
          <w:lang w:val="en-US" w:eastAsia="zh-CN"/>
        </w:rPr>
        <w:t>（2）服务经济发展。统筹落实社区发展的重大决策和社区建设规划，参与辖区公共服务设施建设规划，推动辖区健康、有序、可持续发展。优化发展环境，协助做好企业信息采集、项目发展、优化营商环境等工作。</w:t>
      </w:r>
    </w:p>
    <w:p w14:paraId="113F6D7D">
      <w:pPr>
        <w:pStyle w:val="2"/>
        <w:rPr>
          <w:rFonts w:hint="eastAsia"/>
          <w:lang w:val="en-US" w:eastAsia="zh-CN"/>
        </w:rPr>
      </w:pPr>
      <w:r>
        <w:rPr>
          <w:rFonts w:hint="eastAsia"/>
          <w:lang w:val="en-US" w:eastAsia="zh-CN"/>
        </w:rPr>
        <w:t>（3）组织公共服务。组织实施与居民生活密切相关的公共服务，落实劳动就业、社会保障、法律援助、基本医疗卫生、文旅体、环境保护等公共服务方面的相关政策。</w:t>
      </w:r>
    </w:p>
    <w:p w14:paraId="7F208611">
      <w:pPr>
        <w:pStyle w:val="2"/>
        <w:rPr>
          <w:rFonts w:hint="eastAsia"/>
          <w:lang w:val="en-US" w:eastAsia="zh-CN"/>
        </w:rPr>
      </w:pPr>
      <w:r>
        <w:rPr>
          <w:rFonts w:hint="eastAsia"/>
          <w:lang w:val="en-US" w:eastAsia="zh-CN"/>
        </w:rPr>
        <w:t>（4）实施公共管理。科学设置管理网格，对辖区内城市管理、人口管理、社会管理、民生保障等区域性、综合性工作，承担组织领导、综合协调和监督检查职责。</w:t>
      </w:r>
    </w:p>
    <w:p w14:paraId="2CCA02C8">
      <w:pPr>
        <w:pStyle w:val="2"/>
        <w:rPr>
          <w:rFonts w:hint="eastAsia"/>
          <w:lang w:val="en-US" w:eastAsia="zh-CN"/>
        </w:rPr>
      </w:pPr>
      <w:r>
        <w:rPr>
          <w:rFonts w:hint="eastAsia"/>
          <w:lang w:val="en-US" w:eastAsia="zh-CN"/>
        </w:rPr>
        <w:t>（5）开展基层执法。整合基层一线执法力量，充分发挥属地管理优势，强化对辖区范围内执法力量的统一指挥和统筹协调，组织开展群众监督和社会监督。</w:t>
      </w:r>
    </w:p>
    <w:p w14:paraId="29EE1E33">
      <w:pPr>
        <w:pStyle w:val="2"/>
        <w:rPr>
          <w:rFonts w:hint="eastAsia"/>
          <w:lang w:val="en-US" w:eastAsia="zh-CN"/>
        </w:rPr>
      </w:pPr>
      <w:r>
        <w:rPr>
          <w:rFonts w:hint="eastAsia"/>
          <w:lang w:val="en-US" w:eastAsia="zh-CN"/>
        </w:rPr>
        <w:t>（6）指导基层治理。指导居（村）民委员会建设，健全自治功能，组织居（村）民和辖区单位参与社区（村）建设和治理。动员和支持各类驻辖区单位、居（村）民、社会组织及志愿者等力量参与社会治理，引导辖区内单位履行社会责任，整合辖区内各种社会力量为社区（村）发展服务。</w:t>
      </w:r>
    </w:p>
    <w:p w14:paraId="364364F5">
      <w:pPr>
        <w:pStyle w:val="2"/>
        <w:rPr>
          <w:rFonts w:hint="eastAsia"/>
          <w:lang w:val="en-US" w:eastAsia="zh-CN"/>
        </w:rPr>
      </w:pPr>
      <w:r>
        <w:rPr>
          <w:rFonts w:hint="eastAsia"/>
          <w:lang w:val="en-US" w:eastAsia="zh-CN"/>
        </w:rPr>
        <w:t>（7）维护公共安全。负责辖区内社会治安综合管理有关工作，处理群众来信来访，反映社情民意，化解矛盾纠纷等。</w:t>
      </w:r>
    </w:p>
    <w:p w14:paraId="1979D3DB">
      <w:pPr>
        <w:pStyle w:val="2"/>
        <w:rPr>
          <w:rFonts w:hint="eastAsia"/>
          <w:lang w:val="en-US" w:eastAsia="zh-CN"/>
        </w:rPr>
      </w:pPr>
      <w:r>
        <w:rPr>
          <w:rFonts w:hint="eastAsia"/>
          <w:lang w:val="en-US" w:eastAsia="zh-CN"/>
        </w:rPr>
        <w:t>（8）做好国防动员。开展国防教育，抓好征兵工作，组织民兵训练。</w:t>
      </w:r>
    </w:p>
    <w:p w14:paraId="42E2D701">
      <w:pPr>
        <w:pStyle w:val="2"/>
        <w:rPr>
          <w:rFonts w:hint="eastAsia"/>
          <w:lang w:val="en-US" w:eastAsia="zh-CN"/>
        </w:rPr>
      </w:pPr>
      <w:r>
        <w:rPr>
          <w:rFonts w:hint="eastAsia"/>
          <w:lang w:val="en-US" w:eastAsia="zh-CN"/>
        </w:rPr>
        <w:t>（9）完成区委、区政府交办的其他工作任务。</w:t>
      </w:r>
    </w:p>
    <w:p w14:paraId="62EE4CA1">
      <w:pPr>
        <w:pStyle w:val="2"/>
        <w:rPr>
          <w:rFonts w:hint="eastAsia"/>
          <w:lang w:val="en-US" w:eastAsia="zh-CN"/>
        </w:rPr>
      </w:pPr>
      <w:r>
        <w:rPr>
          <w:rFonts w:hint="eastAsia"/>
          <w:lang w:val="en-US" w:eastAsia="zh-CN"/>
        </w:rPr>
        <w:t>3.人员情况</w:t>
      </w:r>
    </w:p>
    <w:p w14:paraId="0B8B42F6">
      <w:pPr>
        <w:pStyle w:val="2"/>
        <w:rPr>
          <w:rFonts w:hint="eastAsia"/>
          <w:lang w:val="en-US" w:eastAsia="zh-CN"/>
        </w:rPr>
      </w:pPr>
      <w:r>
        <w:rPr>
          <w:rFonts w:hint="eastAsia"/>
          <w:lang w:val="en-US" w:eastAsia="zh-CN"/>
        </w:rPr>
        <w:t>2024年本单位年未实有人数48人（其中：行政编制23人，事业编制25人）。</w:t>
      </w:r>
    </w:p>
    <w:p w14:paraId="1DA871B7">
      <w:pPr>
        <w:spacing w:line="600" w:lineRule="exact"/>
        <w:ind w:firstLine="643" w:firstLineChars="200"/>
        <w:rPr>
          <w:rFonts w:hint="eastAsia" w:eastAsia="楷体_GB2312"/>
          <w:b/>
          <w:sz w:val="32"/>
          <w:szCs w:val="32"/>
          <w:lang w:eastAsia="zh-CN"/>
        </w:rPr>
      </w:pPr>
      <w:r>
        <w:rPr>
          <w:rFonts w:eastAsia="楷体_GB2312"/>
          <w:b/>
          <w:sz w:val="32"/>
          <w:szCs w:val="32"/>
        </w:rPr>
        <w:t>（二）年度整体支出绩效目标</w:t>
      </w:r>
    </w:p>
    <w:p w14:paraId="5AE3DA75">
      <w:pPr>
        <w:pStyle w:val="6"/>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党建引领与队伍赋能工程：基层党组织战斗堡垒作用显著增强，政治功能和组织功能得到充分发挥；党员干部队伍能力素质全面提升，在政策宣讲、矛盾调解、服务群众等方面发挥骨干作用；党建品牌创建取得新成效，党建工作与街道中心工作深度融合、相互促进。</w:t>
      </w:r>
    </w:p>
    <w:p w14:paraId="3EB16B52">
      <w:pPr>
        <w:pStyle w:val="6"/>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平安建设与信访维稳攻坚：社会治安防控体系更加完善，可防性案件发案率稳步下降，居民安全感持续提升。矛盾纠纷排查化解成功率达到既定目标，重大风险隐患预警处置及时有效。圆满完成重大活动、重要节点安保维稳任务，持续实现“进京零非访”目标。</w:t>
      </w:r>
    </w:p>
    <w:p w14:paraId="74E0533C">
      <w:pPr>
        <w:pStyle w:val="6"/>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城市精细化管理提质行动：市容环境综合考评成绩优良，主次干道、背街小巷保洁水平整体提升；生活垃圾分类成效巩固，居民分类准确率与投放便利度同步提高；城市管理问题发现、处置、反馈机制高效运行。</w:t>
      </w:r>
    </w:p>
    <w:p w14:paraId="379A01DB">
      <w:pPr>
        <w:pStyle w:val="6"/>
        <w:spacing w:line="600" w:lineRule="exact"/>
        <w:ind w:firstLine="640"/>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民生保障精准化服务：社会救助审核审批规范高效，实现困难群众“应保尽保、应救尽救、动态管理”；特殊困难群体（老年人、残疾人、未成年人等）关爱服务体系更加健全；各项惠民政策宣传到位、落实精准，困难群众基本生活得到有力保障。</w:t>
      </w:r>
    </w:p>
    <w:p w14:paraId="0C77D35D">
      <w:pPr>
        <w:pStyle w:val="6"/>
        <w:spacing w:line="600" w:lineRule="exact"/>
        <w:ind w:firstLine="640"/>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就业促进与民生福祉提升：公共就业服务体系更加完善，年度新增就业、失业人员再就业等指标顺利完成；职业技能培训、创业扶持工作有效开展，重点群体就业保持稳定；基础公共服务供给持续优化，居民基本生活需求得到更好满足。</w:t>
      </w:r>
    </w:p>
    <w:p w14:paraId="113FF3E1">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056E0123">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6E5A7512">
      <w:pPr>
        <w:pStyle w:val="2"/>
        <w:rPr>
          <w:rFonts w:hint="eastAsia"/>
          <w:lang w:val="en-US" w:eastAsia="zh-CN"/>
        </w:rPr>
      </w:pPr>
      <w:r>
        <w:rPr>
          <w:rFonts w:hint="eastAsia"/>
          <w:lang w:val="en-US" w:eastAsia="zh-CN"/>
        </w:rPr>
        <w:t>1.</w:t>
      </w:r>
      <w:r>
        <w:rPr>
          <w:rFonts w:hint="default"/>
          <w:lang w:val="en-US" w:eastAsia="zh-CN"/>
        </w:rPr>
        <w:t>2024</w:t>
      </w:r>
      <w:r>
        <w:rPr>
          <w:rFonts w:hint="default"/>
        </w:rPr>
        <w:t>年预算资金893.49万元</w:t>
      </w:r>
      <w:r>
        <w:rPr>
          <w:rFonts w:hint="eastAsia"/>
          <w:lang w:val="en-US" w:eastAsia="zh-CN"/>
        </w:rPr>
        <w:t>.</w:t>
      </w:r>
    </w:p>
    <w:p w14:paraId="10010EFD">
      <w:pPr>
        <w:pStyle w:val="2"/>
        <w:rPr>
          <w:rFonts w:hint="eastAsia"/>
          <w:lang w:val="en-US" w:eastAsia="zh-CN"/>
        </w:rPr>
      </w:pPr>
      <w:r>
        <w:rPr>
          <w:rFonts w:hint="default"/>
          <w:lang w:val="en-US" w:eastAsia="zh-CN"/>
        </w:rPr>
        <w:t>2</w:t>
      </w:r>
      <w:r>
        <w:rPr>
          <w:rFonts w:hint="eastAsia"/>
          <w:lang w:val="en-US" w:eastAsia="zh-CN"/>
        </w:rPr>
        <w:t>.</w:t>
      </w:r>
      <w:r>
        <w:rPr>
          <w:rFonts w:hint="default"/>
          <w:lang w:val="en-US" w:eastAsia="zh-CN"/>
        </w:rPr>
        <w:t>2024年度</w:t>
      </w:r>
      <w:r>
        <w:rPr>
          <w:rFonts w:hint="default"/>
        </w:rPr>
        <w:t>单位一般公共预算财政拨款收入1727.5万元</w:t>
      </w:r>
      <w:r>
        <w:rPr>
          <w:rFonts w:hint="eastAsia"/>
          <w:lang w:eastAsia="zh-CN"/>
        </w:rPr>
        <w:t>。</w:t>
      </w:r>
    </w:p>
    <w:p w14:paraId="0BCEB894">
      <w:pPr>
        <w:pStyle w:val="2"/>
        <w:rPr>
          <w:rFonts w:hint="default"/>
          <w:lang w:val="en-US" w:eastAsia="zh-CN"/>
        </w:rPr>
      </w:pPr>
      <w:r>
        <w:rPr>
          <w:rFonts w:hint="default"/>
        </w:rPr>
        <w:t>3.</w:t>
      </w:r>
      <w:r>
        <w:rPr>
          <w:rFonts w:hint="default"/>
          <w:lang w:val="en-US" w:eastAsia="zh-CN"/>
        </w:rPr>
        <w:t>202</w:t>
      </w:r>
      <w:r>
        <w:rPr>
          <w:rFonts w:hint="eastAsia"/>
          <w:lang w:val="en-US" w:eastAsia="zh-CN"/>
        </w:rPr>
        <w:t>4</w:t>
      </w:r>
      <w:r>
        <w:rPr>
          <w:rFonts w:hint="default"/>
          <w:lang w:val="en-US" w:eastAsia="zh-CN"/>
        </w:rPr>
        <w:t>年度</w:t>
      </w:r>
      <w:r>
        <w:rPr>
          <w:rFonts w:hint="default"/>
        </w:rPr>
        <w:t>单位一般公共预算财政拨款</w:t>
      </w:r>
      <w:r>
        <w:rPr>
          <w:rFonts w:hint="default"/>
          <w:lang w:eastAsia="zh-CN"/>
        </w:rPr>
        <w:t>支出</w:t>
      </w:r>
      <w:r>
        <w:rPr>
          <w:rFonts w:hint="default"/>
        </w:rPr>
        <w:t>1727.5万元</w:t>
      </w:r>
      <w:r>
        <w:rPr>
          <w:rFonts w:hint="eastAsia"/>
          <w:lang w:eastAsia="zh-CN"/>
        </w:rPr>
        <w:t>。</w:t>
      </w:r>
      <w:r>
        <w:rPr>
          <w:rFonts w:hint="default"/>
        </w:rPr>
        <w:t>其中：项目支出</w:t>
      </w:r>
      <w:r>
        <w:rPr>
          <w:rFonts w:hint="eastAsia"/>
          <w:lang w:val="en-US" w:eastAsia="zh-CN"/>
        </w:rPr>
        <w:t>663.77</w:t>
      </w:r>
      <w:r>
        <w:rPr>
          <w:rFonts w:hint="default"/>
        </w:rPr>
        <w:t>万元，基本支出</w:t>
      </w:r>
      <w:r>
        <w:rPr>
          <w:rFonts w:hint="eastAsia"/>
          <w:lang w:val="en-US" w:eastAsia="zh-CN"/>
        </w:rPr>
        <w:t>1063.73</w:t>
      </w:r>
      <w:r>
        <w:rPr>
          <w:rFonts w:hint="default"/>
        </w:rPr>
        <w:t>万元</w:t>
      </w:r>
      <w:r>
        <w:rPr>
          <w:rFonts w:hint="eastAsia"/>
          <w:lang w:eastAsia="zh-CN"/>
        </w:rPr>
        <w:t>，</w:t>
      </w:r>
      <w:r>
        <w:rPr>
          <w:rFonts w:hint="default"/>
        </w:rPr>
        <w:t>其中：人员经费</w:t>
      </w:r>
      <w:r>
        <w:rPr>
          <w:rFonts w:hint="eastAsia"/>
          <w:lang w:val="en-US" w:eastAsia="zh-CN"/>
        </w:rPr>
        <w:t>803.86</w:t>
      </w:r>
      <w:r>
        <w:rPr>
          <w:rFonts w:hint="default"/>
        </w:rPr>
        <w:t>万元，公用经费</w:t>
      </w:r>
      <w:r>
        <w:rPr>
          <w:rFonts w:hint="eastAsia"/>
          <w:lang w:val="en-US" w:eastAsia="zh-CN"/>
        </w:rPr>
        <w:t>259.87</w:t>
      </w:r>
      <w:r>
        <w:rPr>
          <w:rFonts w:hint="default"/>
          <w:lang w:val="en-US" w:eastAsia="zh-CN"/>
        </w:rPr>
        <w:t>万</w:t>
      </w:r>
      <w:r>
        <w:rPr>
          <w:rFonts w:hint="default"/>
        </w:rPr>
        <w:t>元。</w:t>
      </w:r>
    </w:p>
    <w:p w14:paraId="309820A6">
      <w:pPr>
        <w:pStyle w:val="6"/>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55FE6EA5">
      <w:pPr>
        <w:pStyle w:val="2"/>
        <w:rPr>
          <w:rFonts w:hint="eastAsia"/>
          <w:lang w:val="en-US" w:eastAsia="zh-CN"/>
        </w:rPr>
      </w:pPr>
      <w:r>
        <w:rPr>
          <w:rFonts w:hint="eastAsia"/>
          <w:lang w:val="en-US" w:eastAsia="zh-CN"/>
        </w:rPr>
        <w:t>2024年度，一般公共预算拨款项目支出663.77万元。</w:t>
      </w:r>
    </w:p>
    <w:p w14:paraId="4C2A4FCB">
      <w:pPr>
        <w:pStyle w:val="2"/>
        <w:rPr>
          <w:rFonts w:hint="default"/>
          <w:lang w:val="en-US" w:eastAsia="zh-CN"/>
        </w:rPr>
      </w:pPr>
      <w:r>
        <w:rPr>
          <w:rFonts w:hint="eastAsia"/>
          <w:lang w:val="en-US" w:eastAsia="zh-CN"/>
        </w:rPr>
        <w:t>1.董家塅片区保洁经费项目支出89.72万元；2.社区、村非税收入项目支出5.5万元；3.十个社区四个村第5次经济普查工作经费项目支出2.79万元；4.2022年市本级社区经费补助项目支出50万元；5.社区、老体制退休人员生活补助项目支出5.1万元；6.涉退役军人群体就业援助及公益性岗位补贴和社保补贴项目支出47.53万元；7.朱田铺村垮塌护坡安全隐患排除资金及灾害治理工作经费和社区城管考评奖金项目支出26.8万元；8.十个社区四个村运转及网格人员经费项目支出433.33万元；9.五里墩村扶持软弱涣散党组织经费项目支出3万元。</w:t>
      </w:r>
    </w:p>
    <w:p w14:paraId="3145C7D2">
      <w:pPr>
        <w:pStyle w:val="6"/>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三、政府性基金预算支出情况</w:t>
      </w:r>
    </w:p>
    <w:p w14:paraId="404E7D11">
      <w:pPr>
        <w:pStyle w:val="2"/>
        <w:rPr>
          <w:rFonts w:hint="default"/>
          <w:lang w:val="en-US" w:eastAsia="zh-CN"/>
        </w:rPr>
      </w:pPr>
      <w:r>
        <w:rPr>
          <w:rFonts w:hint="eastAsia"/>
          <w:lang w:val="en-US" w:eastAsia="zh-CN"/>
        </w:rPr>
        <w:t>2024年度政府性基金预算支出6万元。其中：1.友好社区居民健身小广场建设资金3万元；2.南华社区2022年健身广场建设经费3万元。</w:t>
      </w:r>
    </w:p>
    <w:p w14:paraId="059465C7">
      <w:pPr>
        <w:pStyle w:val="6"/>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四、国有资本经营预算支出情况</w:t>
      </w:r>
    </w:p>
    <w:p w14:paraId="00F01894">
      <w:pPr>
        <w:pStyle w:val="2"/>
        <w:rPr>
          <w:rFonts w:hint="default"/>
          <w:lang w:val="en-US" w:eastAsia="zh-CN"/>
        </w:rPr>
      </w:pPr>
      <w:r>
        <w:rPr>
          <w:rFonts w:hint="eastAsia"/>
          <w:lang w:val="en-US" w:eastAsia="zh-CN"/>
        </w:rPr>
        <w:t>2024年度本单位没有国有资本经营预算收入，</w:t>
      </w:r>
      <w:r>
        <w:rPr>
          <w:rFonts w:hint="eastAsia" w:ascii="Times New Roman" w:hAnsi="Times New Roman" w:eastAsia="仿宋_GB2312" w:cs="Times New Roman"/>
          <w:sz w:val="32"/>
          <w:szCs w:val="32"/>
        </w:rPr>
        <w:t>也没有国有资本经营预算</w:t>
      </w:r>
      <w:r>
        <w:rPr>
          <w:rFonts w:hint="eastAsia" w:cs="Times New Roman"/>
          <w:sz w:val="32"/>
          <w:szCs w:val="32"/>
          <w:lang w:eastAsia="zh-CN"/>
        </w:rPr>
        <w:t>支出。</w:t>
      </w:r>
    </w:p>
    <w:p w14:paraId="051FD3F2">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五、社会保险基金预算支出情况</w:t>
      </w:r>
    </w:p>
    <w:p w14:paraId="5322EA51">
      <w:pPr>
        <w:pStyle w:val="2"/>
        <w:rPr>
          <w:rFonts w:hint="default"/>
          <w:lang w:val="en-US" w:eastAsia="zh-CN"/>
        </w:rPr>
      </w:pPr>
      <w:r>
        <w:rPr>
          <w:rFonts w:hint="eastAsia"/>
          <w:lang w:val="en-US" w:eastAsia="zh-CN"/>
        </w:rPr>
        <w:t>2024年度本单位没有社会保险基金预算收入，</w:t>
      </w:r>
      <w:r>
        <w:rPr>
          <w:rFonts w:hint="eastAsia" w:ascii="Times New Roman" w:hAnsi="Times New Roman" w:eastAsia="仿宋_GB2312" w:cs="Times New Roman"/>
          <w:sz w:val="32"/>
          <w:szCs w:val="32"/>
        </w:rPr>
        <w:t>也没有社会保险基金预算</w:t>
      </w:r>
      <w:r>
        <w:rPr>
          <w:rFonts w:hint="eastAsia" w:cs="Times New Roman"/>
          <w:sz w:val="32"/>
          <w:szCs w:val="32"/>
          <w:lang w:eastAsia="zh-CN"/>
        </w:rPr>
        <w:t>支出。</w:t>
      </w:r>
    </w:p>
    <w:p w14:paraId="05F19B36">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EB53276">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63B799B6">
      <w:pPr>
        <w:pStyle w:val="2"/>
        <w:rPr>
          <w:rFonts w:hint="eastAsia"/>
          <w:lang w:val="en-US" w:eastAsia="zh-CN"/>
        </w:rPr>
      </w:pPr>
      <w:r>
        <w:rPr>
          <w:rFonts w:hint="eastAsia"/>
          <w:lang w:val="en-US" w:eastAsia="zh-CN"/>
        </w:rPr>
        <w:t>1.资金使用情况</w:t>
      </w:r>
    </w:p>
    <w:p w14:paraId="268A5AB8">
      <w:pPr>
        <w:pStyle w:val="2"/>
        <w:rPr>
          <w:rFonts w:hint="eastAsia"/>
          <w:lang w:val="en-US" w:eastAsia="zh-CN"/>
        </w:rPr>
      </w:pPr>
      <w:r>
        <w:rPr>
          <w:rFonts w:hint="eastAsia"/>
          <w:lang w:val="en-US" w:eastAsia="zh-CN"/>
        </w:rPr>
        <w:t>（1）严格执行“厉行节约、反对浪费”的规定，保障行政和基层各级党组织正常运转和各项工作的顺利开展。</w:t>
      </w:r>
    </w:p>
    <w:p w14:paraId="4407D8E1">
      <w:pPr>
        <w:pStyle w:val="2"/>
        <w:rPr>
          <w:rFonts w:hint="eastAsia"/>
          <w:lang w:val="en-US" w:eastAsia="zh-CN"/>
        </w:rPr>
      </w:pPr>
      <w:r>
        <w:rPr>
          <w:rFonts w:hint="eastAsia"/>
          <w:lang w:val="en-US" w:eastAsia="zh-CN"/>
        </w:rPr>
        <w:t>（2）根据市、区重点工作安排，加大对项目攻坚，控违拆违，强保障惠民生促发展等方面的资金投入。密切联系、服务群众，妥善处理群众来信来访、化解社会矛盾，完善社区基础设施建设和服务配套设施，积极争创特色街道、社区。</w:t>
      </w:r>
    </w:p>
    <w:p w14:paraId="5E7741BA">
      <w:pPr>
        <w:pStyle w:val="2"/>
        <w:rPr>
          <w:rFonts w:hint="eastAsia"/>
          <w:lang w:val="en-US" w:eastAsia="zh-CN"/>
        </w:rPr>
      </w:pPr>
      <w:r>
        <w:rPr>
          <w:rFonts w:hint="eastAsia"/>
          <w:lang w:val="en-US" w:eastAsia="zh-CN"/>
        </w:rPr>
        <w:t>（3）单位建立健全项目建设工作的领导、组织机构，项目建设工作由党政会议集体研究决定，由分管领导具体负责实施。项目招投标按照招投标管理办法进行公开招投标，实行公开、公平竞争。财政资金管理遵循专用原则，严格按照批准的项目预算执行，并按照合同约定和工程价款结算程序支付工程款。对已具备竣工验收条件的项目，及时组织验收、移交使用，及时编报竣工财务决算。同时加强对项目的监督管理，采取事前、事中、事后相结合，日常监督和专项监督相结合的方式，对项目财务行为实施全过程监督管理。</w:t>
      </w:r>
    </w:p>
    <w:p w14:paraId="00EA6CEE">
      <w:pPr>
        <w:pStyle w:val="2"/>
        <w:rPr>
          <w:rFonts w:hint="eastAsia"/>
          <w:lang w:val="en-US" w:eastAsia="zh-CN"/>
        </w:rPr>
      </w:pPr>
      <w:r>
        <w:rPr>
          <w:rFonts w:hint="eastAsia"/>
          <w:lang w:val="en-US" w:eastAsia="zh-CN"/>
        </w:rPr>
        <w:t>2.绩效情况</w:t>
      </w:r>
    </w:p>
    <w:p w14:paraId="48971826">
      <w:pPr>
        <w:pStyle w:val="2"/>
        <w:rPr>
          <w:rFonts w:hint="default"/>
          <w:lang w:val="en-US" w:eastAsia="zh-CN"/>
        </w:rPr>
      </w:pPr>
      <w:r>
        <w:rPr>
          <w:rFonts w:hint="eastAsia"/>
          <w:lang w:val="en-US" w:eastAsia="zh-CN"/>
        </w:rPr>
        <w:t>（1）</w:t>
      </w:r>
      <w:r>
        <w:rPr>
          <w:rFonts w:hint="default"/>
          <w:lang w:val="en-US" w:eastAsia="zh-CN"/>
        </w:rPr>
        <w:t>坚持阵地强化固堡垒，党的建设更加坚实</w:t>
      </w:r>
    </w:p>
    <w:p w14:paraId="5B6A56E9">
      <w:pPr>
        <w:pStyle w:val="2"/>
        <w:rPr>
          <w:rFonts w:hint="default"/>
          <w:lang w:val="en-US" w:eastAsia="zh-CN"/>
        </w:rPr>
      </w:pPr>
      <w:r>
        <w:rPr>
          <w:rFonts w:hint="default"/>
          <w:lang w:val="en-US" w:eastAsia="zh-CN"/>
        </w:rPr>
        <w:t>做实做细片组邻“三长制”工作，推选片组邻“三长”1293名，收集社情646条，调节矛盾纠纷425件。加强五里墩村软弱涣散党组织建设，提升基层党组织战斗力。打造董家塅街道“邻里荟”小区治理特色品牌，党建引领小区治理工作获省市级官媒报道。南沿社区第一退休党支部已完成省级示范退休党支部验收工作。通过党建+医疗模式联合三三一医院开展系列活动，让优质医疗资源下沉基层。组织退休党员趣味运动会，创立退休党员志愿服务队，焕发退休党员活力。</w:t>
      </w:r>
    </w:p>
    <w:p w14:paraId="18E25619">
      <w:pPr>
        <w:pStyle w:val="2"/>
        <w:rPr>
          <w:rFonts w:hint="default"/>
          <w:lang w:val="en-US" w:eastAsia="zh-CN"/>
        </w:rPr>
      </w:pPr>
      <w:r>
        <w:rPr>
          <w:rFonts w:hint="eastAsia"/>
          <w:lang w:val="en-US" w:eastAsia="zh-CN"/>
        </w:rPr>
        <w:t>（2）</w:t>
      </w:r>
      <w:r>
        <w:rPr>
          <w:rFonts w:hint="default"/>
          <w:lang w:val="en-US" w:eastAsia="zh-CN"/>
        </w:rPr>
        <w:t>坚持稳中求进提质效，经济发展更加扎实</w:t>
      </w:r>
    </w:p>
    <w:p w14:paraId="68EB3F4F">
      <w:pPr>
        <w:pStyle w:val="2"/>
        <w:rPr>
          <w:rFonts w:hint="default"/>
          <w:lang w:val="en-US" w:eastAsia="zh-CN"/>
        </w:rPr>
      </w:pPr>
      <w:r>
        <w:rPr>
          <w:rFonts w:hint="default"/>
          <w:lang w:val="en-US" w:eastAsia="zh-CN"/>
        </w:rPr>
        <w:t>完成通用机场改扩建等5个项目，涉征土地面积300余亩。引进茶颜悦色、瑞幸咖啡、“熊师傅小炒肉”等大众品牌，盘活沉寂门面资产，丰富辖区消费供给。完成辖区1300余套区直公房清查摸底工作以及新合同的签订和租金收取，预计增收60余万元。</w:t>
      </w:r>
    </w:p>
    <w:p w14:paraId="34217055">
      <w:pPr>
        <w:pStyle w:val="2"/>
        <w:rPr>
          <w:rFonts w:hint="default"/>
          <w:lang w:val="en-US" w:eastAsia="zh-CN"/>
        </w:rPr>
      </w:pPr>
      <w:r>
        <w:rPr>
          <w:rFonts w:hint="eastAsia"/>
          <w:lang w:val="en-US" w:eastAsia="zh-CN"/>
        </w:rPr>
        <w:t>（3）</w:t>
      </w:r>
      <w:r>
        <w:rPr>
          <w:rFonts w:hint="default"/>
          <w:lang w:val="en-US" w:eastAsia="zh-CN"/>
        </w:rPr>
        <w:t>坚持实事实办解民忧，民生福祉更加殷实</w:t>
      </w:r>
    </w:p>
    <w:p w14:paraId="01E5EA3C">
      <w:pPr>
        <w:pStyle w:val="2"/>
        <w:rPr>
          <w:rFonts w:hint="default"/>
          <w:lang w:val="en-US" w:eastAsia="zh-CN"/>
        </w:rPr>
      </w:pPr>
      <w:r>
        <w:rPr>
          <w:rFonts w:hint="default"/>
          <w:lang w:val="en-US" w:eastAsia="zh-CN"/>
        </w:rPr>
        <w:t>创建招聘活动微市场，获芦淞区首批就业创业示范街。举办芦淞区首个电工技能培训班、AI人工智能培训班，助力提升劳动者就业技能。联合社区卫生服务中心为辖区内5648名65岁以上的老年人免费体检，并做好健康资料登记进行跟踪服务。完成老年食堂选址和场地清查工作。辖区内现有在保城乡低保户723人月发放低保金35万余元，1001名残疾群众全年发放补贴资助72万余元，充分做好困难群众兜底工作。</w:t>
      </w:r>
    </w:p>
    <w:p w14:paraId="3BD636B0">
      <w:pPr>
        <w:pStyle w:val="2"/>
        <w:rPr>
          <w:rFonts w:hint="default"/>
          <w:lang w:val="en-US" w:eastAsia="zh-CN"/>
        </w:rPr>
      </w:pPr>
      <w:r>
        <w:rPr>
          <w:rFonts w:hint="eastAsia"/>
          <w:lang w:val="en-US" w:eastAsia="zh-CN"/>
        </w:rPr>
        <w:t>（4）</w:t>
      </w:r>
      <w:r>
        <w:rPr>
          <w:rFonts w:hint="default"/>
          <w:lang w:val="en-US" w:eastAsia="zh-CN"/>
        </w:rPr>
        <w:t>坚持补短提质优环境，城市管理更加务实</w:t>
      </w:r>
    </w:p>
    <w:p w14:paraId="0DF749A7">
      <w:pPr>
        <w:pStyle w:val="2"/>
        <w:rPr>
          <w:rFonts w:hint="default"/>
          <w:lang w:val="en-US" w:eastAsia="zh-CN"/>
        </w:rPr>
      </w:pPr>
      <w:r>
        <w:rPr>
          <w:rFonts w:hint="default"/>
          <w:lang w:val="en-US" w:eastAsia="zh-CN"/>
        </w:rPr>
        <w:t>打造董家塅街道市容市貌示范街。加大对私搭乱建违法行为的查处打击力度，共计拆除违章建筑8处，拆违面积1498平米。消除风险隐患，处理危树死树73棵，疏通老旧小区下水道11次，清理山体滑坡5次，摸排治理地质灾害隐患点43处。数字城管方面共处置案件17634条，邮箱督办25条，市长热线50余条，调处重难点问题20余起。</w:t>
      </w:r>
    </w:p>
    <w:p w14:paraId="2EA97F1D">
      <w:pPr>
        <w:pStyle w:val="2"/>
        <w:rPr>
          <w:rFonts w:hint="default"/>
          <w:lang w:val="en-US" w:eastAsia="zh-CN"/>
        </w:rPr>
      </w:pPr>
      <w:r>
        <w:rPr>
          <w:rFonts w:hint="eastAsia"/>
          <w:lang w:val="en-US" w:eastAsia="zh-CN"/>
        </w:rPr>
        <w:t>（5）</w:t>
      </w:r>
      <w:r>
        <w:rPr>
          <w:rFonts w:hint="default"/>
          <w:lang w:val="en-US" w:eastAsia="zh-CN"/>
        </w:rPr>
        <w:t>坚持整体防控化风险，社会治理更加平实</w:t>
      </w:r>
    </w:p>
    <w:p w14:paraId="7AB9BDC4">
      <w:pPr>
        <w:pStyle w:val="2"/>
        <w:rPr>
          <w:rFonts w:hint="default"/>
          <w:lang w:val="en-US" w:eastAsia="zh-CN"/>
        </w:rPr>
      </w:pPr>
      <w:r>
        <w:rPr>
          <w:rFonts w:hint="default"/>
          <w:lang w:val="en-US" w:eastAsia="zh-CN"/>
        </w:rPr>
        <w:t>牢固树立安全发展理念，与辖区企业及“九小门店”签订安全生产和消防工作责任状400余份。防汛期间，街道全体干部驻扎在辖区重点区域开展防汛隐患排查及24小时值班值守工作，打好防汛“主动仗”。依托平安夜巡、综治民调大走访等行动，在辖区内有效普及反诈骗、禁毒、扫黑除恶等内容。妥善处理株摩厂群体、高峰、孙华柱、李连赢、袁勇宅的信访问题，并全部签订息访息诉。</w:t>
      </w:r>
    </w:p>
    <w:p w14:paraId="69F57F63">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03C085A4">
      <w:pPr>
        <w:pStyle w:val="2"/>
        <w:rPr>
          <w:rFonts w:hint="eastAsia"/>
          <w:lang w:val="en-US" w:eastAsia="zh-CN"/>
        </w:rPr>
      </w:pPr>
      <w:r>
        <w:rPr>
          <w:rFonts w:hint="eastAsia"/>
          <w:lang w:val="en-US" w:eastAsia="zh-CN"/>
        </w:rPr>
        <w:t>1.年初预算项目董家塅片区保洁经费专项资金89.72万元，实际支出89.72万元，结余0万元。项目支出89.72万元，主要用于支付董家塅片区保洁费用。项目实施及绩效情况如下：该项目完成董家塅农村片区作业面积约32.98万平方米，清运垃圾量632.67吨。株渌路清扫面积7.93万平方米，河港堤坝面积11.2万平方米，铁路沿线4400平方米。实现城市精细化管理，提高环境卫生整体质量。</w:t>
      </w:r>
    </w:p>
    <w:p w14:paraId="7804D92B">
      <w:pPr>
        <w:pStyle w:val="2"/>
        <w:rPr>
          <w:rFonts w:hint="eastAsia"/>
          <w:lang w:val="en-US" w:eastAsia="zh-CN"/>
        </w:rPr>
      </w:pPr>
      <w:r>
        <w:rPr>
          <w:rFonts w:hint="eastAsia"/>
          <w:lang w:val="en-US" w:eastAsia="zh-CN"/>
        </w:rPr>
        <w:t>2.本单位2024年专项主要资金来源于追加拨款，没有列入年初预算，年末决算专项8个，具体情况如下：</w:t>
      </w:r>
    </w:p>
    <w:p w14:paraId="5DF06BD0">
      <w:pPr>
        <w:pStyle w:val="2"/>
        <w:rPr>
          <w:rFonts w:hint="eastAsia"/>
          <w:lang w:val="en-US" w:eastAsia="zh-CN"/>
        </w:rPr>
      </w:pPr>
      <w:r>
        <w:rPr>
          <w:rFonts w:hint="eastAsia"/>
          <w:lang w:val="en-US" w:eastAsia="zh-CN"/>
        </w:rPr>
        <w:t>（1）社区、村非税收入，年初预算0万元，年中执行调增5.5万元，实际支出5.5万元，结余结转0万元，有效保障了村（社区）公共服务活动的顺利开展。</w:t>
      </w:r>
    </w:p>
    <w:p w14:paraId="7D60BFAD">
      <w:pPr>
        <w:pStyle w:val="2"/>
        <w:rPr>
          <w:rFonts w:hint="eastAsia"/>
          <w:lang w:val="en-US" w:eastAsia="zh-CN"/>
        </w:rPr>
      </w:pPr>
      <w:r>
        <w:rPr>
          <w:rFonts w:hint="eastAsia"/>
          <w:lang w:val="en-US" w:eastAsia="zh-CN"/>
        </w:rPr>
        <w:t>（2）十个社区四个村第5次经济普查工作经费，年初预算0万元，年中执行调增2.79万元，实际支出2.79万元，结余结转0万元，用于全国经济普查工作，为街道经普工作的开展提供了资金保障。</w:t>
      </w:r>
    </w:p>
    <w:p w14:paraId="107148BD">
      <w:pPr>
        <w:pStyle w:val="2"/>
        <w:rPr>
          <w:rFonts w:hint="eastAsia"/>
          <w:lang w:val="en-US" w:eastAsia="zh-CN"/>
        </w:rPr>
      </w:pPr>
      <w:r>
        <w:rPr>
          <w:rFonts w:hint="eastAsia"/>
          <w:lang w:val="en-US" w:eastAsia="zh-CN"/>
        </w:rPr>
        <w:t>（3）2022年市本级社区经费补助，年初预算0万元，年中执行调增50万元，实际支出50万元，结余结转0万元。补充了社区日常运转资金，提升社区为民服务的能力和水平。</w:t>
      </w:r>
    </w:p>
    <w:p w14:paraId="2319DDF1">
      <w:pPr>
        <w:pStyle w:val="2"/>
        <w:rPr>
          <w:rFonts w:hint="default"/>
          <w:lang w:val="en-US" w:eastAsia="zh-CN"/>
        </w:rPr>
      </w:pPr>
      <w:r>
        <w:rPr>
          <w:rFonts w:hint="eastAsia"/>
          <w:lang w:val="en-US" w:eastAsia="zh-CN"/>
        </w:rPr>
        <w:t>（4）社区、老体制退休人员生活补助，年初预算0万元，年中执行调增5.1万元，实际支出5.1万元，结余结转0万元。落实了对退休人员的关怀政策，保障退休人员的基本生活需求。</w:t>
      </w:r>
    </w:p>
    <w:p w14:paraId="54045AC0">
      <w:pPr>
        <w:pStyle w:val="2"/>
        <w:rPr>
          <w:rFonts w:hint="default"/>
          <w:lang w:val="en-US" w:eastAsia="zh-CN"/>
        </w:rPr>
      </w:pPr>
      <w:r>
        <w:rPr>
          <w:rFonts w:hint="eastAsia"/>
          <w:lang w:val="en-US" w:eastAsia="zh-CN"/>
        </w:rPr>
        <w:t>（5）涉退役军人群体就业援助及公益性岗位补贴和社保补贴，年初预算0万元，年中执行调增47.53万元，实际支出47.53万元，结余结转0万元。促进了退役军人等重点群体的就业安置，落实了相关社会保障政策，维护了优抚对象的合法权益。</w:t>
      </w:r>
    </w:p>
    <w:p w14:paraId="7D1F21EE">
      <w:pPr>
        <w:pStyle w:val="2"/>
        <w:rPr>
          <w:rFonts w:hint="eastAsia"/>
          <w:lang w:val="en-US" w:eastAsia="zh-CN"/>
        </w:rPr>
      </w:pPr>
      <w:r>
        <w:rPr>
          <w:rFonts w:hint="eastAsia"/>
          <w:lang w:val="en-US" w:eastAsia="zh-CN"/>
        </w:rPr>
        <w:t>（6）朱田铺村垮塌护坡安全隐患排除资金及灾害治理工作经费和社区城管考评奖金，年初预算0万元，年中执行调增26.8万元，实际支出26.8万元，结余结转0万元。及时消除了朱田铺村的安全隐患，保障了人民生命财产安全；同时通过考评激励，提升了社区城市管理水平和人居生活环境。</w:t>
      </w:r>
    </w:p>
    <w:p w14:paraId="18702B66">
      <w:pPr>
        <w:pStyle w:val="2"/>
        <w:rPr>
          <w:rFonts w:hint="eastAsia"/>
          <w:lang w:val="en-US" w:eastAsia="zh-CN"/>
        </w:rPr>
      </w:pPr>
      <w:r>
        <w:rPr>
          <w:rFonts w:hint="eastAsia"/>
          <w:lang w:val="en-US" w:eastAsia="zh-CN"/>
        </w:rPr>
        <w:t>（7）十个社区四个村运转及网格人员经费，年初预算0万元，年中执行调增433.33万元，实际支出433.33万元，结余结转0万元。确保了辖区十个社区和四个村的正常运转，为广大人民群众及时提供了高质有效的社会化服务。</w:t>
      </w:r>
    </w:p>
    <w:p w14:paraId="16ECE3A0">
      <w:pPr>
        <w:pStyle w:val="2"/>
        <w:rPr>
          <w:rFonts w:hint="default"/>
          <w:lang w:val="en-US" w:eastAsia="zh-CN"/>
        </w:rPr>
      </w:pPr>
      <w:r>
        <w:rPr>
          <w:rFonts w:hint="eastAsia"/>
          <w:lang w:val="en-US" w:eastAsia="zh-CN"/>
        </w:rPr>
        <w:t>（8）五里墩村扶持软弱涣散党组织经费，年初预算0万元，年中执行调增3万元，实际支出3万元，结余结转0万元。加强了对软弱涣散基层党组织的整顿和帮扶，提升组织力和战斗力，筑牢了基层战斗堡垒。</w:t>
      </w:r>
    </w:p>
    <w:p w14:paraId="22B0C3F9">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5E480F55">
      <w:pPr>
        <w:pStyle w:val="2"/>
        <w:rPr>
          <w:rFonts w:hint="eastAsia"/>
          <w:lang w:val="en-US" w:eastAsia="zh-CN"/>
        </w:rPr>
      </w:pPr>
      <w:r>
        <w:rPr>
          <w:rFonts w:hint="eastAsia"/>
          <w:lang w:val="en-US" w:eastAsia="zh-CN"/>
        </w:rPr>
        <w:t>1.绩效运行监控机制尚不健全。在日常管理中对绩效目标的实现过程关注不足，绩效跟踪与动态监控存在滞后，导致部分支出执行与预期绩效目标发生偏离，影响了绩效管理的实效性。</w:t>
      </w:r>
    </w:p>
    <w:p w14:paraId="4388E2F7">
      <w:pPr>
        <w:pStyle w:val="2"/>
        <w:rPr>
          <w:rFonts w:hint="eastAsia"/>
          <w:lang w:val="en-US" w:eastAsia="zh-CN"/>
        </w:rPr>
      </w:pPr>
      <w:r>
        <w:rPr>
          <w:rFonts w:hint="eastAsia"/>
          <w:lang w:val="en-US" w:eastAsia="zh-CN"/>
        </w:rPr>
        <w:t>2.预算编制与执行环节有待加强。部分项目预算编制不够精细，内容不够具体，与实际业务需求的匹配度有待提升；同时预算执行过程中的刚性约束不足，导致资金使用与绩效目标的衔接不够紧密。</w:t>
      </w:r>
    </w:p>
    <w:p w14:paraId="31BD3970">
      <w:pPr>
        <w:spacing w:line="600" w:lineRule="exact"/>
        <w:ind w:firstLine="640" w:firstLineChars="200"/>
        <w:rPr>
          <w:rFonts w:eastAsia="黑体"/>
          <w:sz w:val="32"/>
          <w:szCs w:val="32"/>
        </w:rPr>
      </w:pPr>
      <w:r>
        <w:rPr>
          <w:rFonts w:eastAsia="黑体"/>
          <w:sz w:val="32"/>
          <w:szCs w:val="32"/>
        </w:rPr>
        <w:t>八、下一步改进措施</w:t>
      </w:r>
    </w:p>
    <w:p w14:paraId="71B82374">
      <w:pPr>
        <w:pStyle w:val="2"/>
        <w:rPr>
          <w:rFonts w:hint="eastAsia"/>
          <w:lang w:val="en-US" w:eastAsia="zh-CN"/>
        </w:rPr>
      </w:pPr>
      <w:r>
        <w:rPr>
          <w:rFonts w:hint="eastAsia"/>
          <w:lang w:val="en-US" w:eastAsia="zh-CN"/>
        </w:rPr>
        <w:t>1.强化预算绩效管理意识与组织协同。提升对预算编制与绩效目标关联性的认识，推动预算编制更加科学精准，为绩效评价工作奠定良好基础。</w:t>
      </w:r>
    </w:p>
    <w:p w14:paraId="38BD7463">
      <w:pPr>
        <w:pStyle w:val="2"/>
        <w:rPr>
          <w:rFonts w:hint="eastAsia"/>
          <w:lang w:val="en-US" w:eastAsia="zh-CN"/>
        </w:rPr>
      </w:pPr>
      <w:r>
        <w:rPr>
          <w:rFonts w:hint="eastAsia"/>
          <w:lang w:val="en-US" w:eastAsia="zh-CN"/>
        </w:rPr>
        <w:t>2.健全绩效评价结果应用机制。加强绩效自评结果的反馈与运用，将评价结果作为改进管理和优化预算安排的重要依据，推动财政资金使用效益持续提升。</w:t>
      </w:r>
    </w:p>
    <w:p w14:paraId="6ADD7638">
      <w:pPr>
        <w:spacing w:line="600" w:lineRule="exact"/>
        <w:ind w:firstLine="640" w:firstLineChars="200"/>
        <w:rPr>
          <w:rFonts w:eastAsia="黑体"/>
          <w:sz w:val="32"/>
          <w:szCs w:val="32"/>
        </w:rPr>
      </w:pPr>
      <w:r>
        <w:rPr>
          <w:rFonts w:eastAsia="黑体"/>
          <w:sz w:val="32"/>
          <w:szCs w:val="32"/>
        </w:rPr>
        <w:t>九、绩效自评结果拟应用和公开情况</w:t>
      </w:r>
    </w:p>
    <w:p w14:paraId="3A17BD95">
      <w:pPr>
        <w:pStyle w:val="2"/>
      </w:pPr>
      <w:r>
        <w:rPr>
          <w:rFonts w:hint="eastAsia"/>
        </w:rPr>
        <w:t>我单位以绩效评价结果为导向，并通过资金使用效率的优化，降低服务成本，真正建立起服务型和效能型政府。</w:t>
      </w:r>
    </w:p>
    <w:p w14:paraId="158600E7">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3856A51D">
      <w:pPr>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无</w:t>
      </w:r>
    </w:p>
    <w:p w14:paraId="6C6830BF">
      <w:pPr>
        <w:spacing w:line="600" w:lineRule="exact"/>
        <w:rPr>
          <w:rFonts w:eastAsia="仿宋_GB2312"/>
          <w:kern w:val="0"/>
          <w:sz w:val="32"/>
          <w:szCs w:val="32"/>
        </w:rPr>
      </w:pPr>
    </w:p>
    <w:p w14:paraId="22EBCF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2MDMzMGQ3ZDlmYWVlMDE3MDRmZTliODc1NGJmNTEifQ=="/>
  </w:docVars>
  <w:rsids>
    <w:rsidRoot w:val="00000000"/>
    <w:rsid w:val="00004E70"/>
    <w:rsid w:val="00207FA3"/>
    <w:rsid w:val="005A433C"/>
    <w:rsid w:val="008C62A7"/>
    <w:rsid w:val="00A56C8A"/>
    <w:rsid w:val="00D5092F"/>
    <w:rsid w:val="00E55161"/>
    <w:rsid w:val="015876FF"/>
    <w:rsid w:val="016976BE"/>
    <w:rsid w:val="01A6665B"/>
    <w:rsid w:val="01CC0983"/>
    <w:rsid w:val="01EF5276"/>
    <w:rsid w:val="02665DCF"/>
    <w:rsid w:val="026C5261"/>
    <w:rsid w:val="02A86D87"/>
    <w:rsid w:val="02AE4CCA"/>
    <w:rsid w:val="02D92DDA"/>
    <w:rsid w:val="03287320"/>
    <w:rsid w:val="03463A74"/>
    <w:rsid w:val="03AE3AC0"/>
    <w:rsid w:val="03FA6217"/>
    <w:rsid w:val="046063A3"/>
    <w:rsid w:val="048E4A8E"/>
    <w:rsid w:val="04A8621F"/>
    <w:rsid w:val="052D1124"/>
    <w:rsid w:val="05841760"/>
    <w:rsid w:val="058C239E"/>
    <w:rsid w:val="06334EF1"/>
    <w:rsid w:val="06377F01"/>
    <w:rsid w:val="06691F53"/>
    <w:rsid w:val="0670069A"/>
    <w:rsid w:val="06B10FAF"/>
    <w:rsid w:val="071E5F82"/>
    <w:rsid w:val="072B45AB"/>
    <w:rsid w:val="07926EFD"/>
    <w:rsid w:val="07BB6AF4"/>
    <w:rsid w:val="07D258D6"/>
    <w:rsid w:val="07EF4D29"/>
    <w:rsid w:val="08470747"/>
    <w:rsid w:val="0893725C"/>
    <w:rsid w:val="089572CF"/>
    <w:rsid w:val="08A00773"/>
    <w:rsid w:val="08A4283C"/>
    <w:rsid w:val="08CF4264"/>
    <w:rsid w:val="08EF0DD0"/>
    <w:rsid w:val="08F027B4"/>
    <w:rsid w:val="09783F74"/>
    <w:rsid w:val="09815735"/>
    <w:rsid w:val="0A3D57A2"/>
    <w:rsid w:val="0A4370BC"/>
    <w:rsid w:val="0A4D6F7D"/>
    <w:rsid w:val="0A94795B"/>
    <w:rsid w:val="0AB4192F"/>
    <w:rsid w:val="0B1F6B23"/>
    <w:rsid w:val="0B4524E9"/>
    <w:rsid w:val="0BA804E2"/>
    <w:rsid w:val="0BB94E2C"/>
    <w:rsid w:val="0BE27487"/>
    <w:rsid w:val="0BEE68C8"/>
    <w:rsid w:val="0C4F7C96"/>
    <w:rsid w:val="0C8E7A46"/>
    <w:rsid w:val="0C966F7F"/>
    <w:rsid w:val="0CCA6CB7"/>
    <w:rsid w:val="0CFF5FF0"/>
    <w:rsid w:val="0D1C42A9"/>
    <w:rsid w:val="0D366EDE"/>
    <w:rsid w:val="0D4B57FA"/>
    <w:rsid w:val="0D60161F"/>
    <w:rsid w:val="0D7D4F91"/>
    <w:rsid w:val="0E897C2B"/>
    <w:rsid w:val="0ED94D9B"/>
    <w:rsid w:val="0F957EE7"/>
    <w:rsid w:val="0F9A0948"/>
    <w:rsid w:val="0FA108F2"/>
    <w:rsid w:val="0FB873C3"/>
    <w:rsid w:val="10593E88"/>
    <w:rsid w:val="10C17504"/>
    <w:rsid w:val="10F06DED"/>
    <w:rsid w:val="11107299"/>
    <w:rsid w:val="1134034B"/>
    <w:rsid w:val="115176A2"/>
    <w:rsid w:val="11BF336F"/>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88F5243"/>
    <w:rsid w:val="195E168F"/>
    <w:rsid w:val="196A7CDF"/>
    <w:rsid w:val="19C72BF8"/>
    <w:rsid w:val="19CA553D"/>
    <w:rsid w:val="1A1E2C64"/>
    <w:rsid w:val="1A4E2E8E"/>
    <w:rsid w:val="1AF51455"/>
    <w:rsid w:val="1B9D302A"/>
    <w:rsid w:val="1BF446CE"/>
    <w:rsid w:val="1C704031"/>
    <w:rsid w:val="1D271A66"/>
    <w:rsid w:val="1D662781"/>
    <w:rsid w:val="1DCB47DF"/>
    <w:rsid w:val="1E601115"/>
    <w:rsid w:val="1E7C50C8"/>
    <w:rsid w:val="1EB03217"/>
    <w:rsid w:val="1F000FB0"/>
    <w:rsid w:val="1F111AD7"/>
    <w:rsid w:val="1F572E39"/>
    <w:rsid w:val="1F5A1E7F"/>
    <w:rsid w:val="1FA707DF"/>
    <w:rsid w:val="1FFE7B8C"/>
    <w:rsid w:val="200036E8"/>
    <w:rsid w:val="203C025A"/>
    <w:rsid w:val="20775CA3"/>
    <w:rsid w:val="208B3AF3"/>
    <w:rsid w:val="217A1AB1"/>
    <w:rsid w:val="217B3401"/>
    <w:rsid w:val="22695B47"/>
    <w:rsid w:val="2361467F"/>
    <w:rsid w:val="23E23BF3"/>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BF7AE4"/>
    <w:rsid w:val="2AC43DDE"/>
    <w:rsid w:val="2AEF4956"/>
    <w:rsid w:val="2B150770"/>
    <w:rsid w:val="2B1C41DD"/>
    <w:rsid w:val="2B3E6724"/>
    <w:rsid w:val="2BBE35CD"/>
    <w:rsid w:val="2BD6382B"/>
    <w:rsid w:val="2C7A0558"/>
    <w:rsid w:val="2C865612"/>
    <w:rsid w:val="2C933EBB"/>
    <w:rsid w:val="2CDF6E04"/>
    <w:rsid w:val="2D284D02"/>
    <w:rsid w:val="2D3A266F"/>
    <w:rsid w:val="2D8470B0"/>
    <w:rsid w:val="2D85399E"/>
    <w:rsid w:val="2DC65E1F"/>
    <w:rsid w:val="2DF720F5"/>
    <w:rsid w:val="2E1C0F3D"/>
    <w:rsid w:val="2E2F66A3"/>
    <w:rsid w:val="2E69253C"/>
    <w:rsid w:val="2EEF2198"/>
    <w:rsid w:val="2F0246FC"/>
    <w:rsid w:val="2F080155"/>
    <w:rsid w:val="30343502"/>
    <w:rsid w:val="30470CFF"/>
    <w:rsid w:val="306918BE"/>
    <w:rsid w:val="30A37680"/>
    <w:rsid w:val="31AF70F0"/>
    <w:rsid w:val="32D24F00"/>
    <w:rsid w:val="32D963A9"/>
    <w:rsid w:val="32ED21B4"/>
    <w:rsid w:val="331926DE"/>
    <w:rsid w:val="33AB1C16"/>
    <w:rsid w:val="33C678B3"/>
    <w:rsid w:val="35124AFB"/>
    <w:rsid w:val="35164EC9"/>
    <w:rsid w:val="35EE1AE6"/>
    <w:rsid w:val="36216ACD"/>
    <w:rsid w:val="36AD5505"/>
    <w:rsid w:val="36DB24F1"/>
    <w:rsid w:val="37324D47"/>
    <w:rsid w:val="378B0638"/>
    <w:rsid w:val="37904E67"/>
    <w:rsid w:val="3797204C"/>
    <w:rsid w:val="37A771FF"/>
    <w:rsid w:val="37B37AED"/>
    <w:rsid w:val="37EF7DFA"/>
    <w:rsid w:val="380A1D4B"/>
    <w:rsid w:val="38A54053"/>
    <w:rsid w:val="38D37D37"/>
    <w:rsid w:val="39312765"/>
    <w:rsid w:val="393A2055"/>
    <w:rsid w:val="399C1F0E"/>
    <w:rsid w:val="39C26270"/>
    <w:rsid w:val="3A003CFF"/>
    <w:rsid w:val="3A1339C4"/>
    <w:rsid w:val="3AF63590"/>
    <w:rsid w:val="3B06110B"/>
    <w:rsid w:val="3B152042"/>
    <w:rsid w:val="3B566CE4"/>
    <w:rsid w:val="3B9B7004"/>
    <w:rsid w:val="3BCF551C"/>
    <w:rsid w:val="3C87456A"/>
    <w:rsid w:val="3CA231F4"/>
    <w:rsid w:val="3CDC3CFC"/>
    <w:rsid w:val="3CFC20B7"/>
    <w:rsid w:val="3DD92421"/>
    <w:rsid w:val="3E694CE7"/>
    <w:rsid w:val="3E835DD7"/>
    <w:rsid w:val="3EC819BA"/>
    <w:rsid w:val="3EEE35A4"/>
    <w:rsid w:val="3F7004CB"/>
    <w:rsid w:val="3FFC7781"/>
    <w:rsid w:val="405317F7"/>
    <w:rsid w:val="40754FF3"/>
    <w:rsid w:val="407F6468"/>
    <w:rsid w:val="40CE715B"/>
    <w:rsid w:val="40D508AB"/>
    <w:rsid w:val="40E640CC"/>
    <w:rsid w:val="41D57B43"/>
    <w:rsid w:val="43141345"/>
    <w:rsid w:val="43420DA9"/>
    <w:rsid w:val="435C781C"/>
    <w:rsid w:val="437C0F5D"/>
    <w:rsid w:val="443929B1"/>
    <w:rsid w:val="44B87D18"/>
    <w:rsid w:val="453A160B"/>
    <w:rsid w:val="45E2026E"/>
    <w:rsid w:val="45F85A17"/>
    <w:rsid w:val="463747B7"/>
    <w:rsid w:val="47212ECA"/>
    <w:rsid w:val="47323108"/>
    <w:rsid w:val="47D51345"/>
    <w:rsid w:val="47E11557"/>
    <w:rsid w:val="48196B29"/>
    <w:rsid w:val="4885603F"/>
    <w:rsid w:val="48E56510"/>
    <w:rsid w:val="491722FF"/>
    <w:rsid w:val="491D74A7"/>
    <w:rsid w:val="497C7C2F"/>
    <w:rsid w:val="498307B4"/>
    <w:rsid w:val="49882B9B"/>
    <w:rsid w:val="49AF4809"/>
    <w:rsid w:val="49B324BE"/>
    <w:rsid w:val="49BA510F"/>
    <w:rsid w:val="4A3763F6"/>
    <w:rsid w:val="4A5007FC"/>
    <w:rsid w:val="4A716F11"/>
    <w:rsid w:val="4A885383"/>
    <w:rsid w:val="4AE85958"/>
    <w:rsid w:val="4AF51ADF"/>
    <w:rsid w:val="4AFD5436"/>
    <w:rsid w:val="4B7C2BF9"/>
    <w:rsid w:val="4B920728"/>
    <w:rsid w:val="4B9357A5"/>
    <w:rsid w:val="4BC67BFF"/>
    <w:rsid w:val="4C19263D"/>
    <w:rsid w:val="4C253F32"/>
    <w:rsid w:val="4C442E20"/>
    <w:rsid w:val="4C714499"/>
    <w:rsid w:val="4C845F8F"/>
    <w:rsid w:val="4D36566E"/>
    <w:rsid w:val="4D5D53BB"/>
    <w:rsid w:val="4DBB24B5"/>
    <w:rsid w:val="4E03467F"/>
    <w:rsid w:val="4EC94FA7"/>
    <w:rsid w:val="4EE91176"/>
    <w:rsid w:val="4EF96755"/>
    <w:rsid w:val="4EFF6E71"/>
    <w:rsid w:val="4F7317CB"/>
    <w:rsid w:val="4F7C135A"/>
    <w:rsid w:val="4FC01EDA"/>
    <w:rsid w:val="4FD924D1"/>
    <w:rsid w:val="50281CF3"/>
    <w:rsid w:val="509154B6"/>
    <w:rsid w:val="509A417D"/>
    <w:rsid w:val="50BB4683"/>
    <w:rsid w:val="50EC10F9"/>
    <w:rsid w:val="5177797E"/>
    <w:rsid w:val="52F6075F"/>
    <w:rsid w:val="53086FF5"/>
    <w:rsid w:val="534D0228"/>
    <w:rsid w:val="53AB142E"/>
    <w:rsid w:val="54207C51"/>
    <w:rsid w:val="548F0560"/>
    <w:rsid w:val="54DA727F"/>
    <w:rsid w:val="54E65F5A"/>
    <w:rsid w:val="55546EF7"/>
    <w:rsid w:val="557D2E1D"/>
    <w:rsid w:val="55804F6C"/>
    <w:rsid w:val="564516B7"/>
    <w:rsid w:val="56685DC5"/>
    <w:rsid w:val="567C109E"/>
    <w:rsid w:val="567E6210"/>
    <w:rsid w:val="56933523"/>
    <w:rsid w:val="56BA55C6"/>
    <w:rsid w:val="57124CDD"/>
    <w:rsid w:val="576D1203"/>
    <w:rsid w:val="57837BDE"/>
    <w:rsid w:val="57935E95"/>
    <w:rsid w:val="58152013"/>
    <w:rsid w:val="583F08F6"/>
    <w:rsid w:val="58CE683B"/>
    <w:rsid w:val="599C295E"/>
    <w:rsid w:val="59A40B9B"/>
    <w:rsid w:val="5A3C1A0D"/>
    <w:rsid w:val="5A6A2A29"/>
    <w:rsid w:val="5A9244F7"/>
    <w:rsid w:val="5AC24903"/>
    <w:rsid w:val="5AF90080"/>
    <w:rsid w:val="5AF97A89"/>
    <w:rsid w:val="5B352171"/>
    <w:rsid w:val="5B514882"/>
    <w:rsid w:val="5B5C757D"/>
    <w:rsid w:val="5B6B124E"/>
    <w:rsid w:val="5BDC0494"/>
    <w:rsid w:val="5D155819"/>
    <w:rsid w:val="5D3F4D0A"/>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471DFE"/>
    <w:rsid w:val="65EB60C2"/>
    <w:rsid w:val="66022946"/>
    <w:rsid w:val="66A877C4"/>
    <w:rsid w:val="66F15735"/>
    <w:rsid w:val="67303E4C"/>
    <w:rsid w:val="67347CE6"/>
    <w:rsid w:val="675A5E15"/>
    <w:rsid w:val="677549A9"/>
    <w:rsid w:val="67F2708D"/>
    <w:rsid w:val="68030691"/>
    <w:rsid w:val="689E76A5"/>
    <w:rsid w:val="68DB1AF2"/>
    <w:rsid w:val="68E0427F"/>
    <w:rsid w:val="68F75735"/>
    <w:rsid w:val="694757F4"/>
    <w:rsid w:val="6B296C62"/>
    <w:rsid w:val="6B3B48D5"/>
    <w:rsid w:val="6B3C5DCA"/>
    <w:rsid w:val="6BBF4B8D"/>
    <w:rsid w:val="6C630660"/>
    <w:rsid w:val="6C6E6460"/>
    <w:rsid w:val="6C9165DC"/>
    <w:rsid w:val="6C9331C1"/>
    <w:rsid w:val="6D2E13D1"/>
    <w:rsid w:val="6D3264BE"/>
    <w:rsid w:val="6D6D6826"/>
    <w:rsid w:val="6D9E11D0"/>
    <w:rsid w:val="6DCC19D2"/>
    <w:rsid w:val="6E142198"/>
    <w:rsid w:val="6E224140"/>
    <w:rsid w:val="6E2E58DF"/>
    <w:rsid w:val="6E987E4E"/>
    <w:rsid w:val="6ED554AF"/>
    <w:rsid w:val="6EE044A0"/>
    <w:rsid w:val="6F0F7BD0"/>
    <w:rsid w:val="6F1D59CD"/>
    <w:rsid w:val="6FE61A56"/>
    <w:rsid w:val="704C412C"/>
    <w:rsid w:val="70AD1C74"/>
    <w:rsid w:val="70DA209F"/>
    <w:rsid w:val="711C4732"/>
    <w:rsid w:val="72696BF8"/>
    <w:rsid w:val="734F28D5"/>
    <w:rsid w:val="734F3820"/>
    <w:rsid w:val="73F11B0B"/>
    <w:rsid w:val="7455119F"/>
    <w:rsid w:val="749B7B08"/>
    <w:rsid w:val="74B015AB"/>
    <w:rsid w:val="74BF00CF"/>
    <w:rsid w:val="74CF5344"/>
    <w:rsid w:val="74DA2B1D"/>
    <w:rsid w:val="75786376"/>
    <w:rsid w:val="75F34010"/>
    <w:rsid w:val="765D45B4"/>
    <w:rsid w:val="76735213"/>
    <w:rsid w:val="772B072A"/>
    <w:rsid w:val="778F1D5A"/>
    <w:rsid w:val="7836349E"/>
    <w:rsid w:val="78A55F95"/>
    <w:rsid w:val="794F5B82"/>
    <w:rsid w:val="79BE2A90"/>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 w:val="7FF5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rFonts w:eastAsia="仿宋_GB2312"/>
      <w:sz w:val="32"/>
      <w:szCs w:val="32"/>
    </w:rPr>
  </w:style>
  <w:style w:type="paragraph" w:styleId="3">
    <w:name w:val="Body Text Indent"/>
    <w:basedOn w:val="1"/>
    <w:autoRedefine/>
    <w:unhideWhenUsed/>
    <w:qFormat/>
    <w:uiPriority w:val="99"/>
    <w:pPr>
      <w:spacing w:after="120"/>
      <w:ind w:left="420" w:leftChars="200"/>
    </w:pPr>
  </w:style>
  <w:style w:type="paragraph" w:styleId="6">
    <w:name w:val="List Paragraph"/>
    <w:basedOn w:val="1"/>
    <w:autoRedefine/>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4697</Words>
  <Characters>4955</Characters>
  <Lines>0</Lines>
  <Paragraphs>0</Paragraphs>
  <TotalTime>3</TotalTime>
  <ScaleCrop>false</ScaleCrop>
  <LinksUpToDate>false</LinksUpToDate>
  <CharactersWithSpaces>4955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2025-12-10T08:01:30Z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7454B82B94B64A3C9DA62C562E34ABA9_13</vt:lpwstr>
  </property>
  <property fmtid="{D5CDD505-2E9C-101B-9397-08002B2CF9AE}" pid="4" name="KSOTemplateDocerSaveRecord">
    <vt:lpwstr>eyJoZGlkIjoiNGJmMmViYjQ3MjE5NzEyMTE0YmVjNjlhM2FmYzE4NTYiLCJ1c2VySWQiOiIxNTE0MzMzNDQ5In0=</vt:lpwstr>
  </property>
</Properties>
</file>