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B36D1">
      <w:pPr>
        <w:keepNext w:val="0"/>
        <w:keepLines w:val="0"/>
        <w:pageBreakBefore w:val="0"/>
        <w:kinsoku/>
        <w:wordWrap/>
        <w:overflowPunct/>
        <w:topLinePunct w:val="0"/>
        <w:autoSpaceDE/>
        <w:autoSpaceDN/>
        <w:bidi w:val="0"/>
        <w:spacing w:line="560" w:lineRule="exact"/>
        <w:jc w:val="center"/>
        <w:textAlignment w:val="auto"/>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val="en-US" w:eastAsia="zh-CN"/>
        </w:rPr>
        <w:t>株洲高新技术产业开发区董家塅片区管理委员会</w:t>
      </w:r>
      <w:r>
        <w:rPr>
          <w:rFonts w:hint="eastAsia" w:eastAsia="方正小标宋_GBK"/>
          <w:sz w:val="48"/>
          <w:szCs w:val="48"/>
          <w:lang w:eastAsia="zh-CN"/>
        </w:rPr>
        <w:t>整体</w:t>
      </w:r>
      <w:r>
        <w:rPr>
          <w:rFonts w:eastAsia="方正小标宋_GBK"/>
          <w:sz w:val="48"/>
          <w:szCs w:val="48"/>
        </w:rPr>
        <w:t>支出</w:t>
      </w:r>
    </w:p>
    <w:p w14:paraId="676DD461">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r>
        <w:rPr>
          <w:rFonts w:eastAsia="方正小标宋_GBK"/>
          <w:sz w:val="48"/>
          <w:szCs w:val="48"/>
        </w:rPr>
        <w:t>绩效自评报告</w:t>
      </w:r>
    </w:p>
    <w:p w14:paraId="71BD8004">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1160F17F">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01573C45">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4A799D02">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77C718F0">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26B6045E">
      <w:pPr>
        <w:keepNext w:val="0"/>
        <w:keepLines w:val="0"/>
        <w:pageBreakBefore w:val="0"/>
        <w:kinsoku/>
        <w:wordWrap/>
        <w:overflowPunct/>
        <w:topLinePunct w:val="0"/>
        <w:autoSpaceDE/>
        <w:autoSpaceDN/>
        <w:bidi w:val="0"/>
        <w:spacing w:line="560" w:lineRule="exact"/>
        <w:ind w:firstLine="880" w:firstLineChars="200"/>
        <w:jc w:val="center"/>
        <w:textAlignment w:val="auto"/>
        <w:rPr>
          <w:rFonts w:eastAsia="黑体"/>
          <w:sz w:val="44"/>
          <w:szCs w:val="44"/>
        </w:rPr>
      </w:pPr>
    </w:p>
    <w:p w14:paraId="413DA8AC">
      <w:pPr>
        <w:keepNext w:val="0"/>
        <w:keepLines w:val="0"/>
        <w:pageBreakBefore w:val="0"/>
        <w:kinsoku/>
        <w:wordWrap/>
        <w:overflowPunct/>
        <w:topLinePunct w:val="0"/>
        <w:autoSpaceDE/>
        <w:autoSpaceDN/>
        <w:bidi w:val="0"/>
        <w:spacing w:line="560" w:lineRule="exact"/>
        <w:ind w:firstLine="880" w:firstLineChars="200"/>
        <w:jc w:val="center"/>
        <w:textAlignment w:val="auto"/>
        <w:rPr>
          <w:rFonts w:eastAsia="黑体"/>
          <w:sz w:val="44"/>
          <w:szCs w:val="44"/>
        </w:rPr>
      </w:pPr>
    </w:p>
    <w:p w14:paraId="5EFB521B">
      <w:pPr>
        <w:keepNext w:val="0"/>
        <w:keepLines w:val="0"/>
        <w:pageBreakBefore w:val="0"/>
        <w:kinsoku/>
        <w:wordWrap/>
        <w:overflowPunct/>
        <w:topLinePunct w:val="0"/>
        <w:autoSpaceDE/>
        <w:autoSpaceDN/>
        <w:bidi w:val="0"/>
        <w:spacing w:line="560" w:lineRule="exact"/>
        <w:ind w:firstLine="880" w:firstLineChars="200"/>
        <w:jc w:val="center"/>
        <w:textAlignment w:val="auto"/>
        <w:rPr>
          <w:rFonts w:eastAsia="黑体"/>
          <w:sz w:val="44"/>
          <w:szCs w:val="44"/>
        </w:rPr>
      </w:pPr>
    </w:p>
    <w:p w14:paraId="001896D3">
      <w:pPr>
        <w:keepNext w:val="0"/>
        <w:keepLines w:val="0"/>
        <w:pageBreakBefore w:val="0"/>
        <w:kinsoku/>
        <w:wordWrap/>
        <w:overflowPunct/>
        <w:topLinePunct w:val="0"/>
        <w:autoSpaceDE/>
        <w:autoSpaceDN/>
        <w:bidi w:val="0"/>
        <w:spacing w:line="560" w:lineRule="exact"/>
        <w:ind w:firstLine="720" w:firstLineChars="200"/>
        <w:jc w:val="center"/>
        <w:textAlignment w:val="auto"/>
        <w:rPr>
          <w:rFonts w:eastAsia="黑体"/>
          <w:sz w:val="36"/>
          <w:szCs w:val="36"/>
        </w:rPr>
      </w:pPr>
      <w:r>
        <w:rPr>
          <w:rFonts w:eastAsia="黑体"/>
          <w:sz w:val="36"/>
          <w:szCs w:val="36"/>
        </w:rPr>
        <w:t>单位名称（盖章）：</w:t>
      </w:r>
    </w:p>
    <w:p w14:paraId="299B5BEA">
      <w:pPr>
        <w:keepNext w:val="0"/>
        <w:keepLines w:val="0"/>
        <w:pageBreakBefore w:val="0"/>
        <w:kinsoku/>
        <w:wordWrap/>
        <w:overflowPunct/>
        <w:topLinePunct w:val="0"/>
        <w:autoSpaceDE/>
        <w:autoSpaceDN/>
        <w:bidi w:val="0"/>
        <w:spacing w:line="560" w:lineRule="exact"/>
        <w:jc w:val="center"/>
        <w:textAlignment w:val="auto"/>
        <w:rPr>
          <w:rFonts w:eastAsia="黑体"/>
          <w:sz w:val="36"/>
          <w:szCs w:val="36"/>
        </w:rPr>
      </w:pPr>
    </w:p>
    <w:p w14:paraId="06EA6E3D">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4FBF9238">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6FAAEEDA">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03A98EC3">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1DE6D13B">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2F552072">
      <w:pPr>
        <w:keepNext w:val="0"/>
        <w:keepLines w:val="0"/>
        <w:pageBreakBefore w:val="0"/>
        <w:kinsoku/>
        <w:wordWrap/>
        <w:overflowPunct/>
        <w:topLinePunct w:val="0"/>
        <w:autoSpaceDE/>
        <w:autoSpaceDN/>
        <w:bidi w:val="0"/>
        <w:spacing w:line="560" w:lineRule="exact"/>
        <w:jc w:val="center"/>
        <w:textAlignment w:val="auto"/>
        <w:rPr>
          <w:rFonts w:eastAsia="黑体"/>
          <w:sz w:val="32"/>
          <w:szCs w:val="32"/>
        </w:rPr>
      </w:pPr>
    </w:p>
    <w:p w14:paraId="252BDF76">
      <w:pPr>
        <w:keepNext w:val="0"/>
        <w:keepLines w:val="0"/>
        <w:pageBreakBefore w:val="0"/>
        <w:kinsoku/>
        <w:wordWrap/>
        <w:overflowPunct/>
        <w:topLinePunct w:val="0"/>
        <w:autoSpaceDE/>
        <w:autoSpaceDN/>
        <w:bidi w:val="0"/>
        <w:spacing w:line="560" w:lineRule="exact"/>
        <w:jc w:val="center"/>
        <w:textAlignment w:val="auto"/>
        <w:rPr>
          <w:rFonts w:eastAsia="仿宋_GB2312"/>
          <w:sz w:val="32"/>
          <w:szCs w:val="32"/>
        </w:rPr>
      </w:pPr>
      <w:r>
        <w:rPr>
          <w:rFonts w:eastAsia="仿宋_GB2312"/>
          <w:sz w:val="32"/>
          <w:szCs w:val="32"/>
        </w:rPr>
        <w:t>（此页为封面）</w:t>
      </w:r>
    </w:p>
    <w:p w14:paraId="793E9374">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仿宋_GB2312"/>
          <w:sz w:val="32"/>
          <w:szCs w:val="32"/>
        </w:rPr>
        <w:br w:type="page"/>
      </w:r>
      <w:r>
        <w:rPr>
          <w:rFonts w:eastAsia="黑体"/>
          <w:sz w:val="32"/>
          <w:szCs w:val="32"/>
        </w:rPr>
        <w:t>一、基本情况</w:t>
      </w:r>
    </w:p>
    <w:p w14:paraId="5FFAA83C">
      <w:pPr>
        <w:keepNext w:val="0"/>
        <w:keepLines w:val="0"/>
        <w:pageBreakBefore w:val="0"/>
        <w:kinsoku/>
        <w:wordWrap/>
        <w:overflowPunct/>
        <w:topLinePunct w:val="0"/>
        <w:autoSpaceDE/>
        <w:autoSpaceDN/>
        <w:bidi w:val="0"/>
        <w:spacing w:line="560" w:lineRule="exact"/>
        <w:ind w:firstLine="643" w:firstLineChars="200"/>
        <w:textAlignment w:val="auto"/>
        <w:rPr>
          <w:rFonts w:eastAsia="楷体_GB2312"/>
          <w:b/>
          <w:sz w:val="32"/>
          <w:szCs w:val="32"/>
        </w:rPr>
      </w:pPr>
      <w:r>
        <w:rPr>
          <w:rFonts w:eastAsia="楷体_GB2312"/>
          <w:b/>
          <w:sz w:val="32"/>
          <w:szCs w:val="32"/>
        </w:rPr>
        <w:t>（一）部门（单位）基本情况</w:t>
      </w:r>
    </w:p>
    <w:p w14:paraId="6EAA948D">
      <w:pPr>
        <w:keepNext w:val="0"/>
        <w:keepLines w:val="0"/>
        <w:pageBreakBefore w:val="0"/>
        <w:kinsoku/>
        <w:wordWrap/>
        <w:overflowPunct/>
        <w:topLinePunct w:val="0"/>
        <w:autoSpaceDE/>
        <w:autoSpaceDN/>
        <w:bidi w:val="0"/>
        <w:spacing w:line="560" w:lineRule="exact"/>
        <w:ind w:firstLine="640" w:firstLineChars="200"/>
        <w:textAlignment w:val="auto"/>
        <w:rPr>
          <w:rFonts w:eastAsia="楷体_GB2312"/>
          <w:b/>
          <w:sz w:val="32"/>
          <w:szCs w:val="32"/>
        </w:rPr>
      </w:pPr>
      <w:r>
        <w:rPr>
          <w:rFonts w:hint="eastAsia" w:ascii="仿宋" w:hAnsi="仿宋" w:eastAsia="仿宋" w:cs="仿宋"/>
          <w:bCs w:val="0"/>
          <w:sz w:val="32"/>
          <w:szCs w:val="32"/>
          <w:lang w:val="en-US" w:eastAsia="zh-CN"/>
        </w:rPr>
        <w:t>株洲高新技术产业开发区董家塅片区管理委员会由株洲高新技术产业开发区管理委员会归口管理，副处级，由中共芦淞区委、芦淞区人民政府代管，代表党委和政府行使有关职能，对开发区实行统一领导、统一规划、统一管理。内设办公室、营商环境服务局、产业发展局（安全生产监管局）、经济合作局、开发建设局5个副科级机构，配备编制35名。其中：副处级领导职数1名（管委会主任1名）；正科级领导职数4名（株洲高新区党工委董家塅片区专职副书记兼纪检监察员1名，管委会副主任3名），副科级领导职数5名（内设机构负责人）。</w:t>
      </w:r>
    </w:p>
    <w:p w14:paraId="6A92E3E5">
      <w:pPr>
        <w:keepNext w:val="0"/>
        <w:keepLines w:val="0"/>
        <w:pageBreakBefore w:val="0"/>
        <w:kinsoku/>
        <w:wordWrap/>
        <w:overflowPunct/>
        <w:topLinePunct w:val="0"/>
        <w:autoSpaceDE/>
        <w:autoSpaceDN/>
        <w:bidi w:val="0"/>
        <w:spacing w:line="560" w:lineRule="exact"/>
        <w:ind w:firstLine="643" w:firstLineChars="200"/>
        <w:textAlignment w:val="auto"/>
        <w:rPr>
          <w:rFonts w:hint="eastAsia" w:eastAsia="楷体_GB2312"/>
          <w:b/>
          <w:sz w:val="32"/>
          <w:szCs w:val="32"/>
          <w:lang w:eastAsia="zh-CN"/>
        </w:rPr>
      </w:pPr>
      <w:r>
        <w:rPr>
          <w:rFonts w:eastAsia="楷体_GB2312"/>
          <w:b/>
          <w:sz w:val="32"/>
          <w:szCs w:val="32"/>
        </w:rPr>
        <w:t>（二）部门（单位）年度整体支出绩效目标，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5C907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kern w:val="2"/>
          <w:sz w:val="32"/>
          <w:szCs w:val="32"/>
          <w:lang w:val="en-US" w:eastAsia="zh-CN" w:bidi="ar-SA"/>
        </w:rPr>
        <w:t>1.加快推动园区改革。</w:t>
      </w:r>
      <w:r>
        <w:rPr>
          <w:rFonts w:hint="eastAsia" w:ascii="仿宋" w:hAnsi="仿宋" w:eastAsia="仿宋" w:cs="仿宋"/>
          <w:sz w:val="32"/>
          <w:szCs w:val="32"/>
          <w:highlight w:val="none"/>
          <w:lang w:eastAsia="zh-CN"/>
        </w:rPr>
        <w:t>坚持吃“改革饭”、打“创新牌”，把深化体制机制改革作为推动“五好”园区创建的着力点，持续推进六项改革任务，推动园区向“泛投资机构”转型，以高水平改革引领园区高质量发展。</w:t>
      </w:r>
    </w:p>
    <w:p w14:paraId="068D5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napToGrid/>
          <w:color w:val="auto"/>
          <w:kern w:val="2"/>
          <w:sz w:val="32"/>
          <w:szCs w:val="32"/>
          <w:lang w:val="en-US" w:eastAsia="zh-CN" w:bidi="ar-SA"/>
        </w:rPr>
      </w:pPr>
      <w:r>
        <w:rPr>
          <w:rFonts w:hint="eastAsia" w:ascii="仿宋" w:hAnsi="仿宋" w:eastAsia="仿宋" w:cs="仿宋"/>
          <w:b/>
          <w:bCs/>
          <w:kern w:val="2"/>
          <w:sz w:val="32"/>
          <w:szCs w:val="32"/>
          <w:lang w:val="en-US" w:eastAsia="zh-CN" w:bidi="ar-SA"/>
        </w:rPr>
        <w:t>2.精准开展招商引资。</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大产业扶持力度和对产业链的研究力度，聚焦主特产业和龙头企业精准延链、补链、强链。充分利用节会活动和商协会等资源，既“锻长板”又“补短板”，吸引带动更多企业、项目、资金在园区集聚。按照市场和项目的需求建设高标准厂房，并积极探索“工业上楼”增加发展空间，提高空置标厂入驻率。通过入股优质项目、引入社会资本等方式，破解土地倒挂难题，提升项目承载能力。</w:t>
      </w:r>
    </w:p>
    <w:p w14:paraId="4C28E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kern w:val="2"/>
          <w:sz w:val="32"/>
          <w:szCs w:val="32"/>
          <w:lang w:val="en-US" w:eastAsia="zh-CN" w:bidi="ar-SA"/>
        </w:rPr>
        <w:t>3.全力推进项目建设。</w:t>
      </w:r>
      <w:r>
        <w:rPr>
          <w:rFonts w:hint="eastAsia" w:ascii="仿宋" w:hAnsi="仿宋" w:eastAsia="仿宋" w:cs="仿宋"/>
          <w:color w:val="000000" w:themeColor="text1"/>
          <w:kern w:val="2"/>
          <w:sz w:val="32"/>
          <w:szCs w:val="32"/>
          <w:lang w:val="en-US" w:eastAsia="zh-CN" w:bidi="ar-SA"/>
          <w14:textFill>
            <w14:solidFill>
              <w14:schemeClr w14:val="tx1"/>
            </w14:solidFill>
          </w14:textFill>
        </w:rPr>
        <w:t>推动新建项目“谋增量”，进一步落实“项目服务专员”和项目全生命周期管理制度，制定“个性化”方案，及时收集、回应、解决项目建设难题。全力破解重点项目用地难题，加速推进龙泉（服饰）智能制造产业园、后浪、春风动力、山河二期和华锐三、四期等一批重点项目。督促未履约企业“提质量”，将项目供后监管机制用到实处。</w:t>
      </w:r>
    </w:p>
    <w:p w14:paraId="184C4046">
      <w:pPr>
        <w:pStyle w:val="6"/>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4.持续优化园区环境。</w:t>
      </w:r>
      <w:r>
        <w:rPr>
          <w:rFonts w:hint="eastAsia" w:ascii="仿宋" w:hAnsi="仿宋" w:eastAsia="仿宋" w:cs="仿宋"/>
          <w:color w:val="000000" w:themeColor="text1"/>
          <w:kern w:val="2"/>
          <w:sz w:val="32"/>
          <w:szCs w:val="32"/>
          <w:lang w:val="en-US" w:eastAsia="zh-CN" w:bidi="ar-SA"/>
          <w14:textFill>
            <w14:solidFill>
              <w14:schemeClr w14:val="tx1"/>
            </w14:solidFill>
          </w14:textFill>
        </w:rPr>
        <w:t>优化园区软环境，推动园区各部门从“管理思维”向“服务思维”转变，完善问题响应机制，做到随叫随到、服务周到；又要防止过度热情打扰企业的生产经营，做到不叫不到、无事不扰。完善园区硬环境，协调整合资源，强化土地、交通、水电气等企业生产要素保障，全力保障服务企业的健康发展，从而推动园区企业的孵化裂变和扩能扩产，使企业扎根园区。</w:t>
      </w:r>
    </w:p>
    <w:p w14:paraId="654CD3CB">
      <w:pPr>
        <w:pStyle w:val="6"/>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13E5BDB3">
      <w:pPr>
        <w:pStyle w:val="6"/>
        <w:keepNext w:val="0"/>
        <w:keepLines w:val="0"/>
        <w:pageBreakBefore w:val="0"/>
        <w:kinsoku/>
        <w:wordWrap/>
        <w:overflowPunct/>
        <w:topLinePunct w:val="0"/>
        <w:autoSpaceDE/>
        <w:autoSpaceDN/>
        <w:bidi w:val="0"/>
        <w:spacing w:line="56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14:paraId="3C905C5D">
      <w:pPr>
        <w:pStyle w:val="6"/>
        <w:keepNext w:val="0"/>
        <w:keepLines w:val="0"/>
        <w:pageBreakBefore w:val="0"/>
        <w:kinsoku/>
        <w:wordWrap/>
        <w:overflowPunct/>
        <w:topLinePunct w:val="0"/>
        <w:autoSpaceDE/>
        <w:autoSpaceDN/>
        <w:bidi w:val="0"/>
        <w:spacing w:line="560" w:lineRule="exact"/>
        <w:ind w:firstLine="643"/>
        <w:textAlignment w:val="auto"/>
        <w:rPr>
          <w:rFonts w:hint="eastAsia" w:eastAsia="仿宋"/>
          <w:b w:val="0"/>
          <w:bCs/>
          <w:color w:val="000000"/>
          <w:sz w:val="32"/>
          <w:szCs w:val="32"/>
          <w:lang w:val="en-US" w:eastAsia="zh-CN"/>
        </w:rPr>
      </w:pPr>
      <w:r>
        <w:rPr>
          <w:rFonts w:hint="eastAsia" w:ascii="Times New Roman" w:hAnsi="Times New Roman" w:eastAsia="楷体_GB2312"/>
          <w:b w:val="0"/>
          <w:bCs/>
          <w:sz w:val="32"/>
          <w:szCs w:val="32"/>
          <w:lang w:val="en-US" w:eastAsia="zh-CN"/>
        </w:rPr>
        <w:t>1、</w:t>
      </w:r>
      <w:r>
        <w:rPr>
          <w:rFonts w:hint="eastAsia" w:eastAsia="仿宋"/>
          <w:b w:val="0"/>
          <w:bCs/>
          <w:color w:val="000000"/>
          <w:sz w:val="32"/>
          <w:szCs w:val="32"/>
          <w:lang w:eastAsia="zh-CN"/>
        </w:rPr>
        <w:t>2024</w:t>
      </w:r>
      <w:r>
        <w:rPr>
          <w:rFonts w:eastAsia="仿宋"/>
          <w:b w:val="0"/>
          <w:bCs/>
          <w:color w:val="000000"/>
          <w:sz w:val="32"/>
          <w:szCs w:val="32"/>
        </w:rPr>
        <w:t>年预算资金</w:t>
      </w:r>
      <w:r>
        <w:rPr>
          <w:rFonts w:hint="eastAsia" w:eastAsia="仿宋"/>
          <w:b w:val="0"/>
          <w:bCs/>
          <w:color w:val="000000"/>
          <w:sz w:val="32"/>
          <w:szCs w:val="32"/>
        </w:rPr>
        <w:t>361.02</w:t>
      </w:r>
      <w:r>
        <w:rPr>
          <w:rFonts w:hint="eastAsia" w:eastAsia="仿宋"/>
          <w:b w:val="0"/>
          <w:bCs/>
          <w:color w:val="000000"/>
          <w:sz w:val="32"/>
          <w:szCs w:val="32"/>
          <w:lang w:eastAsia="zh-CN"/>
        </w:rPr>
        <w:t>万元。</w:t>
      </w:r>
    </w:p>
    <w:p w14:paraId="42633CBA">
      <w:pPr>
        <w:pStyle w:val="6"/>
        <w:keepNext w:val="0"/>
        <w:keepLines w:val="0"/>
        <w:pageBreakBefore w:val="0"/>
        <w:kinsoku/>
        <w:wordWrap/>
        <w:overflowPunct/>
        <w:topLinePunct w:val="0"/>
        <w:autoSpaceDE/>
        <w:autoSpaceDN/>
        <w:bidi w:val="0"/>
        <w:spacing w:line="560" w:lineRule="exact"/>
        <w:ind w:firstLine="643"/>
        <w:textAlignment w:val="auto"/>
        <w:rPr>
          <w:rFonts w:hint="eastAsia" w:eastAsia="仿宋"/>
          <w:b w:val="0"/>
          <w:bCs/>
          <w:color w:val="auto"/>
          <w:sz w:val="32"/>
          <w:szCs w:val="32"/>
          <w:lang w:val="en-US" w:eastAsia="zh-CN"/>
        </w:rPr>
      </w:pPr>
      <w:r>
        <w:rPr>
          <w:rFonts w:hint="eastAsia" w:eastAsia="仿宋"/>
          <w:b w:val="0"/>
          <w:bCs/>
          <w:color w:val="auto"/>
          <w:sz w:val="32"/>
          <w:szCs w:val="32"/>
          <w:lang w:val="en-US" w:eastAsia="zh-CN"/>
        </w:rPr>
        <w:t>2、2024年度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eastAsia="仿宋"/>
          <w:b w:val="0"/>
          <w:bCs/>
          <w:color w:val="auto"/>
          <w:sz w:val="32"/>
          <w:szCs w:val="32"/>
        </w:rPr>
        <w:t>收入</w:t>
      </w:r>
      <w:r>
        <w:rPr>
          <w:rFonts w:hint="eastAsia" w:eastAsia="仿宋"/>
          <w:b w:val="0"/>
          <w:bCs/>
          <w:color w:val="auto"/>
          <w:sz w:val="32"/>
          <w:szCs w:val="32"/>
          <w:lang w:eastAsia="zh-CN"/>
        </w:rPr>
        <w:t>7,331.05万元。</w:t>
      </w:r>
    </w:p>
    <w:p w14:paraId="0BEC2BBE">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
          <w:b w:val="0"/>
          <w:bCs/>
          <w:color w:val="0000FF"/>
          <w:sz w:val="32"/>
          <w:szCs w:val="32"/>
          <w:lang w:val="en-US" w:eastAsia="zh-CN"/>
        </w:rPr>
      </w:pPr>
      <w:r>
        <w:rPr>
          <w:rFonts w:eastAsia="仿宋"/>
          <w:b w:val="0"/>
          <w:bCs/>
          <w:color w:val="auto"/>
          <w:sz w:val="32"/>
          <w:szCs w:val="32"/>
        </w:rPr>
        <w:t>3</w:t>
      </w:r>
      <w:r>
        <w:rPr>
          <w:rFonts w:hint="eastAsia" w:eastAsia="仿宋"/>
          <w:b w:val="0"/>
          <w:bCs/>
          <w:color w:val="auto"/>
          <w:sz w:val="32"/>
          <w:szCs w:val="32"/>
          <w:lang w:eastAsia="zh-CN"/>
        </w:rPr>
        <w:t>、</w:t>
      </w:r>
      <w:r>
        <w:rPr>
          <w:rFonts w:hint="eastAsia" w:eastAsia="仿宋"/>
          <w:b w:val="0"/>
          <w:bCs/>
          <w:color w:val="auto"/>
          <w:sz w:val="32"/>
          <w:szCs w:val="32"/>
          <w:lang w:val="en-US" w:eastAsia="zh-CN"/>
        </w:rPr>
        <w:t>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hint="eastAsia" w:eastAsia="仿宋"/>
          <w:b w:val="0"/>
          <w:bCs/>
          <w:color w:val="auto"/>
          <w:sz w:val="32"/>
          <w:szCs w:val="32"/>
          <w:lang w:eastAsia="zh-CN"/>
        </w:rPr>
        <w:t>支出7,331.05万元，</w:t>
      </w:r>
      <w:r>
        <w:rPr>
          <w:rFonts w:eastAsia="仿宋"/>
          <w:b w:val="0"/>
          <w:bCs/>
          <w:color w:val="auto"/>
          <w:sz w:val="32"/>
          <w:szCs w:val="32"/>
        </w:rPr>
        <w:t>其中：项目支出</w:t>
      </w:r>
      <w:r>
        <w:rPr>
          <w:rFonts w:hint="eastAsia" w:eastAsia="仿宋"/>
          <w:b w:val="0"/>
          <w:bCs/>
          <w:color w:val="auto"/>
          <w:sz w:val="32"/>
          <w:szCs w:val="32"/>
          <w:lang w:val="en-US" w:eastAsia="zh-CN"/>
        </w:rPr>
        <w:t>6,889.18</w:t>
      </w:r>
      <w:r>
        <w:rPr>
          <w:rFonts w:eastAsia="仿宋"/>
          <w:b w:val="0"/>
          <w:bCs/>
          <w:color w:val="auto"/>
          <w:sz w:val="32"/>
          <w:szCs w:val="32"/>
        </w:rPr>
        <w:t>万元，基本支出</w:t>
      </w:r>
      <w:r>
        <w:rPr>
          <w:rFonts w:hint="eastAsia" w:eastAsia="仿宋"/>
          <w:b w:val="0"/>
          <w:bCs/>
          <w:color w:val="auto"/>
          <w:sz w:val="32"/>
          <w:szCs w:val="32"/>
          <w:lang w:val="en-US" w:eastAsia="zh-CN"/>
        </w:rPr>
        <w:t>441.87</w:t>
      </w:r>
      <w:r>
        <w:rPr>
          <w:rFonts w:eastAsia="仿宋"/>
          <w:b w:val="0"/>
          <w:bCs/>
          <w:color w:val="auto"/>
          <w:sz w:val="32"/>
          <w:szCs w:val="32"/>
        </w:rPr>
        <w:t>万元，其中：人员经费</w:t>
      </w:r>
      <w:r>
        <w:rPr>
          <w:rFonts w:hint="eastAsia" w:eastAsia="仿宋"/>
          <w:b w:val="0"/>
          <w:bCs/>
          <w:color w:val="auto"/>
          <w:sz w:val="32"/>
          <w:szCs w:val="32"/>
          <w:lang w:val="en-US" w:eastAsia="zh-CN"/>
        </w:rPr>
        <w:t>355.78</w:t>
      </w:r>
      <w:r>
        <w:rPr>
          <w:rFonts w:eastAsia="仿宋"/>
          <w:b w:val="0"/>
          <w:bCs/>
          <w:color w:val="auto"/>
          <w:sz w:val="32"/>
          <w:szCs w:val="32"/>
        </w:rPr>
        <w:t>万元，公用经费</w:t>
      </w:r>
      <w:r>
        <w:rPr>
          <w:rFonts w:hint="eastAsia" w:eastAsia="仿宋"/>
          <w:b w:val="0"/>
          <w:bCs/>
          <w:color w:val="auto"/>
          <w:sz w:val="32"/>
          <w:szCs w:val="32"/>
          <w:lang w:val="en-US" w:eastAsia="zh-CN"/>
        </w:rPr>
        <w:t>86.09万</w:t>
      </w:r>
      <w:r>
        <w:rPr>
          <w:rFonts w:eastAsia="仿宋"/>
          <w:b w:val="0"/>
          <w:bCs/>
          <w:color w:val="auto"/>
          <w:sz w:val="32"/>
          <w:szCs w:val="32"/>
        </w:rPr>
        <w:t>元。</w:t>
      </w:r>
    </w:p>
    <w:p w14:paraId="1D51AE70">
      <w:pPr>
        <w:pStyle w:val="6"/>
        <w:keepNext w:val="0"/>
        <w:keepLines w:val="0"/>
        <w:pageBreakBefore w:val="0"/>
        <w:numPr>
          <w:ilvl w:val="0"/>
          <w:numId w:val="1"/>
        </w:numPr>
        <w:kinsoku/>
        <w:wordWrap/>
        <w:overflowPunct/>
        <w:topLinePunct w:val="0"/>
        <w:autoSpaceDE/>
        <w:autoSpaceDN/>
        <w:bidi w:val="0"/>
        <w:spacing w:line="560" w:lineRule="exact"/>
        <w:ind w:firstLine="643"/>
        <w:textAlignment w:val="auto"/>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CB7B2D7">
      <w:pPr>
        <w:pStyle w:val="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产业发展资金110.00万元；2、服饰链办0.55万元；3、航空产业链20.15万元；4、军民融合4.01万元；5、龙泉（服饰）智能制造产业园项目建设资金6,680.00万元；6、市人才发展经费4.50万元；7、物管及餐费9.54万元；8、项目建设经费47.71万元；9、营商环境奖励资金1.75万元；10、园区党建经费0.16万元；11、园区奖励10.81万元。</w:t>
      </w:r>
    </w:p>
    <w:p w14:paraId="6FBA0472">
      <w:pPr>
        <w:pStyle w:val="6"/>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三、政府性基金预算支出情况</w:t>
      </w:r>
    </w:p>
    <w:p w14:paraId="14B32644">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 w:cs="Times New Roman"/>
          <w:color w:val="auto"/>
          <w:sz w:val="32"/>
          <w:szCs w:val="32"/>
          <w:highlight w:val="none"/>
          <w:lang w:val="en-US" w:eastAsia="zh-CN"/>
        </w:rPr>
        <w:t>2024</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单位政府性基金预算财政拨款收入</w:t>
      </w:r>
      <w:r>
        <w:rPr>
          <w:rFonts w:hint="default" w:ascii="Times New Roman" w:hAnsi="Times New Roman" w:eastAsia="仿宋" w:cs="Times New Roman"/>
          <w:color w:val="auto"/>
          <w:sz w:val="32"/>
          <w:szCs w:val="32"/>
          <w:highlight w:val="none"/>
          <w:lang w:eastAsia="zh-CN"/>
        </w:rPr>
        <w:t>18,141.20万元；</w:t>
      </w:r>
      <w:r>
        <w:rPr>
          <w:rFonts w:hint="eastAsia" w:ascii="Times New Roman" w:hAnsi="Times New Roman" w:eastAsia="仿宋" w:cs="Times New Roman"/>
          <w:color w:val="auto"/>
          <w:sz w:val="32"/>
          <w:szCs w:val="32"/>
          <w:highlight w:val="none"/>
          <w:lang w:val="en-US" w:eastAsia="zh-CN"/>
        </w:rPr>
        <w:t>2024</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单位政府性基金预算财政拨款</w:t>
      </w:r>
      <w:r>
        <w:rPr>
          <w:rFonts w:hint="default" w:ascii="Times New Roman" w:hAnsi="Times New Roman" w:eastAsia="仿宋" w:cs="Times New Roman"/>
          <w:color w:val="auto"/>
          <w:sz w:val="32"/>
          <w:szCs w:val="32"/>
          <w:highlight w:val="none"/>
          <w:lang w:eastAsia="zh-CN"/>
        </w:rPr>
        <w:t>支出18,141.20万元，</w:t>
      </w:r>
      <w:r>
        <w:rPr>
          <w:rFonts w:hint="default" w:ascii="Times New Roman" w:hAnsi="Times New Roman" w:eastAsia="仿宋" w:cs="Times New Roman"/>
          <w:color w:val="auto"/>
          <w:sz w:val="32"/>
          <w:szCs w:val="32"/>
          <w:highlight w:val="none"/>
        </w:rPr>
        <w:t>其中：项目支出</w:t>
      </w:r>
      <w:r>
        <w:rPr>
          <w:rFonts w:hint="default" w:ascii="Times New Roman" w:hAnsi="Times New Roman" w:eastAsia="仿宋" w:cs="Times New Roman"/>
          <w:color w:val="auto"/>
          <w:sz w:val="32"/>
          <w:szCs w:val="32"/>
          <w:highlight w:val="none"/>
          <w:lang w:eastAsia="zh-CN"/>
        </w:rPr>
        <w:t>18,141.20</w:t>
      </w:r>
      <w:r>
        <w:rPr>
          <w:rFonts w:hint="default" w:ascii="Times New Roman" w:hAnsi="Times New Roman" w:eastAsia="仿宋" w:cs="Times New Roman"/>
          <w:color w:val="auto"/>
          <w:sz w:val="32"/>
          <w:szCs w:val="32"/>
          <w:highlight w:val="none"/>
        </w:rPr>
        <w:t>万元。</w:t>
      </w:r>
    </w:p>
    <w:p w14:paraId="78ACF3A3">
      <w:pPr>
        <w:pStyle w:val="6"/>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r>
        <w:rPr>
          <w:rFonts w:hint="eastAsia" w:ascii="Times New Roman" w:hAnsi="Times New Roman" w:eastAsia="黑体"/>
          <w:sz w:val="32"/>
          <w:szCs w:val="32"/>
          <w:lang w:eastAsia="zh-CN"/>
        </w:rPr>
        <w:t>（取</w:t>
      </w:r>
      <w:r>
        <w:rPr>
          <w:rFonts w:hint="eastAsia" w:ascii="Times New Roman" w:hAnsi="Times New Roman" w:eastAsia="黑体"/>
          <w:sz w:val="32"/>
          <w:szCs w:val="32"/>
          <w:lang w:val="en-US" w:eastAsia="zh-CN"/>
        </w:rPr>
        <w:t>04表I34数据</w:t>
      </w:r>
      <w:r>
        <w:rPr>
          <w:rFonts w:hint="eastAsia" w:ascii="Times New Roman" w:hAnsi="Times New Roman" w:eastAsia="黑体"/>
          <w:sz w:val="32"/>
          <w:szCs w:val="32"/>
          <w:lang w:eastAsia="zh-CN"/>
        </w:rPr>
        <w:t>）</w:t>
      </w:r>
    </w:p>
    <w:p w14:paraId="3B549D92">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无</w:t>
      </w:r>
    </w:p>
    <w:p w14:paraId="218B32E6">
      <w:pPr>
        <w:pStyle w:val="6"/>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14:paraId="6952798E">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无</w:t>
      </w:r>
    </w:p>
    <w:p w14:paraId="3013264D">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5A3CABF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730B035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b w:val="0"/>
          <w:bCs w:val="0"/>
          <w:color w:val="auto"/>
          <w:kern w:val="2"/>
          <w:sz w:val="32"/>
          <w:szCs w:val="32"/>
          <w:lang w:val="en-US" w:eastAsia="zh-CN" w:bidi="ar-SA"/>
        </w:rPr>
        <w:t>2024年董家塅片区管委会在区委、区政府的正确领导下，较好完成了全年各项目标任务。</w:t>
      </w:r>
    </w:p>
    <w:p w14:paraId="7A38B0C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1.开展“项目满园”行动。</w:t>
      </w:r>
      <w:r>
        <w:rPr>
          <w:rFonts w:hint="eastAsia" w:ascii="仿宋" w:hAnsi="仿宋" w:eastAsia="仿宋" w:cs="仿宋"/>
          <w:b w:val="0"/>
          <w:bCs w:val="0"/>
          <w:color w:val="auto"/>
          <w:kern w:val="2"/>
          <w:sz w:val="32"/>
          <w:szCs w:val="32"/>
          <w:lang w:val="en-US" w:eastAsia="zh-CN" w:bidi="ar-SA"/>
        </w:rPr>
        <w:t>扎实开展“重大项目攻坚年”活动，“三新”项目提前完成市下达全年任务。其中，新引进亿元以上产业项目17个，总投资35.8亿元，完成率113.3%，在谈产业项目25个，总投资50.3亿元，其中10亿元以上产业项目2个；新开工5000万元以上产业项目18个，完成率138.5%；新竣工5000万元以上产业项目12个，完成率120%。</w:t>
      </w:r>
    </w:p>
    <w:p w14:paraId="07EC4C8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2.开展“改革活园”行动。</w:t>
      </w:r>
      <w:r>
        <w:rPr>
          <w:rFonts w:hint="eastAsia" w:ascii="仿宋" w:hAnsi="仿宋" w:eastAsia="仿宋" w:cs="仿宋"/>
          <w:b w:val="0"/>
          <w:bCs w:val="0"/>
          <w:color w:val="auto"/>
          <w:kern w:val="2"/>
          <w:sz w:val="32"/>
          <w:szCs w:val="32"/>
          <w:lang w:val="en-US" w:eastAsia="zh-CN" w:bidi="ar-SA"/>
        </w:rPr>
        <w:t>管理体制改革方面，董家塅片区管委会、区航空产业服务中心实行“两块牌子、一套人马”，运行情况良好；成立招商引资工作专班，明确董家塅片区管委会以航空和土地招商为主、区商务局以服饰和标厂招商为主，各有侧重，形成合力；梳理形成《园区重点工作、重大项目问题汇总清单》《园区发展需解决的重要问题及建议》，争取市、区两级党委和政府的支持。市场化运营机制改革方面，制定《株洲高新区董家塅片区市场化建设运营改革实施方案》；推动市城发集团成立株洲市低空经济产业投资有限公司、株洲航空产业研究院、湖南通用航空发动机有限公司。土地利用效率改革方面，完成低效（空闲）用地处置1宗103亩、批而未供用地处置1宗6亩，三年累计完成“三类地”处置1806亩，其中闲置土地12宗632亩，处置率100%，低效（空闲）用地9宗717亩，处置率100%，批而未供土地6宗457亩，处置率82%；在龙泉（服饰）智能制造产业园项目探索“成本价供地”模式，确保年底开工建设；推动株春雅地块成为全市第一宗到期续期工业土地，相关经验被《株洲市打造“三个高地”工作简报》《株洲工信（园区发展专刊）》推介；出让工业用地4宗27.1亩，“标准地”出让率100%。构建主城区园区发展新格局改革方面，由株洲高新区统筹“一区三园”，在调区扩区、环保安全评估、数据统计等方面建立定期会商、事务统筹、协同联动工作机制。</w:t>
      </w:r>
    </w:p>
    <w:p w14:paraId="0916089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3.开展“产业强园”行动。</w:t>
      </w:r>
      <w:r>
        <w:rPr>
          <w:rFonts w:hint="eastAsia" w:ascii="仿宋" w:hAnsi="仿宋" w:eastAsia="仿宋" w:cs="仿宋"/>
          <w:b w:val="0"/>
          <w:bCs w:val="0"/>
          <w:color w:val="auto"/>
          <w:kern w:val="2"/>
          <w:sz w:val="32"/>
          <w:szCs w:val="32"/>
          <w:lang w:val="en-US" w:eastAsia="zh-CN" w:bidi="ar-SA"/>
        </w:rPr>
        <w:t>航空装备与低空经济产业方面，7月5日，沈晓明书记在株洲专题调研航天航空产业发展，深入芦淞通用机场和山河星航等5家企业；配合举办2024年航空嘉年华；在中小航空发动机产业集群开展中小企业数字化转型试点；山河星航、翔为通航、星途航空等企业被新华社以《“低空经济”，为什么会被反复@》报道；国产最大无人运输机山河SA750U地面试车成功；获评省制造业数字化转型标杆项目2个，入选省十大技术攻关项目1个。服饰产业方面，配合举办2024年湖南服饰博览会暨芦淞时装周；服饰电商改革创新发展经验入选商务部《电子商务创新发展典型经验做法》；芦淞服装设计师马乖以第一名荣获第30届中国十佳时装设计师，是首位既是湖南籍品牌主理人又是湖南籍设计师双重身份的获奖者，素白荣获2024年度时尚品牌奖，是湖南服饰品牌首次在该领域获奖；举办株洲市第一期女裤版师研修班，受到一致好评；推动智衣科技与远赢服饰成立全市首家“智衣纺织服装产业互联网平台示范工厂”。新材料产业方面，获评省制造业数字化转型标杆项目2个、省级企业技术中心1个、省新材料中试平台1个，入选省级工业互联网平台建设计划名单1个。</w:t>
      </w:r>
    </w:p>
    <w:p w14:paraId="601B07F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hint="eastAsia" w:ascii="仿宋" w:hAnsi="仿宋" w:eastAsia="仿宋" w:cs="仿宋"/>
          <w:b/>
          <w:bCs/>
          <w:color w:val="auto"/>
          <w:kern w:val="2"/>
          <w:sz w:val="32"/>
          <w:szCs w:val="32"/>
          <w:lang w:val="en-US" w:eastAsia="zh-CN" w:bidi="ar-SA"/>
        </w:rPr>
        <w:t>4.开展“服务兴园”行动。</w:t>
      </w:r>
      <w:r>
        <w:rPr>
          <w:rFonts w:hint="eastAsia" w:ascii="仿宋" w:hAnsi="仿宋" w:eastAsia="仿宋" w:cs="仿宋"/>
          <w:b w:val="0"/>
          <w:bCs w:val="0"/>
          <w:color w:val="auto"/>
          <w:kern w:val="2"/>
          <w:sz w:val="32"/>
          <w:szCs w:val="32"/>
          <w:lang w:val="en-US" w:eastAsia="zh-CN" w:bidi="ar-SA"/>
        </w:rPr>
        <w:t>搭建服务平台，建成芦淞园区企业服务平台，成功申报湖南省知识产权公共服务平台1个、省级航空航天装备制造与应用产教联合体1个、湖南省博士创新站2个，特别是博士创新站以园区为建站单位的申报形式在全省乃至全国均为首创。鼓励科技创新，推动新增国家级专精特新“小巨人”企业1家、省级专精特新“小巨人”企业8家。举办惠企活动，举办芦淞区政企餐叙会（园区专场）；牵头开展全区“访实情 判形势 纾企困”2024年企业集中大走访大服务活动，同步开展“两重”“两新”送解忧专项活动，走访企业150余家，收集问题40余个；开展湖南汽车工程职业学院师生代表和博士团队园区行活动，马俊飞博士被聘为园区“招商顾问”，其团队无人机平台关键技术研究及产业化项目落户航空新城。注重调查研究，调研形成《园区2024年上半年重点企业生产运营情况分析报告》《园区近十年供地项目履约情况报告》等，供区委、区政府决策参考。加强党建引领，结合党建引领基层治理暨集中整治攻坚行动，在白关服饰产业园组建独立党支部3个、功能型联合党支部2个，《深化党建引领 推动园区发展“挂档提速”》被红星网推介。</w:t>
      </w:r>
    </w:p>
    <w:p w14:paraId="75B5A92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FBBCAD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（1）</w:t>
      </w:r>
      <w:r>
        <w:rPr>
          <w:rFonts w:hint="eastAsia" w:ascii="仿宋" w:hAnsi="仿宋" w:eastAsia="仿宋" w:cs="仿宋"/>
          <w:bCs w:val="0"/>
          <w:color w:val="auto"/>
          <w:sz w:val="32"/>
          <w:szCs w:val="32"/>
          <w:highlight w:val="none"/>
        </w:rPr>
        <w:t>产业发展资金</w:t>
      </w:r>
    </w:p>
    <w:p w14:paraId="37F0F76E">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Cs w:val="0"/>
          <w:sz w:val="32"/>
          <w:szCs w:val="32"/>
          <w:lang w:eastAsia="zh-CN"/>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110</w:t>
      </w:r>
      <w:r>
        <w:rPr>
          <w:rFonts w:hint="eastAsia" w:ascii="仿宋" w:hAnsi="仿宋" w:eastAsia="仿宋" w:cs="仿宋"/>
          <w:bCs w:val="0"/>
          <w:sz w:val="32"/>
          <w:szCs w:val="32"/>
        </w:rPr>
        <w:t>.0万元，区财政根据招商引资领导小组会议纪要拨付湖南南方宇航高精传动有限公司产业发展资金</w:t>
      </w:r>
      <w:r>
        <w:rPr>
          <w:rFonts w:hint="eastAsia" w:ascii="仿宋" w:hAnsi="仿宋" w:eastAsia="仿宋" w:cs="仿宋"/>
          <w:bCs w:val="0"/>
          <w:sz w:val="32"/>
          <w:szCs w:val="32"/>
          <w:lang w:val="en-US" w:eastAsia="zh-CN"/>
        </w:rPr>
        <w:t>60万元</w:t>
      </w:r>
      <w:r>
        <w:rPr>
          <w:rFonts w:hint="eastAsia" w:ascii="仿宋" w:hAnsi="仿宋" w:eastAsia="仿宋" w:cs="仿宋"/>
          <w:bCs w:val="0"/>
          <w:sz w:val="32"/>
          <w:szCs w:val="32"/>
          <w:lang w:eastAsia="zh-CN"/>
        </w:rPr>
        <w:t>、根据区政府第35次常务会议纪要和芦政发〔2024〕4号文件</w:t>
      </w:r>
      <w:r>
        <w:rPr>
          <w:rFonts w:hint="eastAsia" w:ascii="仿宋" w:hAnsi="仿宋" w:eastAsia="仿宋" w:cs="仿宋"/>
          <w:bCs w:val="0"/>
          <w:sz w:val="32"/>
          <w:szCs w:val="32"/>
        </w:rPr>
        <w:t>拨付</w:t>
      </w:r>
      <w:r>
        <w:rPr>
          <w:rFonts w:hint="eastAsia" w:ascii="仿宋" w:hAnsi="仿宋" w:eastAsia="仿宋" w:cs="仿宋"/>
          <w:bCs w:val="0"/>
          <w:sz w:val="32"/>
          <w:szCs w:val="32"/>
          <w:lang w:val="en-US" w:eastAsia="zh-CN"/>
        </w:rPr>
        <w:t>园区企业经济表彰奖励资金50万元</w:t>
      </w:r>
      <w:r>
        <w:rPr>
          <w:rFonts w:hint="eastAsia" w:ascii="仿宋" w:hAnsi="仿宋" w:eastAsia="仿宋" w:cs="仿宋"/>
          <w:bCs w:val="0"/>
          <w:sz w:val="32"/>
          <w:szCs w:val="32"/>
        </w:rPr>
        <w:t>，体现我区加强企业服务，优化营商环境，最终助力企业</w:t>
      </w:r>
      <w:r>
        <w:rPr>
          <w:rFonts w:hint="eastAsia" w:ascii="仿宋" w:hAnsi="仿宋" w:eastAsia="仿宋" w:cs="仿宋"/>
          <w:bCs w:val="0"/>
          <w:sz w:val="32"/>
          <w:szCs w:val="32"/>
          <w:lang w:val="en-US" w:eastAsia="zh-CN"/>
        </w:rPr>
        <w:t>发展。</w:t>
      </w:r>
    </w:p>
    <w:p w14:paraId="70EA29B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2</w:t>
      </w:r>
      <w:r>
        <w:rPr>
          <w:rFonts w:hint="eastAsia" w:ascii="仿宋" w:hAnsi="仿宋" w:eastAsia="仿宋" w:cs="仿宋"/>
          <w:bCs w:val="0"/>
          <w:sz w:val="32"/>
          <w:szCs w:val="32"/>
        </w:rPr>
        <w:t>）</w:t>
      </w:r>
      <w:r>
        <w:rPr>
          <w:rFonts w:hint="eastAsia" w:ascii="仿宋" w:hAnsi="仿宋" w:eastAsia="仿宋" w:cs="仿宋"/>
          <w:bCs w:val="0"/>
          <w:color w:val="auto"/>
          <w:sz w:val="32"/>
          <w:szCs w:val="32"/>
          <w:highlight w:val="none"/>
        </w:rPr>
        <w:t>服饰</w:t>
      </w:r>
      <w:r>
        <w:rPr>
          <w:rFonts w:hint="eastAsia" w:ascii="仿宋" w:hAnsi="仿宋" w:eastAsia="仿宋" w:cs="仿宋"/>
          <w:bCs w:val="0"/>
          <w:color w:val="auto"/>
          <w:sz w:val="32"/>
          <w:szCs w:val="32"/>
          <w:highlight w:val="none"/>
          <w:lang w:val="en-US" w:eastAsia="zh-CN"/>
        </w:rPr>
        <w:t>产业链</w:t>
      </w:r>
    </w:p>
    <w:p w14:paraId="0F294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0.55</w:t>
      </w:r>
      <w:r>
        <w:rPr>
          <w:rFonts w:hint="eastAsia" w:ascii="仿宋" w:hAnsi="仿宋" w:eastAsia="仿宋" w:cs="仿宋"/>
          <w:bCs w:val="0"/>
          <w:sz w:val="32"/>
          <w:szCs w:val="32"/>
        </w:rPr>
        <w:t>万元，</w:t>
      </w:r>
      <w:r>
        <w:rPr>
          <w:rFonts w:hint="eastAsia" w:ascii="仿宋" w:hAnsi="仿宋" w:eastAsia="仿宋" w:cs="仿宋"/>
          <w:b w:val="0"/>
          <w:bCs w:val="0"/>
          <w:color w:val="auto"/>
          <w:kern w:val="2"/>
          <w:sz w:val="32"/>
          <w:szCs w:val="32"/>
          <w:lang w:val="en-US" w:eastAsia="zh-CN" w:bidi="ar-SA"/>
        </w:rPr>
        <w:t>配合举办2024年湖南服饰博览会暨芦淞时装周。</w:t>
      </w:r>
    </w:p>
    <w:p w14:paraId="31578B0D">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3</w:t>
      </w:r>
      <w:r>
        <w:rPr>
          <w:rFonts w:hint="eastAsia" w:ascii="仿宋" w:hAnsi="仿宋" w:eastAsia="仿宋" w:cs="仿宋"/>
          <w:bCs w:val="0"/>
          <w:sz w:val="32"/>
          <w:szCs w:val="32"/>
        </w:rPr>
        <w:t>）</w:t>
      </w:r>
      <w:r>
        <w:rPr>
          <w:rFonts w:hint="eastAsia" w:ascii="仿宋" w:hAnsi="仿宋" w:eastAsia="仿宋" w:cs="仿宋"/>
          <w:bCs w:val="0"/>
          <w:color w:val="auto"/>
          <w:sz w:val="32"/>
          <w:szCs w:val="32"/>
          <w:highlight w:val="none"/>
        </w:rPr>
        <w:t>航空产业链</w:t>
      </w:r>
    </w:p>
    <w:p w14:paraId="225C6F7D">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20.15</w:t>
      </w:r>
      <w:r>
        <w:rPr>
          <w:rFonts w:hint="eastAsia" w:ascii="仿宋" w:hAnsi="仿宋" w:eastAsia="仿宋" w:cs="仿宋"/>
          <w:bCs w:val="0"/>
          <w:sz w:val="32"/>
          <w:szCs w:val="32"/>
        </w:rPr>
        <w:t>万元，</w:t>
      </w:r>
      <w:r>
        <w:rPr>
          <w:rFonts w:hint="eastAsia" w:ascii="仿宋" w:hAnsi="仿宋" w:eastAsia="仿宋" w:cs="仿宋"/>
          <w:bCs w:val="0"/>
          <w:color w:val="auto"/>
          <w:kern w:val="2"/>
          <w:sz w:val="32"/>
          <w:szCs w:val="32"/>
          <w:highlight w:val="none"/>
          <w:lang w:val="en-US" w:eastAsia="zh-CN" w:bidi="ar-SA"/>
        </w:rPr>
        <w:t>一是</w:t>
      </w:r>
      <w:r>
        <w:rPr>
          <w:rFonts w:hint="eastAsia" w:ascii="仿宋" w:hAnsi="仿宋" w:eastAsia="仿宋" w:cs="仿宋"/>
          <w:b w:val="0"/>
          <w:bCs w:val="0"/>
          <w:color w:val="auto"/>
          <w:kern w:val="2"/>
          <w:sz w:val="32"/>
          <w:szCs w:val="32"/>
          <w:lang w:val="en-US" w:eastAsia="zh-CN" w:bidi="ar-SA"/>
        </w:rPr>
        <w:t>配合举办2024年航空嘉年华</w:t>
      </w:r>
      <w:r>
        <w:rPr>
          <w:rFonts w:hint="eastAsia" w:ascii="仿宋" w:hAnsi="仿宋" w:eastAsia="仿宋" w:cs="仿宋"/>
          <w:bCs w:val="0"/>
          <w:color w:val="auto"/>
          <w:kern w:val="2"/>
          <w:sz w:val="32"/>
          <w:szCs w:val="32"/>
          <w:highlight w:val="none"/>
          <w:lang w:val="en-US" w:eastAsia="zh-CN" w:bidi="ar-SA"/>
        </w:rPr>
        <w:t>。二是</w:t>
      </w:r>
      <w:r>
        <w:rPr>
          <w:rFonts w:hint="eastAsia" w:ascii="仿宋" w:hAnsi="仿宋" w:eastAsia="仿宋" w:cs="仿宋"/>
          <w:b w:val="0"/>
          <w:bCs w:val="0"/>
          <w:color w:val="auto"/>
          <w:kern w:val="2"/>
          <w:sz w:val="32"/>
          <w:szCs w:val="32"/>
          <w:lang w:val="en-US" w:eastAsia="zh-CN" w:bidi="ar-SA"/>
        </w:rPr>
        <w:t>编制突发环境应急预案</w:t>
      </w:r>
      <w:r>
        <w:rPr>
          <w:rFonts w:hint="eastAsia" w:ascii="仿宋" w:hAnsi="仿宋" w:eastAsia="仿宋" w:cs="仿宋"/>
          <w:bCs w:val="0"/>
          <w:color w:val="auto"/>
          <w:kern w:val="2"/>
          <w:sz w:val="32"/>
          <w:szCs w:val="32"/>
          <w:highlight w:val="none"/>
          <w:lang w:val="en-US" w:eastAsia="zh-CN" w:bidi="ar-SA"/>
        </w:rPr>
        <w:t>。三是</w:t>
      </w:r>
      <w:r>
        <w:rPr>
          <w:rFonts w:hint="eastAsia" w:ascii="仿宋" w:hAnsi="仿宋" w:eastAsia="仿宋" w:cs="仿宋"/>
          <w:b w:val="0"/>
          <w:bCs w:val="0"/>
          <w:color w:val="auto"/>
          <w:kern w:val="2"/>
          <w:sz w:val="32"/>
          <w:szCs w:val="32"/>
          <w:lang w:val="en-US" w:eastAsia="zh-CN" w:bidi="ar-SA"/>
        </w:rPr>
        <w:t>配合湖南航空技术学院举办揭牌仪式。四是招商引资。</w:t>
      </w:r>
    </w:p>
    <w:p w14:paraId="10C3E2DC">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4</w:t>
      </w:r>
      <w:r>
        <w:rPr>
          <w:rFonts w:hint="eastAsia" w:ascii="仿宋" w:hAnsi="仿宋" w:eastAsia="仿宋" w:cs="仿宋"/>
          <w:bCs w:val="0"/>
          <w:sz w:val="32"/>
          <w:szCs w:val="32"/>
        </w:rPr>
        <w:t>）</w:t>
      </w:r>
      <w:r>
        <w:rPr>
          <w:rFonts w:hint="eastAsia" w:ascii="仿宋" w:hAnsi="仿宋" w:eastAsia="仿宋" w:cs="仿宋"/>
          <w:bCs w:val="0"/>
          <w:color w:val="auto"/>
          <w:sz w:val="32"/>
          <w:szCs w:val="32"/>
          <w:highlight w:val="none"/>
        </w:rPr>
        <w:t>军民融合</w:t>
      </w:r>
    </w:p>
    <w:p w14:paraId="7EABFD50">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4.01</w:t>
      </w:r>
      <w:r>
        <w:rPr>
          <w:rFonts w:hint="eastAsia" w:ascii="仿宋" w:hAnsi="仿宋" w:eastAsia="仿宋" w:cs="仿宋"/>
          <w:bCs w:val="0"/>
          <w:sz w:val="32"/>
          <w:szCs w:val="32"/>
        </w:rPr>
        <w:t>万元，</w:t>
      </w:r>
      <w:r>
        <w:rPr>
          <w:rFonts w:hint="eastAsia" w:ascii="仿宋" w:hAnsi="仿宋" w:eastAsia="仿宋" w:cs="仿宋"/>
          <w:bCs w:val="0"/>
          <w:sz w:val="32"/>
          <w:szCs w:val="32"/>
          <w:lang w:val="en-US" w:eastAsia="zh-CN"/>
        </w:rPr>
        <w:t>主要用于</w:t>
      </w:r>
      <w:r>
        <w:rPr>
          <w:rFonts w:hint="eastAsia" w:ascii="仿宋" w:hAnsi="仿宋" w:eastAsia="仿宋" w:cs="仿宋"/>
          <w:b w:val="0"/>
          <w:bCs w:val="0"/>
          <w:color w:val="auto"/>
          <w:kern w:val="2"/>
          <w:sz w:val="32"/>
          <w:szCs w:val="32"/>
          <w:lang w:val="en-US" w:eastAsia="zh-CN" w:bidi="ar-SA"/>
        </w:rPr>
        <w:t>军民融合“十四五”发展规划中期评估。</w:t>
      </w:r>
    </w:p>
    <w:p w14:paraId="50FCA368">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5</w:t>
      </w:r>
      <w:r>
        <w:rPr>
          <w:rFonts w:hint="eastAsia" w:ascii="仿宋" w:hAnsi="仿宋" w:eastAsia="仿宋" w:cs="仿宋"/>
          <w:bCs w:val="0"/>
          <w:sz w:val="32"/>
          <w:szCs w:val="32"/>
        </w:rPr>
        <w:t>）</w:t>
      </w:r>
      <w:r>
        <w:rPr>
          <w:rFonts w:hint="eastAsia" w:ascii="仿宋" w:hAnsi="仿宋" w:eastAsia="仿宋" w:cs="仿宋"/>
          <w:color w:val="auto"/>
          <w:kern w:val="2"/>
          <w:sz w:val="32"/>
          <w:szCs w:val="32"/>
          <w:lang w:val="en-US" w:eastAsia="zh-CN" w:bidi="ar-SA"/>
        </w:rPr>
        <w:t>龙泉（服饰）智能制造产业园项目建设资金</w:t>
      </w:r>
    </w:p>
    <w:p w14:paraId="79BF2A35">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6680</w:t>
      </w:r>
      <w:r>
        <w:rPr>
          <w:rFonts w:hint="eastAsia" w:ascii="仿宋" w:hAnsi="仿宋" w:eastAsia="仿宋" w:cs="仿宋"/>
          <w:bCs w:val="0"/>
          <w:sz w:val="32"/>
          <w:szCs w:val="32"/>
        </w:rPr>
        <w:t>万元，区财政根据政府常务会议纪要拨付</w:t>
      </w:r>
      <w:r>
        <w:rPr>
          <w:rFonts w:hint="eastAsia" w:ascii="仿宋" w:hAnsi="仿宋" w:eastAsia="仿宋" w:cs="仿宋"/>
          <w:color w:val="auto"/>
          <w:kern w:val="2"/>
          <w:sz w:val="32"/>
          <w:szCs w:val="32"/>
          <w:lang w:val="en-US" w:eastAsia="zh-CN" w:bidi="ar-SA"/>
        </w:rPr>
        <w:t>龙泉（服饰）智能制造产业园项目</w:t>
      </w:r>
      <w:r>
        <w:rPr>
          <w:rFonts w:hint="eastAsia" w:ascii="仿宋" w:hAnsi="仿宋" w:eastAsia="仿宋" w:cs="仿宋"/>
          <w:bCs w:val="0"/>
          <w:sz w:val="32"/>
          <w:szCs w:val="32"/>
        </w:rPr>
        <w:t>建设经费，用于项目开发建设，进而加快我区产业项目</w:t>
      </w:r>
      <w:r>
        <w:rPr>
          <w:rFonts w:hint="eastAsia" w:ascii="仿宋" w:hAnsi="仿宋" w:eastAsia="仿宋" w:cs="仿宋"/>
          <w:bCs w:val="0"/>
          <w:sz w:val="32"/>
          <w:szCs w:val="32"/>
          <w:lang w:val="en-US" w:eastAsia="zh-CN"/>
        </w:rPr>
        <w:t>发展</w:t>
      </w:r>
      <w:r>
        <w:rPr>
          <w:rFonts w:hint="eastAsia" w:ascii="仿宋" w:hAnsi="仿宋" w:eastAsia="仿宋" w:cs="仿宋"/>
          <w:bCs w:val="0"/>
          <w:sz w:val="32"/>
          <w:szCs w:val="32"/>
        </w:rPr>
        <w:t>。</w:t>
      </w:r>
    </w:p>
    <w:p w14:paraId="3F340C2A">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6</w:t>
      </w: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市</w:t>
      </w:r>
      <w:r>
        <w:rPr>
          <w:rFonts w:hint="eastAsia" w:ascii="仿宋" w:hAnsi="仿宋" w:eastAsia="仿宋" w:cs="仿宋"/>
          <w:bCs w:val="0"/>
          <w:color w:val="auto"/>
          <w:sz w:val="32"/>
          <w:szCs w:val="32"/>
          <w:highlight w:val="none"/>
        </w:rPr>
        <w:t>人才发展经费</w:t>
      </w:r>
    </w:p>
    <w:p w14:paraId="08905366">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000000"/>
          <w:kern w:val="2"/>
          <w:sz w:val="32"/>
          <w:szCs w:val="32"/>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4.5</w:t>
      </w:r>
      <w:r>
        <w:rPr>
          <w:rFonts w:hint="eastAsia" w:ascii="仿宋" w:hAnsi="仿宋" w:eastAsia="仿宋" w:cs="仿宋"/>
          <w:bCs w:val="0"/>
          <w:sz w:val="32"/>
          <w:szCs w:val="32"/>
        </w:rPr>
        <w:t>万元，</w:t>
      </w:r>
      <w:r>
        <w:rPr>
          <w:rFonts w:hint="eastAsia" w:ascii="仿宋" w:hAnsi="仿宋" w:eastAsia="仿宋" w:cs="仿宋"/>
          <w:b w:val="0"/>
          <w:bCs w:val="0"/>
          <w:color w:val="auto"/>
          <w:kern w:val="2"/>
          <w:sz w:val="32"/>
          <w:szCs w:val="32"/>
          <w:lang w:val="en-US" w:eastAsia="zh-CN" w:bidi="ar-SA"/>
        </w:rPr>
        <w:t>举办株洲市第一期女裤版师研修班，受到一致好评</w:t>
      </w:r>
      <w:r>
        <w:rPr>
          <w:rFonts w:hint="eastAsia" w:ascii="仿宋" w:hAnsi="仿宋" w:eastAsia="仿宋" w:cs="仿宋"/>
          <w:bCs w:val="0"/>
          <w:color w:val="000000"/>
          <w:kern w:val="2"/>
          <w:sz w:val="32"/>
          <w:szCs w:val="32"/>
          <w:lang w:val="en-US" w:eastAsia="zh-CN" w:bidi="ar-SA"/>
        </w:rPr>
        <w:t>。</w:t>
      </w:r>
    </w:p>
    <w:p w14:paraId="37E77DF0">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7</w:t>
      </w:r>
      <w:r>
        <w:rPr>
          <w:rFonts w:hint="eastAsia" w:ascii="仿宋" w:hAnsi="仿宋" w:eastAsia="仿宋" w:cs="仿宋"/>
          <w:bCs w:val="0"/>
          <w:sz w:val="32"/>
          <w:szCs w:val="32"/>
        </w:rPr>
        <w:t>）</w:t>
      </w:r>
      <w:r>
        <w:rPr>
          <w:rFonts w:hint="eastAsia" w:ascii="仿宋" w:hAnsi="仿宋" w:eastAsia="仿宋" w:cs="仿宋"/>
          <w:bCs w:val="0"/>
          <w:color w:val="auto"/>
          <w:sz w:val="32"/>
          <w:szCs w:val="32"/>
          <w:highlight w:val="none"/>
          <w:lang w:val="en-US" w:eastAsia="zh-CN"/>
        </w:rPr>
        <w:t>物管及餐费</w:t>
      </w:r>
    </w:p>
    <w:p w14:paraId="05316607">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000000"/>
          <w:kern w:val="2"/>
          <w:sz w:val="32"/>
          <w:szCs w:val="32"/>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9.54</w:t>
      </w:r>
      <w:r>
        <w:rPr>
          <w:rFonts w:hint="eastAsia" w:ascii="仿宋" w:hAnsi="仿宋" w:eastAsia="仿宋" w:cs="仿宋"/>
          <w:bCs w:val="0"/>
          <w:sz w:val="32"/>
          <w:szCs w:val="32"/>
        </w:rPr>
        <w:t>万元，</w:t>
      </w:r>
      <w:r>
        <w:rPr>
          <w:rFonts w:hint="eastAsia" w:ascii="仿宋" w:hAnsi="仿宋" w:eastAsia="仿宋" w:cs="仿宋"/>
          <w:bCs w:val="0"/>
          <w:color w:val="auto"/>
          <w:kern w:val="2"/>
          <w:sz w:val="32"/>
          <w:szCs w:val="32"/>
          <w:highlight w:val="none"/>
          <w:lang w:val="en-US" w:eastAsia="zh-CN" w:bidi="ar-SA"/>
        </w:rPr>
        <w:t>包含水电费、物业管理费以及餐费，保障了人员日常办公需求,为园区工作更好更快进行提供坚实的保障。</w:t>
      </w:r>
    </w:p>
    <w:p w14:paraId="23543032">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8</w:t>
      </w:r>
      <w:r>
        <w:rPr>
          <w:rFonts w:hint="eastAsia" w:ascii="仿宋" w:hAnsi="仿宋" w:eastAsia="仿宋" w:cs="仿宋"/>
          <w:bCs w:val="0"/>
          <w:sz w:val="32"/>
          <w:szCs w:val="32"/>
        </w:rPr>
        <w:t>）</w:t>
      </w:r>
      <w:r>
        <w:rPr>
          <w:rFonts w:hint="eastAsia" w:ascii="仿宋" w:hAnsi="仿宋" w:eastAsia="仿宋" w:cs="仿宋"/>
          <w:bCs w:val="0"/>
          <w:color w:val="auto"/>
          <w:sz w:val="32"/>
          <w:szCs w:val="32"/>
          <w:highlight w:val="none"/>
        </w:rPr>
        <w:t>项目建设</w:t>
      </w:r>
      <w:r>
        <w:rPr>
          <w:rFonts w:hint="eastAsia" w:ascii="仿宋" w:hAnsi="仿宋" w:eastAsia="仿宋" w:cs="仿宋"/>
          <w:bCs w:val="0"/>
          <w:color w:val="auto"/>
          <w:sz w:val="32"/>
          <w:szCs w:val="32"/>
          <w:highlight w:val="none"/>
          <w:lang w:eastAsia="zh-CN"/>
        </w:rPr>
        <w:t>经费</w:t>
      </w:r>
    </w:p>
    <w:p w14:paraId="052115E1">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Cs w:val="0"/>
          <w:sz w:val="32"/>
          <w:szCs w:val="32"/>
          <w:lang w:eastAsia="zh-CN"/>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47.71</w:t>
      </w:r>
      <w:r>
        <w:rPr>
          <w:rFonts w:hint="eastAsia" w:ascii="仿宋" w:hAnsi="仿宋" w:eastAsia="仿宋" w:cs="仿宋"/>
          <w:bCs w:val="0"/>
          <w:sz w:val="32"/>
          <w:szCs w:val="32"/>
        </w:rPr>
        <w:t>万元，区财政根据政府常务会议纪要拨付</w:t>
      </w:r>
      <w:r>
        <w:rPr>
          <w:rFonts w:hint="eastAsia" w:ascii="仿宋" w:hAnsi="仿宋" w:eastAsia="仿宋" w:cs="仿宋"/>
          <w:bCs w:val="0"/>
          <w:sz w:val="32"/>
          <w:szCs w:val="32"/>
          <w:lang w:val="en-US" w:eastAsia="zh-CN"/>
        </w:rPr>
        <w:t>株洲市2023年度第六十三批次建设用地</w:t>
      </w:r>
      <w:r>
        <w:rPr>
          <w:rFonts w:hint="eastAsia" w:ascii="仿宋" w:hAnsi="仿宋" w:eastAsia="仿宋" w:cs="仿宋"/>
          <w:bCs w:val="0"/>
          <w:sz w:val="32"/>
          <w:szCs w:val="32"/>
        </w:rPr>
        <w:t>项目建设经费，用于项目开发建设，进而加快我区产业项目</w:t>
      </w:r>
      <w:r>
        <w:rPr>
          <w:rFonts w:hint="eastAsia" w:ascii="仿宋" w:hAnsi="仿宋" w:eastAsia="仿宋" w:cs="仿宋"/>
          <w:bCs w:val="0"/>
          <w:sz w:val="32"/>
          <w:szCs w:val="32"/>
          <w:lang w:val="en-US" w:eastAsia="zh-CN"/>
        </w:rPr>
        <w:t>发展</w:t>
      </w:r>
      <w:r>
        <w:rPr>
          <w:rFonts w:hint="eastAsia" w:ascii="仿宋" w:hAnsi="仿宋" w:eastAsia="仿宋" w:cs="仿宋"/>
          <w:bCs w:val="0"/>
          <w:sz w:val="32"/>
          <w:szCs w:val="32"/>
          <w:lang w:eastAsia="zh-CN"/>
        </w:rPr>
        <w:t>。</w:t>
      </w:r>
    </w:p>
    <w:p w14:paraId="537D26CE">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9</w:t>
      </w: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营商环境奖励资金</w:t>
      </w:r>
    </w:p>
    <w:p w14:paraId="273583BA">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000000"/>
          <w:kern w:val="2"/>
          <w:sz w:val="32"/>
          <w:szCs w:val="32"/>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1.75</w:t>
      </w:r>
      <w:r>
        <w:rPr>
          <w:rFonts w:hint="eastAsia" w:ascii="仿宋" w:hAnsi="仿宋" w:eastAsia="仿宋" w:cs="仿宋"/>
          <w:bCs w:val="0"/>
          <w:sz w:val="32"/>
          <w:szCs w:val="32"/>
        </w:rPr>
        <w:t>万元，</w:t>
      </w:r>
      <w:r>
        <w:rPr>
          <w:rFonts w:hint="eastAsia" w:ascii="仿宋" w:hAnsi="仿宋" w:eastAsia="仿宋" w:cs="仿宋"/>
          <w:bCs w:val="0"/>
          <w:sz w:val="32"/>
          <w:szCs w:val="32"/>
          <w:lang w:val="en-US" w:eastAsia="zh-CN"/>
        </w:rPr>
        <w:t>一是</w:t>
      </w:r>
      <w:r>
        <w:rPr>
          <w:rFonts w:hint="eastAsia" w:ascii="仿宋" w:hAnsi="仿宋" w:eastAsia="仿宋" w:cs="仿宋"/>
          <w:b w:val="0"/>
          <w:bCs w:val="0"/>
          <w:color w:val="auto"/>
          <w:kern w:val="2"/>
          <w:sz w:val="32"/>
          <w:szCs w:val="32"/>
          <w:lang w:val="en-US" w:eastAsia="zh-CN" w:bidi="ar-SA"/>
        </w:rPr>
        <w:t>印制深化产教融合活动手册。二是举办芦淞区政企餐叙会（园区专场）</w:t>
      </w:r>
      <w:r>
        <w:rPr>
          <w:rFonts w:hint="eastAsia" w:ascii="仿宋" w:hAnsi="仿宋" w:eastAsia="仿宋" w:cs="仿宋"/>
          <w:bCs w:val="0"/>
          <w:color w:val="000000"/>
          <w:kern w:val="2"/>
          <w:sz w:val="32"/>
          <w:szCs w:val="32"/>
          <w:lang w:val="en-US" w:eastAsia="zh-CN" w:bidi="ar-SA"/>
        </w:rPr>
        <w:t>。</w:t>
      </w:r>
    </w:p>
    <w:p w14:paraId="5172F1AB">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10</w:t>
      </w: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园区党建经费</w:t>
      </w:r>
    </w:p>
    <w:p w14:paraId="383F31FD">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000000"/>
          <w:kern w:val="2"/>
          <w:sz w:val="32"/>
          <w:szCs w:val="32"/>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0.16</w:t>
      </w:r>
      <w:r>
        <w:rPr>
          <w:rFonts w:hint="eastAsia" w:ascii="仿宋" w:hAnsi="仿宋" w:eastAsia="仿宋" w:cs="仿宋"/>
          <w:bCs w:val="0"/>
          <w:sz w:val="32"/>
          <w:szCs w:val="32"/>
        </w:rPr>
        <w:t>万元，</w:t>
      </w:r>
      <w:r>
        <w:rPr>
          <w:rFonts w:hint="eastAsia" w:ascii="仿宋" w:hAnsi="仿宋" w:eastAsia="仿宋" w:cs="仿宋"/>
          <w:bCs w:val="0"/>
          <w:sz w:val="32"/>
          <w:szCs w:val="32"/>
          <w:lang w:val="en-US" w:eastAsia="zh-CN"/>
        </w:rPr>
        <w:t>主要是印制主题党日学习资料</w:t>
      </w:r>
      <w:r>
        <w:rPr>
          <w:rFonts w:hint="eastAsia" w:ascii="仿宋" w:hAnsi="仿宋" w:eastAsia="仿宋" w:cs="仿宋"/>
          <w:bCs w:val="0"/>
          <w:color w:val="000000"/>
          <w:kern w:val="2"/>
          <w:sz w:val="32"/>
          <w:szCs w:val="32"/>
          <w:lang w:val="en-US" w:eastAsia="zh-CN" w:bidi="ar-SA"/>
        </w:rPr>
        <w:t>。</w:t>
      </w:r>
    </w:p>
    <w:p w14:paraId="0DE856F2">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11</w:t>
      </w:r>
      <w:r>
        <w:rPr>
          <w:rFonts w:hint="eastAsia" w:ascii="仿宋" w:hAnsi="仿宋" w:eastAsia="仿宋" w:cs="仿宋"/>
          <w:bCs w:val="0"/>
          <w:sz w:val="32"/>
          <w:szCs w:val="32"/>
        </w:rPr>
        <w:t>）</w:t>
      </w:r>
      <w:r>
        <w:rPr>
          <w:rFonts w:hint="eastAsia" w:ascii="仿宋" w:hAnsi="仿宋" w:eastAsia="仿宋" w:cs="仿宋"/>
          <w:bCs w:val="0"/>
          <w:sz w:val="32"/>
          <w:szCs w:val="32"/>
          <w:lang w:val="en-US" w:eastAsia="zh-CN"/>
        </w:rPr>
        <w:t>园区奖励资金</w:t>
      </w:r>
    </w:p>
    <w:p w14:paraId="4A7B250D">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val="0"/>
          <w:color w:val="000000"/>
          <w:kern w:val="2"/>
          <w:sz w:val="32"/>
          <w:szCs w:val="32"/>
          <w:lang w:val="en-US" w:eastAsia="zh-CN" w:bidi="ar-SA"/>
        </w:rPr>
      </w:pPr>
      <w:r>
        <w:rPr>
          <w:rFonts w:hint="eastAsia" w:ascii="仿宋" w:hAnsi="仿宋" w:eastAsia="仿宋" w:cs="仿宋"/>
          <w:bCs w:val="0"/>
          <w:sz w:val="32"/>
          <w:szCs w:val="32"/>
        </w:rPr>
        <w:t>项目支出</w:t>
      </w:r>
      <w:r>
        <w:rPr>
          <w:rFonts w:hint="eastAsia" w:ascii="仿宋" w:hAnsi="仿宋" w:eastAsia="仿宋" w:cs="仿宋"/>
          <w:bCs w:val="0"/>
          <w:sz w:val="32"/>
          <w:szCs w:val="32"/>
          <w:lang w:val="en-US" w:eastAsia="zh-CN"/>
        </w:rPr>
        <w:t>10.81</w:t>
      </w:r>
      <w:r>
        <w:rPr>
          <w:rFonts w:hint="eastAsia" w:ascii="仿宋" w:hAnsi="仿宋" w:eastAsia="仿宋" w:cs="仿宋"/>
          <w:bCs w:val="0"/>
          <w:sz w:val="32"/>
          <w:szCs w:val="32"/>
        </w:rPr>
        <w:t>万元，</w:t>
      </w:r>
      <w:r>
        <w:rPr>
          <w:rFonts w:hint="eastAsia" w:ascii="仿宋" w:hAnsi="仿宋" w:eastAsia="仿宋" w:cs="仿宋"/>
          <w:bCs w:val="0"/>
          <w:sz w:val="32"/>
          <w:szCs w:val="32"/>
          <w:lang w:val="en-US" w:eastAsia="zh-CN"/>
        </w:rPr>
        <w:t>一是印制</w:t>
      </w:r>
      <w:r>
        <w:rPr>
          <w:rFonts w:hint="eastAsia" w:ascii="仿宋" w:hAnsi="仿宋" w:eastAsia="仿宋" w:cs="仿宋"/>
          <w:b w:val="0"/>
          <w:bCs w:val="0"/>
          <w:color w:val="auto"/>
          <w:kern w:val="2"/>
          <w:sz w:val="32"/>
          <w:szCs w:val="32"/>
          <w:lang w:val="en-US" w:eastAsia="zh-CN" w:bidi="ar-SA"/>
        </w:rPr>
        <w:t>园区</w:t>
      </w:r>
      <w:r>
        <w:rPr>
          <w:rFonts w:hint="eastAsia" w:ascii="仿宋" w:hAnsi="仿宋" w:eastAsia="仿宋" w:cs="仿宋"/>
          <w:bCs w:val="0"/>
          <w:color w:val="000000"/>
          <w:kern w:val="2"/>
          <w:sz w:val="32"/>
          <w:szCs w:val="32"/>
          <w:lang w:val="en-US" w:eastAsia="zh-CN" w:bidi="ar-SA"/>
        </w:rPr>
        <w:t>招商手册。二是</w:t>
      </w:r>
      <w:r>
        <w:rPr>
          <w:rFonts w:hint="eastAsia" w:ascii="仿宋" w:hAnsi="仿宋" w:eastAsia="仿宋" w:cs="仿宋"/>
          <w:b w:val="0"/>
          <w:bCs w:val="0"/>
          <w:color w:val="auto"/>
          <w:kern w:val="2"/>
          <w:sz w:val="32"/>
          <w:szCs w:val="32"/>
          <w:lang w:val="en-US" w:eastAsia="zh-CN" w:bidi="ar-SA"/>
        </w:rPr>
        <w:t>成立招商引资工作专班，明确董家塅片区管委会以航空和土地招商为主。三是完成</w:t>
      </w:r>
      <w:r>
        <w:rPr>
          <w:rFonts w:hint="eastAsia" w:ascii="仿宋" w:hAnsi="仿宋" w:eastAsia="仿宋" w:cs="仿宋"/>
          <w:bCs w:val="0"/>
          <w:color w:val="000000"/>
          <w:kern w:val="2"/>
          <w:sz w:val="32"/>
          <w:szCs w:val="32"/>
          <w:lang w:val="en-US" w:eastAsia="zh-CN" w:bidi="ar-SA"/>
        </w:rPr>
        <w:t>土地续期评估。</w:t>
      </w:r>
    </w:p>
    <w:p w14:paraId="1262952C">
      <w:pPr>
        <w:pStyle w:val="6"/>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3F5837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rPr>
      </w:pPr>
      <w:r>
        <w:rPr>
          <w:rFonts w:hint="eastAsia" w:ascii="仿宋" w:hAnsi="仿宋" w:eastAsia="仿宋" w:cs="仿宋"/>
          <w:bCs w:val="0"/>
          <w:color w:val="000000"/>
          <w:kern w:val="2"/>
          <w:sz w:val="32"/>
          <w:szCs w:val="32"/>
          <w:lang w:val="en-US" w:eastAsia="zh-CN" w:bidi="ar-SA"/>
        </w:rPr>
        <w:t>预算编制工作不够明确和细化，预算编制合理性需要提高，执行力度需要进一步加强。</w:t>
      </w:r>
    </w:p>
    <w:p w14:paraId="26E5FC28">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八、下一步改进措施</w:t>
      </w:r>
    </w:p>
    <w:p w14:paraId="00564D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仿宋" w:hAnsi="仿宋" w:eastAsia="仿宋" w:cs="仿宋"/>
          <w:bCs w:val="0"/>
          <w:color w:val="000000"/>
          <w:kern w:val="2"/>
          <w:sz w:val="32"/>
          <w:szCs w:val="32"/>
          <w:lang w:val="en-US" w:eastAsia="zh-CN" w:bidi="ar-SA"/>
        </w:rPr>
        <w:t>园区将在今后的预算编制中充分考虑到项目的全面性，加强预算编制的准确性。并在今后的工作中细化成本，进而细化预算项目，做到精益求精。</w:t>
      </w:r>
    </w:p>
    <w:p w14:paraId="3AC36E5E">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九、绩效自评结果拟应用和公开情况</w:t>
      </w:r>
    </w:p>
    <w:p w14:paraId="7347FED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仿宋" w:hAnsi="仿宋" w:eastAsia="仿宋" w:cs="仿宋"/>
          <w:bCs w:val="0"/>
          <w:color w:val="000000"/>
          <w:kern w:val="2"/>
          <w:sz w:val="32"/>
          <w:szCs w:val="32"/>
          <w:lang w:val="en-US" w:eastAsia="zh-CN" w:bidi="ar-SA"/>
        </w:rPr>
        <w:t>自评结果将为来年本单位的预算资金绩效管理提供重要参考依据，将进一步优化本单位资金的使用效益。本单位无独立网站，自评将在芦淞区政府门户网统一公开，接受监督。</w:t>
      </w:r>
    </w:p>
    <w:p w14:paraId="3F8177EA">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4DC46E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7DA9CE4C">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932B04"/>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246BFA"/>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5F4473"/>
    <w:rsid w:val="4C714499"/>
    <w:rsid w:val="4C845F8F"/>
    <w:rsid w:val="4D36566E"/>
    <w:rsid w:val="4DBB24B5"/>
    <w:rsid w:val="4DF94718"/>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892A77"/>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04994"/>
    <w:rsid w:val="643B0B1A"/>
    <w:rsid w:val="645E3C0F"/>
    <w:rsid w:val="647D1024"/>
    <w:rsid w:val="649324AE"/>
    <w:rsid w:val="64B66725"/>
    <w:rsid w:val="64C074E1"/>
    <w:rsid w:val="65025750"/>
    <w:rsid w:val="65191B9C"/>
    <w:rsid w:val="653021A9"/>
    <w:rsid w:val="65EB60C2"/>
    <w:rsid w:val="65FB4A3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0F7A08"/>
    <w:rsid w:val="6E224140"/>
    <w:rsid w:val="6E2E58DF"/>
    <w:rsid w:val="6E987E4E"/>
    <w:rsid w:val="6EE044A0"/>
    <w:rsid w:val="6F0F7BD0"/>
    <w:rsid w:val="6F1D59CD"/>
    <w:rsid w:val="6FE61A56"/>
    <w:rsid w:val="704C412C"/>
    <w:rsid w:val="70AD1C74"/>
    <w:rsid w:val="711C4732"/>
    <w:rsid w:val="72696BF8"/>
    <w:rsid w:val="7287406C"/>
    <w:rsid w:val="734F28D5"/>
    <w:rsid w:val="734F3820"/>
    <w:rsid w:val="73F11B0B"/>
    <w:rsid w:val="7455119F"/>
    <w:rsid w:val="749B7B08"/>
    <w:rsid w:val="74AB5FD3"/>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cs="Arial"/>
      <w:szCs w:val="24"/>
      <w:lang w:bidi="ar-SA"/>
    </w:rPr>
  </w:style>
  <w:style w:type="paragraph" w:styleId="3">
    <w:name w:val="Normal (Web)"/>
    <w:basedOn w:val="1"/>
    <w:qFormat/>
    <w:uiPriority w:val="0"/>
    <w:pPr>
      <w:widowControl w:val="0"/>
      <w:spacing w:before="100" w:beforeAutospacing="1" w:after="100" w:afterAutospacing="1"/>
    </w:pPr>
    <w:rPr>
      <w:rFonts w:ascii="Times New Roman" w:hAnsi="Times New Roman" w:eastAsia="仿宋_GB2312" w:cs="Times New Roman"/>
      <w:sz w:val="24"/>
      <w:szCs w:val="24"/>
      <w:lang w:val="en-US" w:eastAsia="zh-CN" w:bidi="ar-SA"/>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3998</Words>
  <Characters>4272</Characters>
  <Lines>0</Lines>
  <Paragraphs>0</Paragraphs>
  <TotalTime>31</TotalTime>
  <ScaleCrop>false</ScaleCrop>
  <LinksUpToDate>false</LinksUpToDate>
  <CharactersWithSpaces>4275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2025-10-28T07:35:00Z</cp:lastPrinted>
  <dcterms:modified xsi:type="dcterms:W3CDTF">2025-12-08T03:50:42Z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AA835055CA2A4BF7A77EB9E767B4393E_13</vt:lpwstr>
  </property>
  <property fmtid="{D5CDD505-2E9C-101B-9397-08002B2CF9AE}" pid="4" name="KSOTemplateDocerSaveRecord">
    <vt:lpwstr>eyJoZGlkIjoiZmM1N2MxOGM2ZTgxMjA0MWYyNjg1OTNjNmEwMDYyNDUifQ==</vt:lpwstr>
  </property>
</Properties>
</file>