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iCs w:val="0"/>
          <w:caps w:val="0"/>
          <w:color w:val="333333"/>
          <w:spacing w:val="0"/>
          <w:sz w:val="19"/>
          <w:szCs w:val="19"/>
        </w:rPr>
      </w:pPr>
      <w:bookmarkStart w:id="1" w:name="_GoBack"/>
      <w:bookmarkStart w:id="0" w:name="OLE_LINK1"/>
      <w:r>
        <w:rPr>
          <w:rStyle w:val="5"/>
          <w:rFonts w:hint="eastAsia" w:ascii="宋体" w:hAnsi="宋体" w:eastAsia="宋体" w:cs="宋体"/>
          <w:i w:val="0"/>
          <w:iCs w:val="0"/>
          <w:caps w:val="0"/>
          <w:color w:val="333333"/>
          <w:spacing w:val="0"/>
          <w:sz w:val="28"/>
          <w:szCs w:val="28"/>
          <w:bdr w:val="none" w:color="auto" w:sz="0" w:space="0"/>
          <w:shd w:val="clear" w:fill="FFFFFF"/>
        </w:rPr>
        <w:t>民政部 财政部关于实施向中度以上失能老年人发放养老服务消费补贴项目的通知</w:t>
      </w:r>
      <w:r>
        <w:rPr>
          <w:rFonts w:hint="eastAsia" w:ascii="宋体" w:hAnsi="宋体" w:eastAsia="宋体" w:cs="宋体"/>
          <w:i w:val="0"/>
          <w:iCs w:val="0"/>
          <w:caps w:val="0"/>
          <w:color w:val="333333"/>
          <w:spacing w:val="0"/>
          <w:sz w:val="19"/>
          <w:szCs w:val="19"/>
          <w:bdr w:val="none" w:color="auto" w:sz="0" w:space="0"/>
          <w:shd w:val="clear" w:fill="FFFFFF"/>
        </w:rPr>
        <w:br w:type="textWrapping"/>
      </w:r>
      <w:bookmarkEnd w:id="1"/>
      <w:bookmarkEnd w:id="0"/>
      <w:r>
        <w:rPr>
          <w:rFonts w:ascii="楷体" w:hAnsi="楷体" w:eastAsia="楷体" w:cs="楷体"/>
          <w:i w:val="0"/>
          <w:iCs w:val="0"/>
          <w:caps w:val="0"/>
          <w:color w:val="333333"/>
          <w:spacing w:val="0"/>
          <w:sz w:val="19"/>
          <w:szCs w:val="19"/>
          <w:bdr w:val="none" w:color="auto" w:sz="0" w:space="0"/>
          <w:shd w:val="clear" w:fill="FFFFFF"/>
        </w:rPr>
        <w:t>民发〔2025〕37号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各省、自治区、直辖市民政厅（局）、财政厅（局），各计划单列市民政局、财政局，新疆生产建设兵团民政局、财政局：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为实施积极应对人口老龄化国家战略，加强失能老年人照护服务工作，提振养老服务消费，推动新时代新征程养老服务高质量发展，根据《中共中央 国务院关于深化养老服务改革发展的意见》、《提振消费专项行动方案》等文件部署，现就实施向中度以上失能老年人发放养老服务消费补贴项目（以下简称项目）有关事项通知如下：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以习近平新时代中国特色社会主义思想为指导，深入贯彻党的二十大和二十届二中、三中全会精神，坚持以人民为中心，尽力而为、量力而行，聚焦惠民生、促消费，发挥财政资金示范带动作用，挖掘养老服务消费潜力，以更好满足失能老年人照护服务刚需和推动养老服务行业健康有序发展，实现经济发展和民生改善相互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二、补贴内容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通过中央和地方财政资金对符合条件的失能老年人发放养老服务消费补贴。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（一）补贴对象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经统一评估为中度、重度、完全失能等级的老年人（以下简称中度以上失能老年人）为补贴对象。正在享受特困人员供养救助待遇、经济困难失能老年人集中照护服务补助、居家和社区基本养老服务提升行动项目服务的老年人不纳入本次补贴对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（二）补贴项目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补贴项目包括居家、社区、机构养老服务。居家、社区养老服务主要包括助餐、助浴、助洁、助行、助急、助医服务，以及康复护理、日间托养等服务；机构养老服务包括长期服务（入住机构时间在30天以上）和短期服务（即“喘息服务”，入住机构时间在30天以内）等。其中，居家、社区养老服务补贴项目参见《居家社区养老服务补贴项目清单》（见附件），后续将根据实施情况对清单内容适时进行调整。各地针对上述补贴项目已有补贴政策的，应根据实际情况与本项目做好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（三）资金安排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补贴资金总体按照9:1原则实行央地共担。东部、中部、西部地区中央承担比例分别为85%、90%、95%。各省份根据中央财政资金分配情况按比例安排配套资金，省以下补贴资金分担办法由省级财政确定。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（四）补贴形式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补贴资金通过“民政通”（含小程序、APP）以电子消费券形式按自然月向中度以上失能老年人发放。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（五）补贴标准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电子消费券可以对补贴项目范围内的养老服务消费金额予以抵扣。在人均每月最高抵扣额度范围内，抵扣比例一般为养老服务消费金额的30%—60%，具体抵扣比例和额度将在电子消费券中载明。民政部、财政部将根据具体情况，适时调整相关抵扣比例和额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中度以上失能老年人正在享受长期护理保险待遇的，对于其符合此次补贴项目范围内的养老服务消费金额，扣除已享受的长期护理保险待遇后，个人自付部分可通过电子消费券按规定比例予以抵扣。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（六）实施期限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个地区的项目实施期限为12个自然月。2025年7月起，在浙江省、山东省、重庆市以及辽宁省沈阳市、安徽省滁州市、江西省新余市、四川省成都市等地先行开展项目试点。根据试点情况，由民政部、财政部于2025年底前在全国范围内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三、补贴流程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（一）个人申请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中度以上失能老年人或其代办人（含老年人配偶、子女、其他亲属，以及村、社区工作人员，养老服务机构工作人员等）按照自愿原则，通过“民政通”线上注册个人账号，并提交领取养老服务消费补贴的申请。县级民政部门应当通过多种方式为不便通过线上方式申请的老年人提供线下协助申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（二）能力评估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应当依据《老年人能力评估规范》（GB/T42195-2022）组织开展老年人能力评估工作。本通知印发前12个月内已经被评估为中度以上失能老年人可不再重新评估，各地民政部门应在本通知印发后及时将上述老年人能力评估数据与“民政通”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（三）电子消费券发放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对经审核符合补贴条件的老年人，通过“民政通”在5个工作日内向其个人账户发放首月电子消费券。后续每个自然月的第一天，向老年人个人账户发放当月电子消费券。电子消费劵有效期为1个月，当月获得，当月使用，次月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老年人因身体状况变化等因素不再符合补贴条件的，其本人、代办人以及为老年人提供服务的养老机构、社区养老服务机构应及时通过“民政通”或其他方式告知所在地县级民政部门，县级民政部门经确认后，将于次月停发电子消费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（四）电子消费券核销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中度以上失能老年人进行养老服务消费时，可通过电子消费劵按比例抵扣相应金额。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老年人接受机构养老服务的，养老机构应将入住协议、服务情况、消费金额、电子消费券核销凭证等材料及时上传至“民政通”；老年人接受居家、社区养老服务的，社区养老服务机构应将服务项目、服务情况、消费金额、收费单据、电子消费券核销凭证等材料及时上传至“民政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（五）资金结算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民政部门原则上应于次月10个工作日内对上一个月养老服务消费券核销情况进行审核，并将审核结果提交县级财政部门复审；县级财政部门应于5个工作日内完成复审，并将复审结果反馈县级民政部门；县级民政部门收到复审结果后，应于3个工作日内向养老机构、社区养老服务机构结算经核定后的上一个月电子消费券抵扣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委托第三方专业评估机构开展老年人能力评估，老年人经评估为中度以上失能的，其评估费用可通过能力评估电子消费券予以全额抵扣，并参照上述流程进行结算；老年人经评估为轻度失能或能力完好的，其评估费用由老年人自行承担或由地方统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四、机构要求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电子消费券适用于自愿参与、信誉良好的养老机构、社区养老服务机构、第三方专业评估机构。其中，养老机构应依法办理登记并在民政部门备案，且具有收住中度以上失能老年人的服务能力；承诺严格执行相关法律法规及《养老机构服务安全基本规范》（GB38600-2019）等强制性标准要求。社区养老服务机构应依法办理登记，经营范围或业务范围应包括养老服务，且具有为中度以上失能老年人提供相应服务的能力。民政部门委托的第三方专业评估机构应符合《老年人能力评估规范》关于评估主体的有关要求，且不能参与提供由本项目补贴的养老服务。正被纳入失信联合惩戒对象名单的养老机构、社区养老服务机构、第三方专业评估机构不得纳入电子消费券适用机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要合理确定、及时更新参加项目的养老机构、社区养老服务机构、第三方专业评估机构名单，一视同仁支持不同所有制、不同注册地、不同规模相关机构参与项目，不得以资金能力等为由限制其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五、信息管理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（一）平台管理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要做好本地区已有信息管理系统与“民政通”对接工作，通过“民政通”进行项目审核结算、监督管理等。养老机构、社区养老服务机构、第三方专业评估机构使用“民政通”进行服务记录、消费核销、结算申请等。中度以上失能老年人通过“民政通”进行电子消费券领取、服务下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（二）信息监测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各地民政部门要做好项目相关信息的收集、处理和使用等工作，落实信息安全责任，动态监测项目信息变化，定期开展相关数据汇总分析，为做好项目绩效评价、及时调整优化实施方案提供必要支持。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六、监督管理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（一）资金监管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要结合本地实际细化风险防范措施，守牢资金使用红线底线，一旦发现经营主体或失能老年人不符合有关资格要求，或存在骗取套取补贴资金行为，要及时收回补贴资金，并依法依规严肃追究相关人员责任，对涉嫌犯罪的要依法移送司法机关。民政部加强对地方开展项目的全链条督促指导，构建线上异常交易预警系统，通过大数据比对核验等方式，对异常交易进行预警，防范虚假交易、骗补套补等行为。财政部门要对资金拨付不及时、不到位等情况及时督促，严防中央财政资金被挤占挪用。各地民政、财政部门要统筹做好本项目与长期护理保险、特困人员供养救助、经济困难失能老年人集中照护服务、居家和社区基本养老服务提升行动项目等工作的有效衔接，避免重复享受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（二）评估监管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组织开展老年人能力评估工作时，要坚持自愿申请原则，合理确定评估时间，对本地区老年人能力评估数据进行审核把关，提升评估质量和评估效率。要与评估机构签订协议，明确双方权利义务。要加强对被评估老年人个人信息保护，禁止评估机构私自泄露评估结果。对评估行为不规范的机构，予以纠正并视情与其解除委托关系，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（三）服务监管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应通过线上线下核查等方式，加强对养老服务质量的抽查检查，防范出现虚假服务、以次充好等行为。要组织养老机构、社区养老服务机构签订相关诚信承诺书，对发现存在“先涨价后抵扣”等行为的，要及时取消其参加项目资格，并追缴资金，对涉嫌犯罪的要依法移送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七、工作要求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作为本地区项目组织实施的责任主体，要充分发挥县级综合养老服务管理平台、乡镇（街道）区域养老服务中心、村（社区）养老服务设施站点等作用，精心组织、周密部署，安排专门力量，明确职责分工，加强人员培训，确保项目稳妥、顺利推进。各地财政部门要配合民政部门加强对项目实施全过程和资金使用全流程的监管，确保财政资金安全、高效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（二）强化过程管理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财政部门要对项目实施效果、资金使用情况等开展自评自查，按季度及时上报项目实施情况。民政部、财政部要综合“民政通”相关数据、各地自评自查结果等，对各地项目实施情况定期开展评估，并将评估结果作为后续优化项目设计、完善资金分配的重要依据。各地民政、财政部门不得限制老年人养老服务消费的付款方式和支付凭证类型，不得以参加项目为由要求养老机构、社区养老服务机构采购新的支付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（三）加强宣传引导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地民政部门要因地制宜积极开展项目组织实施培训和宣传工作，通过新闻发布会、促消费活动、媒体报道、互联网传播等多种形式，充分利用“养老服务消费季”等活动，深入社区、养老服务机构等一线宣传项目，积极发挥养老服务领域社会组织作用，不断扩大项目影响力，推动相关补贴措施家喻户晓，积极营造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附件：居家社区养老服务补贴项目清单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righ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民政部 财政部</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2025年7月16日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b/>
          <w:bCs/>
          <w:i w:val="0"/>
          <w:iCs w:val="0"/>
          <w:caps w:val="0"/>
          <w:color w:val="444444"/>
          <w:spacing w:val="0"/>
          <w:sz w:val="28"/>
          <w:szCs w:val="28"/>
          <w:bdr w:val="none" w:color="auto" w:sz="0" w:space="0"/>
          <w:shd w:val="clear" w:fill="FFFFFF"/>
        </w:rPr>
        <w:t>居家社区养老服务补贴项目清单</w:t>
      </w:r>
    </w:p>
    <w:tbl>
      <w:tblPr>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04"/>
        <w:gridCol w:w="1906"/>
        <w:gridCol w:w="1489"/>
        <w:gridCol w:w="2770"/>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3" w:hRule="atLeast"/>
          <w:jc w:val="center"/>
        </w:trPr>
        <w:tc>
          <w:tcPr>
            <w:tcW w:w="80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jc w:val="center"/>
            </w:pPr>
            <w:r>
              <w:rPr>
                <w:rStyle w:val="5"/>
                <w:sz w:val="14"/>
                <w:szCs w:val="14"/>
                <w:bdr w:val="none" w:color="auto" w:sz="0" w:space="0"/>
              </w:rPr>
              <w:t>序号</w:t>
            </w:r>
          </w:p>
        </w:tc>
        <w:tc>
          <w:tcPr>
            <w:tcW w:w="190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jc w:val="center"/>
            </w:pPr>
            <w:r>
              <w:rPr>
                <w:rStyle w:val="5"/>
                <w:sz w:val="14"/>
                <w:szCs w:val="14"/>
                <w:bdr w:val="none" w:color="auto" w:sz="0" w:space="0"/>
              </w:rPr>
              <w:t>类别</w:t>
            </w:r>
          </w:p>
        </w:tc>
        <w:tc>
          <w:tcPr>
            <w:tcW w:w="1489"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jc w:val="center"/>
            </w:pPr>
            <w:r>
              <w:rPr>
                <w:rStyle w:val="5"/>
                <w:sz w:val="14"/>
                <w:szCs w:val="14"/>
                <w:bdr w:val="none" w:color="auto" w:sz="0" w:space="0"/>
              </w:rPr>
              <w:t>项目名称</w:t>
            </w:r>
          </w:p>
        </w:tc>
        <w:tc>
          <w:tcPr>
            <w:tcW w:w="277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jc w:val="center"/>
            </w:pPr>
            <w:r>
              <w:rPr>
                <w:rStyle w:val="5"/>
                <w:sz w:val="14"/>
                <w:szCs w:val="14"/>
                <w:bdr w:val="none" w:color="auto" w:sz="0" w:space="0"/>
              </w:rPr>
              <w:t>服务内容</w:t>
            </w:r>
          </w:p>
        </w:tc>
        <w:tc>
          <w:tcPr>
            <w:tcW w:w="1549"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jc w:val="center"/>
            </w:pPr>
            <w:r>
              <w:rPr>
                <w:rStyle w:val="5"/>
                <w:sz w:val="14"/>
                <w:szCs w:val="14"/>
                <w:bdr w:val="none" w:color="auto" w:sz="0" w:space="0"/>
              </w:rPr>
              <w:t>服务参考时长（次）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w:t>
            </w:r>
          </w:p>
        </w:tc>
        <w:tc>
          <w:tcPr>
            <w:tcW w:w="1906"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评估服务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失能等级评估</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rFonts w:hint="eastAsia" w:ascii="微软雅黑" w:hAnsi="微软雅黑" w:eastAsia="微软雅黑" w:cs="微软雅黑"/>
                <w:sz w:val="19"/>
                <w:szCs w:val="19"/>
                <w:bdr w:val="none" w:color="auto" w:sz="0" w:space="0"/>
              </w:rPr>
              <w:t>按照《老年人能力评估规范》（GB/T 42195-2022）国家标准为老年人开展能力评估服务</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20—60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2</w:t>
            </w:r>
          </w:p>
        </w:tc>
        <w:tc>
          <w:tcPr>
            <w:tcW w:w="1906"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聘用服务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聘用养老护理员</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全职或兼职为老年人提供专业养老服务</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1个月或按天计算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3</w:t>
            </w:r>
          </w:p>
        </w:tc>
        <w:tc>
          <w:tcPr>
            <w:tcW w:w="1906"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个性化服务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服务包</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rFonts w:hint="eastAsia" w:ascii="微软雅黑" w:hAnsi="微软雅黑" w:eastAsia="微软雅黑" w:cs="微软雅黑"/>
                <w:sz w:val="19"/>
                <w:szCs w:val="19"/>
                <w:bdr w:val="none" w:color="auto" w:sz="0" w:space="0"/>
              </w:rPr>
              <w:t>根据老年人需求情况提供包括“六助”、基础照护服务等在内的打包式服务</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4</w:t>
            </w:r>
          </w:p>
        </w:tc>
        <w:tc>
          <w:tcPr>
            <w:tcW w:w="190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生活照料服务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助餐</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上门送餐、鼻饲服务等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10—30分钟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5</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助浴</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上门擦浴、洗浴，门店助浴等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20—60分钟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6</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助洁</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头面部、手足部、口腔等清洁护理，理发等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20—40分钟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7</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助行</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室内移位、室外助行等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根据实际情况确定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8</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助急</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紧急呼叫、紧急转介等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根据实际情况确定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9</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助医</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陪同就医、治疗陪伴等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根据实际情况确定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10</w:t>
            </w:r>
          </w:p>
        </w:tc>
        <w:tc>
          <w:tcPr>
            <w:tcW w:w="190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基础照护服务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排泄护理</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二便护理、排气护理等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10—30分钟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11</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护理协助</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协助和指导翻身、拍背、褥疮预防等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5—30分钟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12</w:t>
            </w:r>
          </w:p>
        </w:tc>
        <w:tc>
          <w:tcPr>
            <w:tcW w:w="190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康复护理</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康复评估、计划制定、康复指导、康复训练等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5—30分钟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13</w:t>
            </w:r>
          </w:p>
        </w:tc>
        <w:tc>
          <w:tcPr>
            <w:tcW w:w="1906"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探访关爱服务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上门探访</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了解掌握老年人的健康状况、精神状况、安全情况、卫生状况、居室环境、服务需求等基本情况</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5—30分钟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jc w:val="center"/>
        </w:trPr>
        <w:tc>
          <w:tcPr>
            <w:tcW w:w="80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14</w:t>
            </w:r>
          </w:p>
        </w:tc>
        <w:tc>
          <w:tcPr>
            <w:tcW w:w="1906"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健康管理服务</w:t>
            </w:r>
          </w:p>
        </w:tc>
        <w:tc>
          <w:tcPr>
            <w:tcW w:w="148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常规生理指数监测</w:t>
            </w:r>
          </w:p>
        </w:tc>
        <w:tc>
          <w:tcPr>
            <w:tcW w:w="2770"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both"/>
            </w:pPr>
            <w:r>
              <w:rPr>
                <w:sz w:val="19"/>
                <w:szCs w:val="19"/>
                <w:bdr w:val="none" w:color="auto" w:sz="0" w:space="0"/>
              </w:rPr>
              <w:t>监测血压、血糖等</w:t>
            </w:r>
          </w:p>
        </w:tc>
        <w:tc>
          <w:tcPr>
            <w:tcW w:w="1549"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jc w:val="center"/>
            </w:pPr>
            <w:r>
              <w:rPr>
                <w:sz w:val="19"/>
                <w:szCs w:val="19"/>
                <w:bdr w:val="none" w:color="auto" w:sz="0" w:space="0"/>
              </w:rPr>
              <w:t>5—10分钟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NmJjODI2MmU0YWJiNDMxNTI1YjcxN2NjZTUxOGUifQ=="/>
  </w:docVars>
  <w:rsids>
    <w:rsidRoot w:val="78CE087D"/>
    <w:rsid w:val="77846DA4"/>
    <w:rsid w:val="78CE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2026-01-04T08:52:00Z</dcterms:created>
  <dc:creator>WF</dc:creator>
  <cp:lastModifiedBy>WF</cp:lastModifiedBy>
  <dcterms:modified xsi:type="dcterms:W3CDTF">2026-01-06T07:02:05Z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D74D0954344448CFA0A975ECE265D5D2_11</vt:lpwstr>
  </property>
</Properties>
</file>