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00"/>
        <w:spacing w:before="255" w:line="207" w:lineRule="auto"/>
        <w:outlineLvl w:val="0"/>
        <w:rPr>
          <w:rFonts w:ascii="FZXiaoBiaoSong-B05S" w:hAnsi="FZXiaoBiaoSong-B05S" w:eastAsia="FZXiaoBiaoSong-B05S" w:cs="FZXiaoBiaoSong-B05S"/>
          <w:sz w:val="109"/>
          <w:szCs w:val="109"/>
        </w:rPr>
      </w:pPr>
      <w:r>
        <w:rPr>
          <w:rFonts w:ascii="FZXiaoBiaoSong-B05S" w:hAnsi="FZXiaoBiaoSong-B05S" w:eastAsia="FZXiaoBiaoSong-B05S" w:cs="FZXiaoBiaoSong-B05S"/>
          <w:sz w:val="109"/>
          <w:szCs w:val="109"/>
          <w:color w:val="FF0000"/>
          <w:spacing w:val="-41"/>
          <w:w w:val="75"/>
        </w:rPr>
        <w:t>湖南省自然资源厅办公室</w:t>
      </w:r>
    </w:p>
    <w:p>
      <w:pPr>
        <w:ind w:firstLine="41"/>
        <w:spacing w:line="90" w:lineRule="exact"/>
        <w:rPr/>
      </w:pPr>
      <w:r>
        <w:rPr>
          <w:position w:val="-1"/>
        </w:rPr>
        <w:drawing>
          <wp:inline distT="0" distB="0" distL="0" distR="0">
            <wp:extent cx="5759449" cy="5715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9449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03"/>
        <w:spacing w:before="196" w:line="21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关于进一步做好土地储备专项债券</w:t>
      </w:r>
    </w:p>
    <w:p>
      <w:pPr>
        <w:ind w:left="2971"/>
        <w:spacing w:before="43" w:line="18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有关工作的通知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356"/>
        <w:spacing w:before="101" w:line="219" w:lineRule="auto"/>
        <w:rPr/>
      </w:pPr>
      <w:r>
        <w:rPr>
          <w:spacing w:val="8"/>
        </w:rPr>
        <w:t>各市州、县市区自然资源主管部门：</w:t>
      </w:r>
    </w:p>
    <w:p>
      <w:pPr>
        <w:pStyle w:val="BodyText"/>
        <w:ind w:left="358" w:right="454" w:firstLine="695"/>
        <w:spacing w:before="262" w:line="375" w:lineRule="auto"/>
        <w:jc w:val="both"/>
        <w:rPr/>
      </w:pPr>
      <w:r>
        <w:rPr>
          <w:spacing w:val="3"/>
        </w:rPr>
        <w:t>自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2024 </w:t>
      </w:r>
      <w:r>
        <w:rPr>
          <w:spacing w:val="3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11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3"/>
        </w:rPr>
        <w:t>月以来，我省按照国家统一部署，积</w:t>
      </w:r>
      <w:r>
        <w:rPr>
          <w:spacing w:val="2"/>
        </w:rPr>
        <w:t>极开</w:t>
      </w:r>
      <w:r>
        <w:rPr>
          <w:spacing w:val="18"/>
        </w:rPr>
        <w:t>展土地储备专项债券申报发行工作，</w:t>
      </w:r>
      <w:r>
        <w:rPr>
          <w:spacing w:val="-58"/>
        </w:rPr>
        <w:t xml:space="preserve"> </w:t>
      </w:r>
      <w:r>
        <w:rPr>
          <w:spacing w:val="18"/>
        </w:rPr>
        <w:t>已成功发行多批次债</w:t>
      </w:r>
      <w:r>
        <w:rPr>
          <w:spacing w:val="9"/>
        </w:rPr>
        <w:t>券，取得良好成效，受到社会各界广泛关注和积极评价。为</w:t>
      </w:r>
      <w:r>
        <w:rPr>
          <w:spacing w:val="13"/>
        </w:rPr>
        <w:t>进一步规范土地储备专项债券项目管理，做好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2026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3"/>
        </w:rPr>
        <w:t>年项目</w:t>
      </w:r>
      <w:r>
        <w:rPr>
          <w:spacing w:val="8"/>
        </w:rPr>
        <w:t>申报，现就有关事项通知如下。</w:t>
      </w:r>
    </w:p>
    <w:p>
      <w:pPr>
        <w:ind w:left="1001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一、准确把握土地储备专项债券的重要意义</w:t>
      </w:r>
    </w:p>
    <w:p>
      <w:pPr>
        <w:pStyle w:val="BodyText"/>
        <w:ind w:left="361" w:right="454" w:firstLine="638"/>
        <w:spacing w:before="250" w:line="375" w:lineRule="auto"/>
        <w:jc w:val="both"/>
        <w:rPr/>
      </w:pPr>
      <w:r>
        <w:rPr>
          <w:spacing w:val="9"/>
        </w:rPr>
        <w:t>土地储备专项债券是调控土地市场、优化资源配置、支</w:t>
      </w:r>
      <w:r>
        <w:rPr>
          <w:spacing w:val="9"/>
        </w:rPr>
        <w:t>持城市更新和实体经济发展的重要工具。各地要切实</w:t>
      </w:r>
      <w:r>
        <w:rPr>
          <w:spacing w:val="8"/>
        </w:rPr>
        <w:t>提高政</w:t>
      </w:r>
      <w:r>
        <w:rPr>
          <w:spacing w:val="9"/>
        </w:rPr>
        <w:t>治站位，准确把握政策目标，扎实推进土地储备专项债券工</w:t>
      </w:r>
      <w:r>
        <w:rPr>
          <w:spacing w:val="9"/>
        </w:rPr>
        <w:t>作，有效发挥其在改善土地供求关系、增强政府与企业流动</w:t>
      </w:r>
      <w:r>
        <w:rPr>
          <w:spacing w:val="8"/>
        </w:rPr>
        <w:t>性、促进房地产市场平稳健康发展等方面的重要作用。</w:t>
      </w:r>
    </w:p>
    <w:p>
      <w:pPr>
        <w:ind w:left="1001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二、扎实做好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2026 </w:t>
      </w:r>
      <w:r>
        <w:rPr>
          <w:rFonts w:ascii="SimHei" w:hAnsi="SimHei" w:eastAsia="SimHei" w:cs="SimHei"/>
          <w:sz w:val="31"/>
          <w:szCs w:val="31"/>
          <w:spacing w:val="7"/>
        </w:rPr>
        <w:t>年项目申报工作</w:t>
      </w:r>
    </w:p>
    <w:p>
      <w:pPr>
        <w:pStyle w:val="BodyText"/>
        <w:ind w:left="373" w:right="455" w:firstLine="615"/>
        <w:spacing w:before="253" w:line="349" w:lineRule="auto"/>
        <w:jc w:val="both"/>
        <w:rPr>
          <w:rFonts w:ascii="Times New Roman" w:hAnsi="Times New Roman" w:eastAsia="Times New Roman" w:cs="Times New Roman"/>
        </w:rPr>
      </w:pPr>
      <w:r>
        <w:rPr>
          <w:spacing w:val="5"/>
        </w:rPr>
        <w:t>（一）申报时限与方式。</w:t>
      </w:r>
      <w:r>
        <w:rPr>
          <w:rFonts w:ascii="Times New Roman" w:hAnsi="Times New Roman" w:eastAsia="Times New Roman" w:cs="Times New Roman"/>
          <w:spacing w:val="5"/>
        </w:rPr>
        <w:t>2026 </w:t>
      </w:r>
      <w:r>
        <w:rPr>
          <w:spacing w:val="5"/>
        </w:rPr>
        <w:t>年度土地储备专项债券项</w:t>
      </w:r>
      <w:r>
        <w:rPr>
          <w:spacing w:val="8"/>
        </w:rPr>
        <w:t>目申报通过“土地储备专项债券项目管理信息系统”进行，</w:t>
      </w:r>
      <w:r>
        <w:rPr>
          <w:spacing w:val="-9"/>
        </w:rPr>
        <w:t>于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10 </w:t>
      </w:r>
      <w:r>
        <w:rPr>
          <w:spacing w:val="-9"/>
        </w:rPr>
        <w:t>月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15  </w:t>
      </w:r>
      <w:r>
        <w:rPr>
          <w:spacing w:val="-9"/>
        </w:rPr>
        <w:t>日前完成集中报送。确需增补的项目，分别于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2026</w:t>
      </w:r>
    </w:p>
    <w:p>
      <w:pPr>
        <w:spacing w:line="349" w:lineRule="auto"/>
        <w:sectPr>
          <w:footerReference w:type="default" r:id="rId1"/>
          <w:pgSz w:w="11906" w:h="16839"/>
          <w:pgMar w:top="1425" w:right="1343" w:bottom="1403" w:left="1451" w:header="0" w:footer="1313" w:gutter="0"/>
        </w:sectPr>
        <w:rPr>
          <w:rFonts w:ascii="Times New Roman" w:hAnsi="Times New Roman" w:eastAsia="Times New Roman" w:cs="Times New Roman"/>
        </w:rPr>
      </w:pPr>
    </w:p>
    <w:p>
      <w:pPr>
        <w:pStyle w:val="BodyText"/>
        <w:ind w:left="27"/>
        <w:spacing w:before="240" w:line="220" w:lineRule="auto"/>
        <w:rPr/>
      </w:pPr>
      <w:r>
        <w:rPr>
          <w:spacing w:val="-1"/>
        </w:rPr>
        <w:t>年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"/>
        </w:rPr>
        <w:t>月、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1"/>
        </w:rPr>
        <w:t>月进行补充报送。</w:t>
      </w:r>
    </w:p>
    <w:p>
      <w:pPr>
        <w:pStyle w:val="BodyText"/>
        <w:ind w:left="20" w:firstLine="634"/>
        <w:spacing w:before="259" w:line="323" w:lineRule="auto"/>
        <w:rPr/>
      </w:pPr>
      <w:r>
        <w:rPr>
          <w:spacing w:val="9"/>
        </w:rPr>
        <w:t>（二）项目审核要求。</w:t>
      </w:r>
      <w:r>
        <w:rPr>
          <w:rFonts w:ascii="Times New Roman" w:hAnsi="Times New Roman" w:eastAsia="Times New Roman" w:cs="Times New Roman"/>
          <w:spacing w:val="9"/>
        </w:rPr>
        <w:t>2026 </w:t>
      </w:r>
      <w:r>
        <w:rPr>
          <w:spacing w:val="9"/>
        </w:rPr>
        <w:t>年项目审核延续</w:t>
      </w:r>
      <w:r>
        <w:rPr>
          <w:spacing w:val="8"/>
        </w:rPr>
        <w:t>现行标准，</w:t>
      </w:r>
      <w:r>
        <w:rPr>
          <w:spacing w:val="12"/>
        </w:rPr>
        <w:t>特别是须满足以下条件：</w:t>
      </w:r>
      <w:r>
        <w:rPr>
          <w:rFonts w:ascii="Times New Roman" w:hAnsi="Times New Roman" w:eastAsia="Times New Roman" w:cs="Times New Roman"/>
          <w:spacing w:val="12"/>
        </w:rPr>
        <w:t>1.</w:t>
      </w:r>
      <w:r>
        <w:rPr>
          <w:spacing w:val="12"/>
        </w:rPr>
        <w:t>地块权属清晰，使</w:t>
      </w:r>
      <w:r>
        <w:rPr>
          <w:spacing w:val="11"/>
        </w:rPr>
        <w:t>用权取得方式</w:t>
      </w:r>
      <w:r>
        <w:rPr>
          <w:spacing w:val="1"/>
        </w:rPr>
        <w:t>及程序合法合规；</w:t>
      </w:r>
      <w:r>
        <w:rPr>
          <w:rFonts w:ascii="Times New Roman" w:hAnsi="Times New Roman" w:eastAsia="Times New Roman" w:cs="Times New Roman"/>
          <w:spacing w:val="1"/>
        </w:rPr>
        <w:t>2. </w:t>
      </w:r>
      <w:r>
        <w:rPr>
          <w:spacing w:val="1"/>
        </w:rPr>
        <w:t>已抵押地块须在债券</w:t>
      </w:r>
      <w:r>
        <w:rPr/>
        <w:t>发行前解除质抵押。</w:t>
      </w:r>
    </w:p>
    <w:p>
      <w:pPr>
        <w:pStyle w:val="BodyText"/>
        <w:ind w:left="21" w:right="89" w:firstLine="633"/>
        <w:spacing w:before="267" w:line="344" w:lineRule="auto"/>
        <w:rPr/>
      </w:pPr>
      <w:r>
        <w:rPr>
          <w:spacing w:val="9"/>
        </w:rPr>
        <w:t>（三）债券支持重点。优先支持未按期开工和闲置的房</w:t>
      </w:r>
      <w:r>
        <w:rPr>
          <w:spacing w:val="9"/>
        </w:rPr>
        <w:t>地产用地，鼓励资金再投入于新产业、新业态类项目。在符</w:t>
      </w:r>
      <w:r>
        <w:rPr>
          <w:spacing w:val="22"/>
        </w:rPr>
        <w:t>合国土空间规划前提下，支持土地混合开发和空间复合利</w:t>
      </w:r>
      <w:r>
        <w:rPr>
          <w:spacing w:val="9"/>
        </w:rPr>
        <w:t>用。重点支持对城市片区综合开发具有带动作用、能够促进</w:t>
      </w:r>
      <w:r>
        <w:rPr>
          <w:spacing w:val="8"/>
        </w:rPr>
        <w:t>闲置土地盘活、推动低效用地再开发的项目。</w:t>
      </w:r>
    </w:p>
    <w:p>
      <w:pPr>
        <w:pStyle w:val="BodyText"/>
        <w:ind w:left="27" w:right="89" w:firstLine="626"/>
        <w:spacing w:before="258" w:line="323" w:lineRule="auto"/>
        <w:rPr/>
      </w:pPr>
      <w:r>
        <w:rPr>
          <w:spacing w:val="10"/>
        </w:rPr>
        <w:t>（</w:t>
      </w:r>
      <w:r>
        <w:rPr>
          <w:spacing w:val="-83"/>
        </w:rPr>
        <w:t xml:space="preserve"> </w:t>
      </w:r>
      <w:r>
        <w:rPr>
          <w:spacing w:val="10"/>
        </w:rPr>
        <w:t>四）</w:t>
      </w:r>
      <w:r>
        <w:rPr>
          <w:rFonts w:ascii="Times New Roman" w:hAnsi="Times New Roman" w:eastAsia="Times New Roman" w:cs="Times New Roman"/>
          <w:spacing w:val="10"/>
        </w:rPr>
        <w:t>2025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0"/>
        </w:rPr>
        <w:t>年度未发行、</w:t>
      </w:r>
      <w:r>
        <w:rPr>
          <w:spacing w:val="-71"/>
        </w:rPr>
        <w:t xml:space="preserve"> </w:t>
      </w:r>
      <w:r>
        <w:rPr>
          <w:spacing w:val="10"/>
        </w:rPr>
        <w:t>已纳入核准库的项目，</w:t>
      </w:r>
      <w:r>
        <w:rPr>
          <w:rFonts w:ascii="Times New Roman" w:hAnsi="Times New Roman" w:eastAsia="Times New Roman" w:cs="Times New Roman"/>
          <w:spacing w:val="10"/>
        </w:rPr>
        <w:t>2026</w:t>
      </w:r>
      <w:r>
        <w:rPr>
          <w:spacing w:val="9"/>
        </w:rPr>
        <w:t>年可继续申请发行。发行前评估报告过期的项目，须更新报</w:t>
      </w:r>
      <w:r>
        <w:rPr>
          <w:spacing w:val="8"/>
        </w:rPr>
        <w:t>告时间、收储价格等要素信息后重新报审。</w:t>
      </w:r>
    </w:p>
    <w:p>
      <w:pPr>
        <w:ind w:left="668"/>
        <w:spacing w:before="262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三、充分发挥土地储备专项债券盘活优化作用</w:t>
      </w:r>
    </w:p>
    <w:p>
      <w:pPr>
        <w:pStyle w:val="BodyText"/>
        <w:ind w:left="27" w:right="89" w:firstLine="648"/>
        <w:spacing w:before="251" w:line="375" w:lineRule="auto"/>
        <w:jc w:val="both"/>
        <w:rPr/>
      </w:pPr>
      <w:r>
        <w:rPr>
          <w:spacing w:val="22"/>
        </w:rPr>
        <w:t>市县自然资源主管部门应坚持系统观念，围绕项目谋</w:t>
      </w:r>
      <w:r>
        <w:rPr>
          <w:spacing w:val="9"/>
        </w:rPr>
        <w:t>划、项目申报、债券发行、土地收储、收储土地出让等各环</w:t>
      </w:r>
      <w:r>
        <w:rPr>
          <w:spacing w:val="9"/>
        </w:rPr>
        <w:t>节，重点从以下五方面充分发挥土地储备专项债券盘活优化</w:t>
      </w:r>
      <w:r>
        <w:rPr/>
        <w:t>作用。</w:t>
      </w:r>
    </w:p>
    <w:p>
      <w:pPr>
        <w:pStyle w:val="BodyText"/>
        <w:ind w:left="20" w:right="91" w:firstLine="634"/>
        <w:spacing w:before="5" w:line="322" w:lineRule="auto"/>
        <w:rPr/>
      </w:pPr>
      <w:r>
        <w:rPr>
          <w:rFonts w:ascii="KaiTi_GB2312" w:hAnsi="KaiTi_GB2312" w:eastAsia="KaiTi_GB2312" w:cs="KaiTi_GB2312"/>
          <w:spacing w:val="9"/>
        </w:rPr>
        <w:t>（一）强化规划引导作用。</w:t>
      </w:r>
      <w:r>
        <w:rPr>
          <w:spacing w:val="9"/>
        </w:rPr>
        <w:t>结合市场需求，在符合国家</w:t>
      </w:r>
      <w:r>
        <w:rPr>
          <w:spacing w:val="9"/>
        </w:rPr>
        <w:t>相关要求的前提下，合理优化地块容积率、调整土地用途，</w:t>
      </w:r>
      <w:r>
        <w:rPr>
          <w:spacing w:val="8"/>
        </w:rPr>
        <w:t>改善空间布局，增强地块开发价值。</w:t>
      </w:r>
    </w:p>
    <w:p>
      <w:pPr>
        <w:pStyle w:val="BodyText"/>
        <w:ind w:left="27" w:right="89" w:firstLine="626"/>
        <w:spacing w:before="263" w:line="297" w:lineRule="auto"/>
        <w:rPr/>
      </w:pPr>
      <w:r>
        <w:rPr>
          <w:rFonts w:ascii="KaiTi_GB2312" w:hAnsi="KaiTi_GB2312" w:eastAsia="KaiTi_GB2312" w:cs="KaiTi_GB2312"/>
          <w:spacing w:val="9"/>
        </w:rPr>
        <w:t>（二）完善基础配套设施。</w:t>
      </w:r>
      <w:r>
        <w:rPr>
          <w:spacing w:val="9"/>
        </w:rPr>
        <w:t>加快推进地块周边交通、教</w:t>
      </w:r>
      <w:r>
        <w:rPr>
          <w:spacing w:val="9"/>
        </w:rPr>
        <w:t>育、医疗等基础设施和公共服务设施建设，提升区域成熟度</w:t>
      </w:r>
    </w:p>
    <w:p>
      <w:pPr>
        <w:spacing w:line="297" w:lineRule="auto"/>
        <w:sectPr>
          <w:footerReference w:type="default" r:id="rId3"/>
          <w:pgSz w:w="11906" w:h="16839"/>
          <w:pgMar w:top="1431" w:right="1708" w:bottom="1178" w:left="1785" w:header="0" w:footer="961" w:gutter="0"/>
        </w:sectPr>
        <w:rPr/>
      </w:pPr>
    </w:p>
    <w:p>
      <w:pPr>
        <w:pStyle w:val="BodyText"/>
        <w:ind w:left="31"/>
        <w:spacing w:before="240" w:line="219" w:lineRule="auto"/>
        <w:rPr/>
      </w:pPr>
      <w:r>
        <w:rPr>
          <w:spacing w:val="4"/>
        </w:rPr>
        <w:t>和开发条件。</w:t>
      </w:r>
    </w:p>
    <w:p>
      <w:pPr>
        <w:pStyle w:val="BodyText"/>
        <w:ind w:left="16" w:right="97" w:firstLine="637"/>
        <w:spacing w:before="261" w:line="297" w:lineRule="auto"/>
        <w:rPr/>
      </w:pPr>
      <w:r>
        <w:rPr>
          <w:rFonts w:ascii="KaiTi_GB2312" w:hAnsi="KaiTi_GB2312" w:eastAsia="KaiTi_GB2312" w:cs="KaiTi_GB2312"/>
          <w:spacing w:val="9"/>
        </w:rPr>
        <w:t>（三）注重生态环境优化。</w:t>
      </w:r>
      <w:r>
        <w:rPr>
          <w:spacing w:val="9"/>
        </w:rPr>
        <w:t>将土地供应与生态修复、环</w:t>
      </w:r>
      <w:r>
        <w:rPr>
          <w:spacing w:val="9"/>
        </w:rPr>
        <w:t>境整治相结合，营造生态宜居环境，提升土地资产价值。</w:t>
      </w:r>
    </w:p>
    <w:p>
      <w:pPr>
        <w:pStyle w:val="BodyText"/>
        <w:ind w:left="26" w:right="95" w:firstLine="627"/>
        <w:spacing w:before="261" w:line="323" w:lineRule="auto"/>
        <w:rPr/>
      </w:pPr>
      <w:r>
        <w:rPr>
          <w:rFonts w:ascii="KaiTi_GB2312" w:hAnsi="KaiTi_GB2312" w:eastAsia="KaiTi_GB2312" w:cs="KaiTi_GB2312"/>
          <w:spacing w:val="9"/>
        </w:rPr>
        <w:t>（四）推动历史文化保护。</w:t>
      </w:r>
      <w:r>
        <w:rPr>
          <w:spacing w:val="9"/>
        </w:rPr>
        <w:t>鼓励对历史文化遗产、工业</w:t>
      </w:r>
      <w:r>
        <w:rPr>
          <w:spacing w:val="9"/>
        </w:rPr>
        <w:t>遗存进行活化利用，引入文化展示、创意产业等新功能，实</w:t>
      </w:r>
      <w:r>
        <w:rPr>
          <w:spacing w:val="8"/>
        </w:rPr>
        <w:t>现历史环境与现代生活的和谐共融。</w:t>
      </w:r>
    </w:p>
    <w:p>
      <w:pPr>
        <w:pStyle w:val="BodyText"/>
        <w:ind w:left="20" w:right="13" w:firstLine="634"/>
        <w:spacing w:before="264" w:line="336" w:lineRule="auto"/>
        <w:rPr/>
      </w:pPr>
      <w:r>
        <w:rPr>
          <w:rFonts w:ascii="KaiTi_GB2312" w:hAnsi="KaiTi_GB2312" w:eastAsia="KaiTi_GB2312" w:cs="KaiTi_GB2312"/>
        </w:rPr>
        <w:t>（五）创新土地供应方式。</w:t>
      </w:r>
      <w:r>
        <w:rPr/>
        <w:t>探索相邻地块组合供应模</w:t>
      </w:r>
      <w:r>
        <w:rPr>
          <w:spacing w:val="-1"/>
        </w:rPr>
        <w:t>式，</w:t>
      </w:r>
      <w:r>
        <w:rPr>
          <w:spacing w:val="9"/>
        </w:rPr>
        <w:t>地上地下联合开发，边角地、夹心地、插花地等无法单独利</w:t>
      </w:r>
      <w:r>
        <w:rPr>
          <w:spacing w:val="11"/>
        </w:rPr>
        <w:t>用的地块可结合主体地块统一开发，满足多元化开发</w:t>
      </w:r>
      <w:r>
        <w:rPr>
          <w:spacing w:val="10"/>
        </w:rPr>
        <w:t>需求，</w:t>
      </w:r>
      <w:r>
        <w:rPr>
          <w:spacing w:val="8"/>
        </w:rPr>
        <w:t>促进区域整体开发和高效利用。</w:t>
      </w:r>
    </w:p>
    <w:p>
      <w:pPr>
        <w:ind w:left="681"/>
        <w:spacing w:before="262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四、严格土地储备专项债券监管</w:t>
      </w:r>
    </w:p>
    <w:p>
      <w:pPr>
        <w:pStyle w:val="BodyText"/>
        <w:ind w:left="27" w:firstLine="638"/>
        <w:spacing w:before="250" w:line="375" w:lineRule="auto"/>
        <w:jc w:val="both"/>
        <w:rPr/>
      </w:pPr>
      <w:r>
        <w:rPr/>
        <w:t>土地储备专项债券资金必须专款专用，严禁挤占、截留、</w:t>
      </w:r>
      <w:r>
        <w:rPr>
          <w:spacing w:val="9"/>
        </w:rPr>
        <w:t>挪用。债券资金到位后，要加快拨付使用。资金使用效率与</w:t>
      </w:r>
      <w:r>
        <w:rPr>
          <w:spacing w:val="9"/>
        </w:rPr>
        <w:t>后续发行规模挂钩。不得将债券资金用于与土地储备</w:t>
      </w:r>
      <w:r>
        <w:rPr>
          <w:spacing w:val="8"/>
        </w:rPr>
        <w:t>无关的</w:t>
      </w:r>
      <w:r>
        <w:rPr>
          <w:spacing w:val="9"/>
        </w:rPr>
        <w:t>支出，严禁用于偿还其他债务或反复回购土地，杜绝</w:t>
      </w:r>
      <w:r>
        <w:rPr>
          <w:spacing w:val="8"/>
        </w:rPr>
        <w:t>资金空</w:t>
      </w:r>
      <w:r>
        <w:rPr>
          <w:spacing w:val="9"/>
        </w:rPr>
        <w:t>转和虚增财政收入行为。要严守土地政策底线，妥善</w:t>
      </w:r>
      <w:r>
        <w:rPr>
          <w:spacing w:val="8"/>
        </w:rPr>
        <w:t>处理债</w:t>
      </w:r>
      <w:r>
        <w:rPr>
          <w:spacing w:val="9"/>
        </w:rPr>
        <w:t>权债务关系，保障权益人合法权益，防范廉政和债务</w:t>
      </w:r>
      <w:r>
        <w:rPr>
          <w:spacing w:val="8"/>
        </w:rPr>
        <w:t>风险。</w:t>
      </w:r>
    </w:p>
    <w:p>
      <w:pPr>
        <w:ind w:left="671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五、全面压实市县自然资源主管部门责任</w:t>
      </w:r>
    </w:p>
    <w:p>
      <w:pPr>
        <w:pStyle w:val="BodyText"/>
        <w:ind w:left="18" w:right="95" w:firstLine="648"/>
        <w:spacing w:before="250" w:line="375" w:lineRule="auto"/>
        <w:jc w:val="both"/>
        <w:rPr/>
      </w:pPr>
      <w:r>
        <w:rPr>
          <w:spacing w:val="3"/>
        </w:rPr>
        <w:t>土地储备工作统一归</w:t>
      </w:r>
      <w:r>
        <w:rPr>
          <w:spacing w:val="-82"/>
        </w:rPr>
        <w:t xml:space="preserve"> </w:t>
      </w:r>
      <w:r>
        <w:rPr>
          <w:spacing w:val="3"/>
        </w:rPr>
        <w:t>口</w:t>
      </w:r>
      <w:r>
        <w:rPr>
          <w:spacing w:val="-85"/>
        </w:rPr>
        <w:t xml:space="preserve"> </w:t>
      </w:r>
      <w:r>
        <w:rPr>
          <w:spacing w:val="3"/>
        </w:rPr>
        <w:t>自然资源主管部门管理，纳入名</w:t>
      </w:r>
      <w:r>
        <w:rPr>
          <w:spacing w:val="9"/>
        </w:rPr>
        <w:t>录管理的土地储备机构承担具体实施工作。市县自然资源主</w:t>
      </w:r>
      <w:r>
        <w:rPr>
          <w:spacing w:val="9"/>
        </w:rPr>
        <w:t>管部门对项目申报材料的完整性、真实性、准确性负责。要</w:t>
      </w:r>
      <w:r>
        <w:rPr>
          <w:spacing w:val="9"/>
        </w:rPr>
        <w:t>严格执行土地储备专项债券各项管理规定，不得将工作外包</w:t>
      </w:r>
    </w:p>
    <w:p>
      <w:pPr>
        <w:spacing w:line="375" w:lineRule="auto"/>
        <w:sectPr>
          <w:footerReference w:type="default" r:id="rId4"/>
          <w:pgSz w:w="11906" w:h="16839"/>
          <w:pgMar w:top="1431" w:right="1702" w:bottom="1178" w:left="1785" w:header="0" w:footer="962" w:gutter="0"/>
        </w:sectPr>
        <w:rPr/>
      </w:pPr>
    </w:p>
    <w:p>
      <w:pPr>
        <w:pStyle w:val="BodyText"/>
        <w:ind w:left="21" w:right="13" w:firstLine="6"/>
        <w:spacing w:before="237" w:line="375" w:lineRule="auto"/>
        <w:rPr/>
      </w:pPr>
      <w:r>
        <w:rPr>
          <w:spacing w:val="3"/>
        </w:rPr>
        <w:t>技术单位，一包了之，</w:t>
      </w:r>
      <w:r>
        <w:rPr>
          <w:spacing w:val="-65"/>
        </w:rPr>
        <w:t xml:space="preserve"> </w:t>
      </w:r>
      <w:r>
        <w:rPr>
          <w:spacing w:val="3"/>
        </w:rPr>
        <w:t>自</w:t>
      </w:r>
      <w:r>
        <w:rPr>
          <w:spacing w:val="-92"/>
        </w:rPr>
        <w:t xml:space="preserve"> </w:t>
      </w:r>
      <w:r>
        <w:rPr>
          <w:spacing w:val="3"/>
        </w:rPr>
        <w:t>己当甩手掌柜。各级土地储备机构</w:t>
      </w:r>
      <w:r>
        <w:rPr>
          <w:spacing w:val="9"/>
        </w:rPr>
        <w:t>要以土地储备专项债券相关工作为抓手，提高在项目谋划、</w:t>
      </w:r>
      <w:r>
        <w:rPr>
          <w:spacing w:val="9"/>
        </w:rPr>
        <w:t>地块评估、成本收益平衡、实施管理等方面的专业素养和治</w:t>
      </w:r>
      <w:r>
        <w:rPr>
          <w:spacing w:val="8"/>
        </w:rPr>
        <w:t>理能力，确保工作有序推进、取得实效。</w:t>
      </w:r>
    </w:p>
    <w:p>
      <w:pPr>
        <w:pStyle w:val="BodyText"/>
        <w:ind w:left="22" w:right="11" w:firstLine="649"/>
        <w:spacing w:before="4" w:line="375" w:lineRule="auto"/>
        <w:jc w:val="both"/>
        <w:rPr/>
      </w:pPr>
      <w:r>
        <w:rPr>
          <w:spacing w:val="8"/>
        </w:rPr>
        <w:t>省厅将加强对土地储备专项债券项目资金拨付、收储进</w:t>
      </w:r>
      <w:r>
        <w:rPr>
          <w:spacing w:val="9"/>
        </w:rPr>
        <w:t>度、地块管护等情况的督导。对项目申报质量差、进度滞后</w:t>
      </w:r>
      <w:r>
        <w:rPr>
          <w:spacing w:val="9"/>
        </w:rPr>
        <w:t>的地区进行提醒；对申报弄虚作假、相关材料反复出现问题</w:t>
      </w:r>
      <w:r>
        <w:rPr>
          <w:spacing w:val="9"/>
        </w:rPr>
        <w:t>的地区，按规定收回资金并停发后续专项债；对存在违法违</w:t>
      </w:r>
      <w:r>
        <w:rPr>
          <w:spacing w:val="8"/>
        </w:rPr>
        <w:t>规行为的，移交纪检监察或司法机关处理。</w:t>
      </w:r>
    </w:p>
    <w:p>
      <w:pPr>
        <w:pStyle w:val="BodyText"/>
        <w:ind w:left="662"/>
        <w:spacing w:line="219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联系人：权益处</w:t>
      </w:r>
      <w:r>
        <w:rPr>
          <w:spacing w:val="5"/>
        </w:rPr>
        <w:t xml:space="preserve"> </w:t>
      </w:r>
      <w:r>
        <w:rPr>
          <w:spacing w:val="5"/>
        </w:rPr>
        <w:t>律穹，</w:t>
      </w:r>
      <w:r>
        <w:rPr>
          <w:rFonts w:ascii="Times New Roman" w:hAnsi="Times New Roman" w:eastAsia="Times New Roman" w:cs="Times New Roman"/>
          <w:spacing w:val="5"/>
        </w:rPr>
        <w:t>0731-89991117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469"/>
        <w:spacing w:before="101" w:line="220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3201987</wp:posOffset>
            </wp:positionH>
            <wp:positionV relativeFrom="paragraph">
              <wp:posOffset>-810529</wp:posOffset>
            </wp:positionV>
            <wp:extent cx="1511680" cy="151193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68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湖南省自然资源厅办公室</w:t>
      </w:r>
    </w:p>
    <w:p>
      <w:pPr>
        <w:pStyle w:val="BodyText"/>
        <w:ind w:left="5053"/>
        <w:spacing w:before="262" w:line="220" w:lineRule="auto"/>
        <w:outlineLvl w:val="0"/>
        <w:rPr/>
      </w:pP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  </w:t>
      </w:r>
      <w:r>
        <w:rPr>
          <w:spacing w:val="-3"/>
        </w:rPr>
        <w:t>日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6"/>
        <w:spacing w:before="101" w:line="223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公开方式：</w:t>
      </w:r>
      <w:r>
        <w:rPr>
          <w:rFonts w:ascii="KaiTi_GB2312" w:hAnsi="KaiTi_GB2312" w:eastAsia="KaiTi_GB2312" w:cs="KaiTi_GB2312"/>
          <w:sz w:val="31"/>
          <w:szCs w:val="31"/>
          <w:spacing w:val="8"/>
        </w:rPr>
        <w:t>依申请公开</w:t>
      </w:r>
    </w:p>
    <w:sectPr>
      <w:footerReference w:type="default" r:id="rId5"/>
      <w:pgSz w:w="11906" w:h="16839"/>
      <w:pgMar w:top="1431" w:right="1785" w:bottom="1178" w:left="1785" w:header="0" w:footer="9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80" w:lineRule="exact"/>
      <w:rPr/>
    </w:pPr>
    <w:r>
      <w:rPr>
        <w:position w:val="-1"/>
      </w:rPr>
      <w:drawing>
        <wp:inline distT="0" distB="0" distL="0" distR="0">
          <wp:extent cx="5759449" cy="5080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759449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2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0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3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3.png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关于进一步做好土地储备专项债券有关工作的通知</dc:title>
  <dc:creator>湖南自然资源政务平台</dc:creator>
  <dcterms:created xsi:type="dcterms:W3CDTF">2025-09-08T16:15:21Z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2026-01-07T10:37:31</vt:filetime>
  </property>
</Properties>
</file>