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6BB07">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14:paraId="6ED2791A">
      <w:pPr>
        <w:tabs>
          <w:tab w:val="left" w:pos="7560"/>
        </w:tabs>
        <w:adjustRightInd w:val="0"/>
        <w:snapToGrid w:val="0"/>
        <w:spacing w:line="560" w:lineRule="exact"/>
        <w:jc w:val="left"/>
        <w:rPr>
          <w:rFonts w:eastAsia="仿宋_GB2312"/>
          <w:bCs/>
          <w:sz w:val="32"/>
          <w:szCs w:val="32"/>
        </w:rPr>
      </w:pPr>
    </w:p>
    <w:p w14:paraId="40BCEF71">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醴陵市退役军人事务</w:t>
      </w:r>
      <w:r>
        <w:rPr>
          <w:rFonts w:eastAsia="方正小标宋简体"/>
          <w:bCs/>
          <w:color w:val="000000"/>
          <w:sz w:val="44"/>
          <w:szCs w:val="44"/>
        </w:rPr>
        <w:t>局</w:t>
      </w:r>
    </w:p>
    <w:p w14:paraId="359EC2EB">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14:paraId="6700A4A6">
      <w:pPr>
        <w:tabs>
          <w:tab w:val="left" w:pos="7560"/>
        </w:tabs>
        <w:adjustRightInd w:val="0"/>
        <w:snapToGrid w:val="0"/>
        <w:spacing w:line="560" w:lineRule="exact"/>
        <w:jc w:val="center"/>
        <w:rPr>
          <w:rFonts w:hAnsi="黑体" w:eastAsia="黑体"/>
          <w:bCs/>
          <w:sz w:val="32"/>
          <w:szCs w:val="32"/>
        </w:rPr>
      </w:pPr>
    </w:p>
    <w:p w14:paraId="50F4C691">
      <w:pPr>
        <w:tabs>
          <w:tab w:val="left" w:pos="7560"/>
        </w:tabs>
        <w:adjustRightInd w:val="0"/>
        <w:snapToGrid w:val="0"/>
        <w:spacing w:line="560" w:lineRule="exact"/>
        <w:jc w:val="center"/>
        <w:rPr>
          <w:rFonts w:eastAsia="方正小标宋简体"/>
          <w:bCs/>
          <w:color w:val="000000"/>
          <w:sz w:val="44"/>
          <w:szCs w:val="44"/>
        </w:rPr>
      </w:pPr>
      <w:r>
        <w:rPr>
          <w:rFonts w:hAnsi="黑体" w:eastAsia="黑体"/>
          <w:bCs/>
          <w:sz w:val="32"/>
          <w:szCs w:val="32"/>
        </w:rPr>
        <w:t>部门预算公开信息目录</w:t>
      </w:r>
    </w:p>
    <w:p w14:paraId="2D971EA4">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14:paraId="75E1DFE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14:paraId="7B4E4E7C">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14:paraId="0651F44A">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14:paraId="2451447E">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14:paraId="5DA6A6C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14:paraId="70A81026">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14:paraId="286E9AC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14:paraId="709D66E4">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14:paraId="5A41D744">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14:paraId="4C71CF5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14:paraId="78161014">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14:paraId="2D52DA9E">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14:paraId="0B4831C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14:paraId="1E380D8F">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14:paraId="58E6D9F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14:paraId="4DC2B09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14:paraId="1CADB13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14:paraId="7DA4685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14:paraId="587FA1E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14:paraId="2CC7CD4C">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5EFE076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14:paraId="380E57BF">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36D3E37E">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14:paraId="5AF32F8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311278A6">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14:paraId="46B95DA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277A153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14:paraId="0CA80F7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14:paraId="5C8D0174">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14:paraId="6ED9847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14:paraId="39DDD2D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6F9E778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14:paraId="53EAB82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68E20CF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14:paraId="26D0F39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42C58DF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14:paraId="5BBA1E3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3056439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14:paraId="19F8CC7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5E74A940">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14:paraId="1413562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18B838BE">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14:paraId="52002760">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14:paraId="02BEE0C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14:paraId="40854E26">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14:paraId="767FDD70">
      <w:pPr>
        <w:tabs>
          <w:tab w:val="left" w:pos="7560"/>
        </w:tabs>
        <w:adjustRightInd w:val="0"/>
        <w:snapToGrid w:val="0"/>
        <w:spacing w:line="560" w:lineRule="exact"/>
        <w:ind w:firstLine="640" w:firstLineChars="200"/>
        <w:jc w:val="left"/>
        <w:rPr>
          <w:rFonts w:eastAsia="仿宋_GB2312"/>
          <w:sz w:val="32"/>
          <w:szCs w:val="32"/>
        </w:rPr>
      </w:pPr>
    </w:p>
    <w:p w14:paraId="55CA4FA1">
      <w:pPr>
        <w:tabs>
          <w:tab w:val="left" w:pos="7560"/>
        </w:tabs>
        <w:adjustRightInd w:val="0"/>
        <w:snapToGrid w:val="0"/>
        <w:spacing w:line="560" w:lineRule="exact"/>
        <w:ind w:firstLine="640" w:firstLineChars="200"/>
        <w:jc w:val="left"/>
        <w:rPr>
          <w:rFonts w:eastAsia="仿宋_GB2312"/>
          <w:sz w:val="32"/>
          <w:szCs w:val="32"/>
        </w:rPr>
      </w:pPr>
    </w:p>
    <w:p w14:paraId="1A32A8E8">
      <w:pPr>
        <w:tabs>
          <w:tab w:val="left" w:pos="7560"/>
        </w:tabs>
        <w:adjustRightInd w:val="0"/>
        <w:snapToGrid w:val="0"/>
        <w:spacing w:line="560" w:lineRule="exact"/>
        <w:ind w:firstLine="640" w:firstLineChars="200"/>
        <w:jc w:val="left"/>
        <w:rPr>
          <w:rFonts w:eastAsia="仿宋_GB2312"/>
          <w:sz w:val="32"/>
          <w:szCs w:val="32"/>
        </w:rPr>
      </w:pPr>
    </w:p>
    <w:p w14:paraId="2458ECC6">
      <w:pPr>
        <w:tabs>
          <w:tab w:val="left" w:pos="7560"/>
        </w:tabs>
        <w:adjustRightInd w:val="0"/>
        <w:snapToGrid w:val="0"/>
        <w:spacing w:line="560" w:lineRule="exact"/>
        <w:ind w:firstLine="640" w:firstLineChars="200"/>
        <w:jc w:val="left"/>
        <w:rPr>
          <w:rFonts w:eastAsia="仿宋_GB2312"/>
          <w:sz w:val="32"/>
          <w:szCs w:val="32"/>
        </w:rPr>
      </w:pPr>
    </w:p>
    <w:p w14:paraId="2C30F07F">
      <w:pPr>
        <w:tabs>
          <w:tab w:val="left" w:pos="7560"/>
        </w:tabs>
        <w:adjustRightInd w:val="0"/>
        <w:snapToGrid w:val="0"/>
        <w:spacing w:line="560" w:lineRule="exact"/>
        <w:ind w:firstLine="640" w:firstLineChars="200"/>
        <w:jc w:val="left"/>
        <w:rPr>
          <w:rFonts w:eastAsia="仿宋_GB2312"/>
          <w:sz w:val="32"/>
          <w:szCs w:val="32"/>
        </w:rPr>
      </w:pPr>
    </w:p>
    <w:p w14:paraId="7410421B">
      <w:pPr>
        <w:tabs>
          <w:tab w:val="left" w:pos="7560"/>
        </w:tabs>
        <w:adjustRightInd w:val="0"/>
        <w:snapToGrid w:val="0"/>
        <w:spacing w:line="560" w:lineRule="exact"/>
        <w:ind w:firstLine="640" w:firstLineChars="200"/>
        <w:jc w:val="left"/>
        <w:rPr>
          <w:rFonts w:eastAsia="仿宋_GB2312"/>
          <w:sz w:val="32"/>
          <w:szCs w:val="32"/>
        </w:rPr>
      </w:pPr>
    </w:p>
    <w:p w14:paraId="2F24DF87">
      <w:pPr>
        <w:tabs>
          <w:tab w:val="left" w:pos="7560"/>
        </w:tabs>
        <w:adjustRightInd w:val="0"/>
        <w:snapToGrid w:val="0"/>
        <w:spacing w:line="560" w:lineRule="exact"/>
        <w:ind w:firstLine="640" w:firstLineChars="200"/>
        <w:jc w:val="left"/>
        <w:rPr>
          <w:rFonts w:eastAsia="仿宋_GB2312"/>
          <w:sz w:val="32"/>
          <w:szCs w:val="32"/>
        </w:rPr>
      </w:pPr>
    </w:p>
    <w:p w14:paraId="23D542F0">
      <w:pPr>
        <w:tabs>
          <w:tab w:val="left" w:pos="7560"/>
        </w:tabs>
        <w:adjustRightInd w:val="0"/>
        <w:snapToGrid w:val="0"/>
        <w:spacing w:line="560" w:lineRule="exact"/>
        <w:ind w:firstLine="640" w:firstLineChars="200"/>
        <w:jc w:val="left"/>
        <w:rPr>
          <w:rFonts w:eastAsia="仿宋_GB2312"/>
          <w:sz w:val="32"/>
          <w:szCs w:val="32"/>
        </w:rPr>
      </w:pPr>
    </w:p>
    <w:p w14:paraId="67FBD37E">
      <w:pPr>
        <w:tabs>
          <w:tab w:val="left" w:pos="7560"/>
        </w:tabs>
        <w:adjustRightInd w:val="0"/>
        <w:snapToGrid w:val="0"/>
        <w:spacing w:line="560" w:lineRule="exact"/>
        <w:ind w:firstLine="640" w:firstLineChars="200"/>
        <w:jc w:val="left"/>
        <w:rPr>
          <w:rFonts w:eastAsia="仿宋_GB2312"/>
          <w:sz w:val="32"/>
          <w:szCs w:val="32"/>
        </w:rPr>
      </w:pPr>
    </w:p>
    <w:p w14:paraId="143D1B84">
      <w:pPr>
        <w:tabs>
          <w:tab w:val="left" w:pos="7560"/>
        </w:tabs>
        <w:adjustRightInd w:val="0"/>
        <w:snapToGrid w:val="0"/>
        <w:spacing w:line="560" w:lineRule="exact"/>
        <w:ind w:firstLine="640" w:firstLineChars="200"/>
        <w:jc w:val="left"/>
        <w:rPr>
          <w:rFonts w:eastAsia="仿宋_GB2312"/>
          <w:sz w:val="32"/>
          <w:szCs w:val="32"/>
        </w:rPr>
      </w:pPr>
    </w:p>
    <w:p w14:paraId="0FF66AA1">
      <w:pPr>
        <w:tabs>
          <w:tab w:val="left" w:pos="7560"/>
        </w:tabs>
        <w:adjustRightInd w:val="0"/>
        <w:snapToGrid w:val="0"/>
        <w:spacing w:line="560" w:lineRule="exact"/>
        <w:ind w:firstLine="640" w:firstLineChars="200"/>
        <w:jc w:val="left"/>
        <w:rPr>
          <w:rFonts w:eastAsia="仿宋_GB2312"/>
          <w:sz w:val="32"/>
          <w:szCs w:val="32"/>
        </w:rPr>
      </w:pPr>
    </w:p>
    <w:p w14:paraId="5F6C4B76">
      <w:pPr>
        <w:tabs>
          <w:tab w:val="left" w:pos="7560"/>
        </w:tabs>
        <w:adjustRightInd w:val="0"/>
        <w:snapToGrid w:val="0"/>
        <w:spacing w:line="560" w:lineRule="exact"/>
        <w:ind w:firstLine="640" w:firstLineChars="200"/>
        <w:jc w:val="left"/>
        <w:rPr>
          <w:rFonts w:eastAsia="仿宋_GB2312"/>
          <w:sz w:val="32"/>
          <w:szCs w:val="32"/>
        </w:rPr>
      </w:pPr>
    </w:p>
    <w:p w14:paraId="20223A60">
      <w:pPr>
        <w:tabs>
          <w:tab w:val="left" w:pos="7560"/>
        </w:tabs>
        <w:adjustRightInd w:val="0"/>
        <w:snapToGrid w:val="0"/>
        <w:spacing w:line="560" w:lineRule="exact"/>
        <w:ind w:firstLine="640" w:firstLineChars="200"/>
        <w:jc w:val="left"/>
        <w:rPr>
          <w:rFonts w:eastAsia="仿宋_GB2312"/>
          <w:sz w:val="32"/>
          <w:szCs w:val="32"/>
        </w:rPr>
      </w:pPr>
    </w:p>
    <w:p w14:paraId="6005483D">
      <w:pPr>
        <w:tabs>
          <w:tab w:val="left" w:pos="7560"/>
        </w:tabs>
        <w:adjustRightInd w:val="0"/>
        <w:snapToGrid w:val="0"/>
        <w:spacing w:line="560" w:lineRule="exact"/>
        <w:ind w:firstLine="640" w:firstLineChars="200"/>
        <w:jc w:val="left"/>
        <w:rPr>
          <w:rFonts w:eastAsia="仿宋_GB2312"/>
          <w:sz w:val="32"/>
          <w:szCs w:val="32"/>
        </w:rPr>
      </w:pPr>
    </w:p>
    <w:p w14:paraId="4AE50CFE">
      <w:pPr>
        <w:tabs>
          <w:tab w:val="left" w:pos="7560"/>
        </w:tabs>
        <w:adjustRightInd w:val="0"/>
        <w:snapToGrid w:val="0"/>
        <w:spacing w:line="560" w:lineRule="exact"/>
        <w:ind w:firstLine="640" w:firstLineChars="200"/>
        <w:jc w:val="left"/>
        <w:rPr>
          <w:rFonts w:eastAsia="仿宋_GB2312"/>
          <w:sz w:val="32"/>
          <w:szCs w:val="32"/>
        </w:rPr>
      </w:pPr>
    </w:p>
    <w:p w14:paraId="77C64FAA">
      <w:pPr>
        <w:tabs>
          <w:tab w:val="left" w:pos="7560"/>
        </w:tabs>
        <w:adjustRightInd w:val="0"/>
        <w:snapToGrid w:val="0"/>
        <w:spacing w:line="560" w:lineRule="exact"/>
        <w:ind w:firstLine="640" w:firstLineChars="200"/>
        <w:jc w:val="left"/>
        <w:rPr>
          <w:rFonts w:eastAsia="仿宋_GB2312"/>
          <w:sz w:val="32"/>
          <w:szCs w:val="32"/>
        </w:rPr>
      </w:pPr>
    </w:p>
    <w:p w14:paraId="11D2FAA7">
      <w:pPr>
        <w:tabs>
          <w:tab w:val="left" w:pos="7560"/>
        </w:tabs>
        <w:adjustRightInd w:val="0"/>
        <w:snapToGrid w:val="0"/>
        <w:spacing w:line="560" w:lineRule="exact"/>
        <w:ind w:firstLine="640" w:firstLineChars="200"/>
        <w:jc w:val="left"/>
        <w:rPr>
          <w:rFonts w:eastAsia="仿宋_GB2312"/>
          <w:sz w:val="32"/>
          <w:szCs w:val="32"/>
        </w:rPr>
      </w:pPr>
    </w:p>
    <w:p w14:paraId="563AF79E">
      <w:pPr>
        <w:tabs>
          <w:tab w:val="left" w:pos="7560"/>
        </w:tabs>
        <w:adjustRightInd w:val="0"/>
        <w:snapToGrid w:val="0"/>
        <w:spacing w:line="560" w:lineRule="exact"/>
        <w:rPr>
          <w:rFonts w:eastAsia="方正小标宋简体"/>
          <w:bCs/>
          <w:color w:val="000000"/>
          <w:sz w:val="44"/>
          <w:szCs w:val="44"/>
        </w:rPr>
      </w:pPr>
    </w:p>
    <w:p w14:paraId="1E852093">
      <w:pPr>
        <w:tabs>
          <w:tab w:val="left" w:pos="7560"/>
        </w:tabs>
        <w:adjustRightInd w:val="0"/>
        <w:snapToGrid w:val="0"/>
        <w:spacing w:line="560" w:lineRule="exact"/>
        <w:rPr>
          <w:rFonts w:eastAsia="方正小标宋简体"/>
          <w:bCs/>
          <w:color w:val="000000"/>
          <w:sz w:val="44"/>
          <w:szCs w:val="44"/>
        </w:rPr>
      </w:pPr>
    </w:p>
    <w:p w14:paraId="4ADFAEDB">
      <w:pPr>
        <w:spacing w:line="560" w:lineRule="exact"/>
        <w:rPr>
          <w:rFonts w:hAnsi="仿宋_GB2312" w:eastAsia="仿宋_GB2312"/>
          <w:sz w:val="32"/>
          <w:szCs w:val="32"/>
        </w:rPr>
      </w:pPr>
    </w:p>
    <w:p w14:paraId="68AE3E84">
      <w:pPr>
        <w:spacing w:line="560" w:lineRule="exact"/>
        <w:ind w:firstLine="640" w:firstLineChars="200"/>
        <w:rPr>
          <w:rFonts w:ascii="仿宋" w:hAnsi="仿宋" w:eastAsia="仿宋" w:cs="仿宋"/>
          <w:sz w:val="32"/>
        </w:rPr>
      </w:pPr>
      <w:r>
        <w:rPr>
          <w:rFonts w:hint="eastAsia" w:ascii="黑体" w:hAnsi="黑体" w:eastAsia="黑体" w:cs="黑体"/>
          <w:sz w:val="32"/>
          <w:szCs w:val="32"/>
        </w:rPr>
        <w:t>一</w:t>
      </w:r>
      <w:r>
        <w:rPr>
          <w:rFonts w:hint="eastAsia" w:hAnsi="仿宋_GB2312" w:eastAsia="仿宋_GB2312"/>
          <w:sz w:val="32"/>
          <w:szCs w:val="32"/>
        </w:rPr>
        <w:t>、</w:t>
      </w:r>
      <w:r>
        <w:rPr>
          <w:rFonts w:hint="eastAsia" w:ascii="黑体" w:hAnsi="黑体" w:eastAsia="黑体" w:cs="黑体"/>
          <w:sz w:val="32"/>
          <w:szCs w:val="32"/>
        </w:rPr>
        <w:t>部门职能职责</w:t>
      </w:r>
    </w:p>
    <w:p w14:paraId="2B4789CD">
      <w:pPr>
        <w:spacing w:line="560" w:lineRule="exact"/>
        <w:ind w:firstLine="640" w:firstLineChars="200"/>
        <w:rPr>
          <w:rFonts w:ascii="仿宋" w:hAnsi="仿宋" w:eastAsia="仿宋"/>
          <w:sz w:val="32"/>
        </w:rPr>
      </w:pPr>
      <w:r>
        <w:rPr>
          <w:rFonts w:hint="eastAsia" w:ascii="仿宋" w:hAnsi="仿宋" w:eastAsia="仿宋"/>
          <w:sz w:val="32"/>
        </w:rPr>
        <w:t>（一）贯彻执行党和国家关于退役军人思想政治、管理保障和安置优抚等工作政策法规，拟订全市退役军人事务发展规划，并组织实施；褒扬彰显退役军人为党、国家和人民牺牲奉献的精神风范和价值导向。</w:t>
      </w:r>
    </w:p>
    <w:p w14:paraId="4919FB7A">
      <w:pPr>
        <w:spacing w:line="560" w:lineRule="exact"/>
        <w:ind w:firstLine="640" w:firstLineChars="200"/>
        <w:rPr>
          <w:rFonts w:ascii="仿宋" w:hAnsi="仿宋" w:eastAsia="仿宋"/>
          <w:sz w:val="32"/>
        </w:rPr>
      </w:pPr>
      <w:r>
        <w:rPr>
          <w:rFonts w:hint="eastAsia" w:ascii="仿宋" w:hAnsi="仿宋" w:eastAsia="仿宋"/>
          <w:sz w:val="32"/>
        </w:rPr>
        <w:t>（二）负责全市军队转业干部、复员干部、离休退休干部、退役士兵和无军籍退休退职职工的移交安置工作和自主择业、就业退役军人服务管理工作。</w:t>
      </w:r>
    </w:p>
    <w:p w14:paraId="437E8357">
      <w:pPr>
        <w:spacing w:line="560" w:lineRule="exact"/>
        <w:ind w:firstLine="640" w:firstLineChars="200"/>
        <w:rPr>
          <w:rFonts w:ascii="仿宋" w:hAnsi="仿宋" w:eastAsia="仿宋"/>
          <w:sz w:val="32"/>
        </w:rPr>
      </w:pPr>
      <w:r>
        <w:rPr>
          <w:rFonts w:hint="eastAsia" w:ascii="仿宋" w:hAnsi="仿宋" w:eastAsia="仿宋"/>
          <w:sz w:val="32"/>
        </w:rPr>
        <w:t>（三）组织实施全市退役军人教育培训工作，协调扶持退役军人和随军随调家属就业创业。</w:t>
      </w:r>
    </w:p>
    <w:p w14:paraId="5C1799CF">
      <w:pPr>
        <w:spacing w:line="560" w:lineRule="exact"/>
        <w:ind w:firstLine="640" w:firstLineChars="200"/>
        <w:rPr>
          <w:rFonts w:ascii="仿宋" w:hAnsi="仿宋" w:eastAsia="仿宋"/>
          <w:sz w:val="32"/>
        </w:rPr>
      </w:pPr>
      <w:r>
        <w:rPr>
          <w:rFonts w:hint="eastAsia" w:ascii="仿宋" w:hAnsi="仿宋" w:eastAsia="仿宋"/>
          <w:sz w:val="32"/>
        </w:rPr>
        <w:t>（四）贯彻落实国家、省关于退役军人的特殊保障政策，会同有关部门制定相关实施细则，并组织实施。</w:t>
      </w:r>
    </w:p>
    <w:p w14:paraId="301CB5D9">
      <w:pPr>
        <w:spacing w:line="560" w:lineRule="exact"/>
        <w:ind w:firstLine="640" w:firstLineChars="200"/>
        <w:rPr>
          <w:rFonts w:ascii="仿宋" w:hAnsi="仿宋" w:eastAsia="仿宋"/>
          <w:sz w:val="32"/>
        </w:rPr>
      </w:pPr>
      <w:r>
        <w:rPr>
          <w:rFonts w:hint="eastAsia" w:ascii="仿宋" w:hAnsi="仿宋" w:eastAsia="仿宋"/>
          <w:sz w:val="32"/>
        </w:rPr>
        <w:t>（五）组织协调落实全市移交地方的离休退休军人、符合条件的其他退役军人和无军籍退休退职职工的住房保障工作，以及退役军人医疗保障、社会保险等待遇保障工作。</w:t>
      </w:r>
    </w:p>
    <w:p w14:paraId="3BFA7806">
      <w:pPr>
        <w:spacing w:line="560" w:lineRule="exact"/>
        <w:ind w:firstLine="640" w:firstLineChars="200"/>
        <w:rPr>
          <w:rFonts w:ascii="仿宋" w:hAnsi="仿宋" w:eastAsia="仿宋"/>
          <w:sz w:val="32"/>
        </w:rPr>
      </w:pPr>
      <w:r>
        <w:rPr>
          <w:rFonts w:hint="eastAsia" w:ascii="仿宋" w:hAnsi="仿宋" w:eastAsia="仿宋"/>
          <w:sz w:val="32"/>
        </w:rPr>
        <w:t>（六）负责全市伤病残退役军人服务管理和抚恤工作，贯彻落实有关退役军人医疗、疗养、养老等机构的规划细则并指导实施；承担全市不适宜继续服役的伤病残军人相关工作。</w:t>
      </w:r>
    </w:p>
    <w:p w14:paraId="0DE8C9BA">
      <w:pPr>
        <w:spacing w:line="560" w:lineRule="exact"/>
        <w:ind w:firstLine="640" w:firstLineChars="200"/>
        <w:rPr>
          <w:rFonts w:ascii="仿宋" w:hAnsi="仿宋" w:eastAsia="仿宋"/>
          <w:sz w:val="32"/>
        </w:rPr>
      </w:pPr>
      <w:r>
        <w:rPr>
          <w:rFonts w:hint="eastAsia" w:ascii="仿宋" w:hAnsi="仿宋" w:eastAsia="仿宋"/>
          <w:sz w:val="32"/>
        </w:rPr>
        <w:t>（七）组织指导全市拥军优属工作。负责全市现役军人、退役军人、军队文职人员和军属优待、抚恤等工作；贯彻执行国家关于国民党抗战老兵等有关人员优待政策并指导实施。</w:t>
      </w:r>
    </w:p>
    <w:p w14:paraId="5804DF0B">
      <w:pPr>
        <w:spacing w:line="560" w:lineRule="exact"/>
        <w:ind w:firstLine="640" w:firstLineChars="200"/>
        <w:rPr>
          <w:rFonts w:ascii="仿宋" w:hAnsi="仿宋" w:eastAsia="仿宋"/>
          <w:sz w:val="32"/>
        </w:rPr>
      </w:pPr>
      <w:r>
        <w:rPr>
          <w:rFonts w:hint="eastAsia" w:ascii="仿宋" w:hAnsi="仿宋" w:eastAsia="仿宋"/>
          <w:sz w:val="32"/>
        </w:rPr>
        <w:t>（八）负责全市烈士及退役军人荣誉奖励、军人公墓管理维护、纪念活动等工作，依法承担英雄烈士保护相关工作，负责列入全省重点保护单位的烈士纪念建筑物名录的申报工作，总结表彰和宣扬退役军人、退役军人工作单位和个人先进典型事迹。</w:t>
      </w:r>
    </w:p>
    <w:p w14:paraId="13B62839">
      <w:pPr>
        <w:spacing w:line="560" w:lineRule="exact"/>
        <w:ind w:firstLine="640" w:firstLineChars="200"/>
        <w:rPr>
          <w:rFonts w:ascii="仿宋" w:hAnsi="仿宋" w:eastAsia="仿宋"/>
          <w:sz w:val="32"/>
        </w:rPr>
      </w:pPr>
      <w:r>
        <w:rPr>
          <w:rFonts w:hint="eastAsia" w:ascii="仿宋" w:hAnsi="仿宋" w:eastAsia="仿宋"/>
          <w:sz w:val="32"/>
        </w:rPr>
        <w:t>（九）指导并监督检查退役军人相关法律法规和政策措施的落实，开展全市退役军人权益维护和有关人员的帮扶援助工作。</w:t>
      </w:r>
    </w:p>
    <w:p w14:paraId="49C6AD1E">
      <w:pPr>
        <w:spacing w:line="560" w:lineRule="exact"/>
        <w:ind w:firstLine="640" w:firstLineChars="200"/>
        <w:rPr>
          <w:rFonts w:ascii="仿宋" w:hAnsi="仿宋" w:eastAsia="仿宋"/>
          <w:sz w:val="32"/>
        </w:rPr>
      </w:pPr>
      <w:r>
        <w:rPr>
          <w:rFonts w:hint="eastAsia" w:ascii="仿宋" w:hAnsi="仿宋" w:eastAsia="仿宋"/>
          <w:sz w:val="32"/>
        </w:rPr>
        <w:t>（十）完成市委和市人民政府交办的其他任务。</w:t>
      </w:r>
    </w:p>
    <w:p w14:paraId="0180657B">
      <w:pPr>
        <w:spacing w:line="560" w:lineRule="exact"/>
        <w:ind w:firstLine="627" w:firstLineChars="196"/>
        <w:rPr>
          <w:rFonts w:ascii="仿宋" w:hAnsi="仿宋" w:eastAsia="仿宋"/>
          <w:sz w:val="32"/>
        </w:rPr>
      </w:pPr>
      <w:r>
        <w:rPr>
          <w:rFonts w:hint="eastAsia" w:ascii="仿宋" w:hAnsi="仿宋" w:eastAsia="仿宋"/>
          <w:sz w:val="32"/>
        </w:rPr>
        <w:t>（十一）职能转变。市</w:t>
      </w:r>
      <w:bookmarkStart w:id="0" w:name="_GoBack"/>
      <w:bookmarkEnd w:id="0"/>
      <w:r>
        <w:rPr>
          <w:rFonts w:hint="eastAsia" w:ascii="仿宋" w:hAnsi="仿宋" w:eastAsia="仿宋"/>
          <w:sz w:val="32"/>
          <w:lang w:eastAsia="zh-CN"/>
        </w:rPr>
        <w:t>退役军人事务局</w:t>
      </w:r>
      <w:r>
        <w:rPr>
          <w:rFonts w:hint="eastAsia" w:ascii="仿宋" w:hAnsi="仿宋" w:eastAsia="仿宋"/>
          <w:sz w:val="32"/>
        </w:rPr>
        <w:t>应牵头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6E758555">
      <w:pPr>
        <w:spacing w:line="560" w:lineRule="exact"/>
        <w:ind w:firstLine="627" w:firstLineChars="196"/>
        <w:rPr>
          <w:rFonts w:ascii="仿宋" w:hAnsi="仿宋" w:eastAsia="仿宋"/>
          <w:sz w:val="32"/>
        </w:rPr>
      </w:pPr>
      <w:r>
        <w:rPr>
          <w:rFonts w:hint="eastAsia" w:ascii="黑体" w:hAnsi="黑体" w:eastAsia="黑体" w:cs="黑体"/>
          <w:sz w:val="32"/>
          <w:szCs w:val="32"/>
        </w:rPr>
        <w:t>二、机构设置</w:t>
      </w:r>
    </w:p>
    <w:p w14:paraId="4450875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本部门共有编制数29人，实有人数26人；内设股室4个，分别为：办公室、思想政治和权益维护股、拥军优抚股、移交安置股4个行政股室；内设正股级机构退役军人服务中心1个。</w:t>
      </w:r>
    </w:p>
    <w:p w14:paraId="02E1A7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本部门包含下属二级预算单位2个，分别为：醴陵市烈士陵园管理所、醴陵市军队离休退休干部休养所</w:t>
      </w:r>
      <w:r>
        <w:rPr>
          <w:rFonts w:hint="eastAsia" w:ascii="仿宋" w:hAnsi="仿宋" w:eastAsia="仿宋" w:cs="仿宋"/>
          <w:sz w:val="32"/>
          <w:szCs w:val="32"/>
          <w:lang w:eastAsia="zh-CN"/>
        </w:rPr>
        <w:t>，均已单独公开</w:t>
      </w:r>
      <w:r>
        <w:rPr>
          <w:rFonts w:hint="eastAsia" w:ascii="仿宋" w:hAnsi="仿宋" w:eastAsia="仿宋" w:cs="仿宋"/>
          <w:sz w:val="32"/>
          <w:szCs w:val="32"/>
        </w:rPr>
        <w:t>。</w:t>
      </w:r>
    </w:p>
    <w:p w14:paraId="212F103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三、部门收支概况</w:t>
      </w:r>
    </w:p>
    <w:p w14:paraId="19ED5A99">
      <w:pPr>
        <w:spacing w:line="560" w:lineRule="exact"/>
        <w:ind w:firstLine="640" w:firstLineChars="200"/>
        <w:rPr>
          <w:rFonts w:ascii="黑体" w:hAnsi="黑体" w:eastAsia="黑体" w:cs="黑体"/>
          <w:sz w:val="32"/>
          <w:szCs w:val="32"/>
        </w:rPr>
      </w:pPr>
      <w:r>
        <w:rPr>
          <w:rFonts w:hint="eastAsia" w:ascii="仿宋" w:hAnsi="仿宋" w:eastAsia="仿宋" w:cs="仿宋"/>
          <w:color w:val="000000"/>
          <w:sz w:val="32"/>
          <w:szCs w:val="32"/>
        </w:rPr>
        <w:t>2021年部门预算编报范围包括局机关及所属二级预算单位。收入包括一般公共预算收入、政府性基金收入、事业单位经营服务等收入；支出既包括保障局机关及直属单位基本运行的经费，也包括归口管理、面向全市分配的专项经费。</w:t>
      </w:r>
    </w:p>
    <w:p w14:paraId="1B1CACF3">
      <w:pPr>
        <w:spacing w:line="560" w:lineRule="exact"/>
        <w:ind w:firstLine="640" w:firstLineChars="200"/>
        <w:rPr>
          <w:rFonts w:ascii="楷体" w:hAnsi="楷体" w:eastAsia="楷体" w:cs="楷体"/>
          <w:sz w:val="32"/>
          <w:szCs w:val="32"/>
        </w:rPr>
      </w:pPr>
      <w:r>
        <w:rPr>
          <w:rFonts w:eastAsia="楷体_GB2312"/>
          <w:bCs/>
          <w:color w:val="000000"/>
          <w:sz w:val="32"/>
          <w:szCs w:val="32"/>
        </w:rPr>
        <w:t>（一）收入预算：</w:t>
      </w:r>
      <w:r>
        <w:rPr>
          <w:rFonts w:hint="eastAsia" w:ascii="仿宋" w:hAnsi="仿宋" w:eastAsia="仿宋" w:cs="仿宋"/>
          <w:kern w:val="0"/>
          <w:sz w:val="32"/>
          <w:szCs w:val="32"/>
        </w:rPr>
        <w:t>2021年年初预算数1152.46万元，其中，一般公共预算拨款1152.46万元；</w:t>
      </w:r>
      <w:r>
        <w:rPr>
          <w:rFonts w:hint="eastAsia" w:ascii="仿宋" w:hAnsi="仿宋" w:eastAsia="仿宋" w:cs="仿宋"/>
          <w:color w:val="000000"/>
          <w:sz w:val="32"/>
          <w:szCs w:val="32"/>
        </w:rPr>
        <w:t>政府性基金拨款0万元；财政专户管理的非税收入拨款0万元；其他收入0万元。因上年结转数暂未最终确定，本年度收支预算中均不含上年结转数字。</w:t>
      </w:r>
    </w:p>
    <w:p w14:paraId="5E677F02">
      <w:pPr>
        <w:spacing w:line="560" w:lineRule="exact"/>
        <w:ind w:firstLine="640" w:firstLineChars="200"/>
        <w:rPr>
          <w:rFonts w:ascii="仿宋" w:hAnsi="仿宋" w:eastAsia="仿宋" w:cs="仿宋"/>
          <w:color w:val="000000"/>
          <w:kern w:val="0"/>
          <w:sz w:val="32"/>
          <w:szCs w:val="32"/>
        </w:rPr>
      </w:pPr>
      <w:r>
        <w:rPr>
          <w:rFonts w:eastAsia="楷体_GB2312"/>
          <w:bCs/>
          <w:color w:val="000000"/>
          <w:sz w:val="32"/>
          <w:szCs w:val="32"/>
        </w:rPr>
        <w:t>（二）支出预算：</w:t>
      </w:r>
      <w:r>
        <w:rPr>
          <w:rFonts w:hint="eastAsia" w:ascii="仿宋" w:hAnsi="仿宋" w:eastAsia="仿宋" w:cs="仿宋"/>
          <w:color w:val="000000"/>
          <w:kern w:val="0"/>
          <w:sz w:val="32"/>
          <w:szCs w:val="32"/>
        </w:rPr>
        <w:t>2021年年初预算数1152.46万元，其中，社会保障和就业支出</w:t>
      </w:r>
      <w:r>
        <w:rPr>
          <w:rFonts w:hint="eastAsia" w:ascii="仿宋" w:hAnsi="仿宋" w:eastAsia="仿宋" w:cs="仿宋"/>
          <w:color w:val="000000"/>
          <w:sz w:val="32"/>
          <w:szCs w:val="32"/>
        </w:rPr>
        <w:t>1143.07万元</w:t>
      </w:r>
      <w:r>
        <w:rPr>
          <w:rFonts w:hint="eastAsia" w:ascii="仿宋" w:hAnsi="仿宋" w:eastAsia="仿宋" w:cs="仿宋"/>
          <w:color w:val="000000"/>
          <w:sz w:val="32"/>
          <w:szCs w:val="32"/>
          <w:lang w:eastAsia="zh-CN"/>
        </w:rPr>
        <w:t>，卫生健康支出9.39</w:t>
      </w:r>
      <w:r>
        <w:rPr>
          <w:rFonts w:hint="eastAsia" w:ascii="仿宋" w:hAnsi="仿宋" w:eastAsia="仿宋" w:cs="仿宋"/>
          <w:color w:val="000000"/>
          <w:sz w:val="32"/>
          <w:szCs w:val="32"/>
          <w:lang w:val="en-US" w:eastAsia="zh-CN"/>
        </w:rPr>
        <w:t>万元</w:t>
      </w:r>
      <w:r>
        <w:rPr>
          <w:rFonts w:hint="eastAsia" w:ascii="仿宋" w:hAnsi="仿宋" w:eastAsia="仿宋" w:cs="仿宋"/>
          <w:color w:val="000000"/>
          <w:sz w:val="32"/>
          <w:szCs w:val="32"/>
        </w:rPr>
        <w:t>。</w:t>
      </w:r>
    </w:p>
    <w:p w14:paraId="1E39525F">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具体安排如下：</w:t>
      </w:r>
    </w:p>
    <w:p w14:paraId="5F0492D5">
      <w:pPr>
        <w:spacing w:line="560"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1</w:t>
      </w:r>
      <w:r>
        <w:rPr>
          <w:rFonts w:hint="eastAsia" w:ascii="仿宋" w:hAnsi="仿宋" w:eastAsia="仿宋" w:cs="仿宋"/>
          <w:color w:val="000000"/>
          <w:kern w:val="0"/>
          <w:sz w:val="32"/>
          <w:szCs w:val="32"/>
        </w:rPr>
        <w:t>．</w:t>
      </w:r>
      <w:r>
        <w:rPr>
          <w:rFonts w:hint="eastAsia" w:ascii="仿宋" w:hAnsi="仿宋" w:eastAsia="仿宋" w:cs="仿宋"/>
          <w:b/>
          <w:bCs/>
          <w:color w:val="000000"/>
          <w:kern w:val="0"/>
          <w:sz w:val="32"/>
          <w:szCs w:val="32"/>
        </w:rPr>
        <w:t>基本支出</w:t>
      </w:r>
      <w:r>
        <w:rPr>
          <w:rFonts w:hint="eastAsia" w:ascii="仿宋" w:hAnsi="仿宋" w:eastAsia="仿宋" w:cs="仿宋"/>
          <w:color w:val="000000"/>
          <w:kern w:val="0"/>
          <w:sz w:val="32"/>
          <w:szCs w:val="32"/>
        </w:rPr>
        <w:t>：2021年年初预算数为636.07万元，</w:t>
      </w:r>
      <w:r>
        <w:rPr>
          <w:rFonts w:hint="eastAsia" w:ascii="仿宋" w:hAnsi="仿宋" w:eastAsia="仿宋" w:cs="仿宋"/>
          <w:color w:val="000000"/>
          <w:sz w:val="32"/>
          <w:szCs w:val="32"/>
        </w:rPr>
        <w:t>是指为保障单位机构正常运转、完成日常工作任务而发生的各项支出，包括用于基本工资、津贴补贴等人员经费以及日常公用经费、工作性专项。</w:t>
      </w:r>
    </w:p>
    <w:p w14:paraId="2FBBB29F">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kern w:val="0"/>
          <w:sz w:val="32"/>
          <w:szCs w:val="32"/>
        </w:rPr>
        <w:t>2</w:t>
      </w:r>
      <w:r>
        <w:rPr>
          <w:rFonts w:hint="eastAsia" w:ascii="仿宋" w:hAnsi="仿宋" w:eastAsia="仿宋" w:cs="仿宋"/>
          <w:color w:val="000000"/>
          <w:kern w:val="0"/>
          <w:sz w:val="32"/>
          <w:szCs w:val="32"/>
        </w:rPr>
        <w:t>．</w:t>
      </w:r>
      <w:r>
        <w:rPr>
          <w:rFonts w:hint="eastAsia" w:ascii="仿宋" w:hAnsi="仿宋" w:eastAsia="仿宋" w:cs="仿宋"/>
          <w:b/>
          <w:bCs/>
          <w:color w:val="000000"/>
          <w:kern w:val="0"/>
          <w:sz w:val="32"/>
          <w:szCs w:val="32"/>
        </w:rPr>
        <w:t>项目支出</w:t>
      </w:r>
      <w:r>
        <w:rPr>
          <w:rFonts w:hint="eastAsia" w:ascii="仿宋" w:hAnsi="仿宋" w:eastAsia="仿宋" w:cs="仿宋"/>
          <w:color w:val="000000"/>
          <w:kern w:val="0"/>
          <w:sz w:val="32"/>
          <w:szCs w:val="32"/>
        </w:rPr>
        <w:t>：2021年年初预算数为516.39万元，</w:t>
      </w:r>
      <w:r>
        <w:rPr>
          <w:rFonts w:hint="eastAsia" w:ascii="仿宋" w:hAnsi="仿宋" w:eastAsia="仿宋" w:cs="仿宋"/>
          <w:color w:val="000000"/>
          <w:sz w:val="32"/>
          <w:szCs w:val="32"/>
        </w:rPr>
        <w:t>是指单位为完成特定行政工作任务或事业发展目标而发生的支出，包括有关事业发展专项、基本建设支出、资本性支出等。其中：</w:t>
      </w:r>
    </w:p>
    <w:p w14:paraId="7715E3A1">
      <w:pPr>
        <w:pStyle w:val="5"/>
        <w:spacing w:line="560" w:lineRule="exact"/>
        <w:ind w:firstLine="640"/>
        <w:rPr>
          <w:rFonts w:hint="default" w:ascii="仿宋" w:hAnsi="仿宋" w:eastAsia="仿宋" w:cs="仿宋"/>
          <w:sz w:val="32"/>
          <w:szCs w:val="32"/>
        </w:rPr>
      </w:pPr>
      <w:r>
        <w:rPr>
          <w:rFonts w:ascii="仿宋" w:hAnsi="仿宋" w:eastAsia="仿宋" w:cs="仿宋"/>
          <w:color w:val="000000"/>
          <w:sz w:val="32"/>
          <w:szCs w:val="32"/>
        </w:rPr>
        <w:t>（1）</w:t>
      </w:r>
      <w:r>
        <w:rPr>
          <w:rFonts w:ascii="仿宋" w:hAnsi="仿宋" w:eastAsia="仿宋" w:cs="仿宋"/>
          <w:sz w:val="32"/>
          <w:szCs w:val="32"/>
        </w:rPr>
        <w:t>一至四级伤残护理专项35.89万元，主要用于发放我市一至四级伤残军人2021年度护理费用。</w:t>
      </w:r>
    </w:p>
    <w:p w14:paraId="35D7C4E1">
      <w:pPr>
        <w:pStyle w:val="5"/>
        <w:spacing w:line="560" w:lineRule="exact"/>
        <w:ind w:firstLine="640"/>
        <w:rPr>
          <w:rFonts w:hint="default" w:ascii="仿宋" w:hAnsi="仿宋" w:eastAsia="仿宋" w:cs="仿宋"/>
          <w:sz w:val="32"/>
          <w:szCs w:val="32"/>
        </w:rPr>
      </w:pPr>
      <w:r>
        <w:rPr>
          <w:rFonts w:ascii="仿宋" w:hAnsi="仿宋" w:eastAsia="仿宋" w:cs="仿宋"/>
          <w:sz w:val="32"/>
          <w:szCs w:val="32"/>
        </w:rPr>
        <w:t>（2）“八一”慰问活动经费专项150万元，主要用于2021年“八一”期间对我市退役军人和其他优抚对象进行走访慰问活动支出。</w:t>
      </w:r>
    </w:p>
    <w:p w14:paraId="00B51400">
      <w:pPr>
        <w:pStyle w:val="5"/>
        <w:spacing w:line="560" w:lineRule="exact"/>
        <w:ind w:firstLine="640"/>
        <w:rPr>
          <w:rFonts w:hint="default" w:ascii="仿宋" w:hAnsi="仿宋" w:eastAsia="仿宋" w:cs="仿宋"/>
          <w:sz w:val="32"/>
          <w:szCs w:val="32"/>
        </w:rPr>
      </w:pPr>
      <w:r>
        <w:rPr>
          <w:rFonts w:ascii="仿宋" w:hAnsi="仿宋" w:eastAsia="仿宋" w:cs="仿宋"/>
          <w:sz w:val="32"/>
          <w:szCs w:val="32"/>
        </w:rPr>
        <w:t>（3）军移地离退休安置专项323.5万元，主要用于2021年度军队离退休人员离退休费用、节日慰问费用和开展活动费用等支出。</w:t>
      </w:r>
    </w:p>
    <w:p w14:paraId="7C5FA5F0">
      <w:pPr>
        <w:pStyle w:val="5"/>
        <w:spacing w:line="560" w:lineRule="exact"/>
        <w:ind w:firstLine="640"/>
        <w:rPr>
          <w:rFonts w:hint="default" w:ascii="仿宋" w:hAnsi="仿宋" w:eastAsia="仿宋" w:cs="仿宋"/>
          <w:sz w:val="32"/>
          <w:szCs w:val="32"/>
        </w:rPr>
      </w:pPr>
      <w:r>
        <w:rPr>
          <w:rFonts w:ascii="仿宋" w:hAnsi="仿宋" w:eastAsia="仿宋" w:cs="仿宋"/>
          <w:sz w:val="32"/>
          <w:szCs w:val="32"/>
        </w:rPr>
        <w:t>（4）烈士公祭专项5万元，主要用于2021年9月30日烈士公祭日烈士陵园开展全市烈士公祭活动费用支出。</w:t>
      </w:r>
    </w:p>
    <w:p w14:paraId="05A29411">
      <w:pPr>
        <w:pStyle w:val="5"/>
        <w:spacing w:line="560" w:lineRule="exact"/>
        <w:ind w:firstLine="640"/>
        <w:rPr>
          <w:rFonts w:hint="default" w:ascii="仿宋" w:hAnsi="仿宋" w:eastAsia="仿宋" w:cs="仿宋"/>
          <w:sz w:val="32"/>
          <w:szCs w:val="32"/>
        </w:rPr>
      </w:pPr>
      <w:r>
        <w:rPr>
          <w:rFonts w:ascii="仿宋" w:hAnsi="仿宋" w:eastAsia="仿宋" w:cs="仿宋"/>
          <w:sz w:val="32"/>
          <w:szCs w:val="32"/>
        </w:rPr>
        <w:t>（5）公厕维护专项2万元，主要用于2021年烈士陵园公厕卫生及设施维修费用。</w:t>
      </w:r>
    </w:p>
    <w:p w14:paraId="137617FC">
      <w:pPr>
        <w:pStyle w:val="5"/>
        <w:spacing w:line="560" w:lineRule="exact"/>
        <w:ind w:firstLine="640"/>
        <w:rPr>
          <w:rFonts w:hint="default" w:ascii="楷体" w:hAnsi="楷体" w:eastAsia="楷体" w:cs="楷体"/>
          <w:sz w:val="32"/>
          <w:szCs w:val="32"/>
        </w:rPr>
      </w:pPr>
      <w:r>
        <w:rPr>
          <w:rFonts w:ascii="楷体" w:hAnsi="楷体" w:eastAsia="楷体" w:cs="楷体"/>
          <w:sz w:val="32"/>
          <w:szCs w:val="32"/>
        </w:rPr>
        <w:t>（三）预算收支增减变化情况说明</w:t>
      </w:r>
    </w:p>
    <w:p w14:paraId="5242361C">
      <w:pPr>
        <w:tabs>
          <w:tab w:val="left" w:pos="7560"/>
        </w:tabs>
        <w:adjustRightInd w:val="0"/>
        <w:snapToGrid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2021年度本单位年初预算数为1152.46万元，比上年增加135.24万元，主要原因是增加了</w:t>
      </w:r>
      <w:r>
        <w:rPr>
          <w:rFonts w:hint="eastAsia" w:ascii="仿宋" w:hAnsi="仿宋" w:eastAsia="仿宋" w:cs="仿宋"/>
          <w:sz w:val="32"/>
          <w:szCs w:val="32"/>
        </w:rPr>
        <w:t>“八一”慰问活动经费专项150万元。</w:t>
      </w:r>
    </w:p>
    <w:p w14:paraId="0187C57C">
      <w:pPr>
        <w:tabs>
          <w:tab w:val="left" w:pos="7560"/>
        </w:tabs>
        <w:adjustRightInd w:val="0"/>
        <w:snapToGrid w:val="0"/>
        <w:spacing w:line="560" w:lineRule="exact"/>
        <w:ind w:firstLine="640" w:firstLineChars="200"/>
        <w:jc w:val="left"/>
        <w:rPr>
          <w:rFonts w:ascii="仿宋" w:hAnsi="仿宋" w:eastAsia="仿宋" w:cs="仿宋"/>
          <w:kern w:val="0"/>
          <w:sz w:val="32"/>
          <w:szCs w:val="32"/>
        </w:rPr>
      </w:pPr>
      <w:r>
        <w:rPr>
          <w:rFonts w:hint="eastAsia" w:ascii="黑体" w:hAnsi="黑体" w:eastAsia="黑体" w:cs="黑体"/>
          <w:sz w:val="32"/>
          <w:szCs w:val="32"/>
        </w:rPr>
        <w:t>四、其他重要事项情况说明</w:t>
      </w:r>
    </w:p>
    <w:p w14:paraId="35884162">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eastAsia="楷体_GB2312"/>
          <w:bCs/>
          <w:color w:val="000000"/>
          <w:sz w:val="32"/>
          <w:szCs w:val="32"/>
        </w:rPr>
        <w:t>（一）机关运行经费：</w:t>
      </w:r>
      <w:r>
        <w:rPr>
          <w:rFonts w:hint="eastAsia" w:ascii="仿宋" w:hAnsi="仿宋" w:eastAsia="仿宋" w:cs="仿宋"/>
          <w:color w:val="000000"/>
          <w:sz w:val="32"/>
          <w:szCs w:val="32"/>
        </w:rPr>
        <w:t>本部门2021年年初预算机关运行经费共安排423.8万元，比上年度预算增加8.99万元，</w:t>
      </w:r>
      <w:r>
        <w:rPr>
          <w:rFonts w:hint="eastAsia" w:ascii="仿宋" w:hAnsi="仿宋" w:eastAsia="仿宋" w:cs="仿宋"/>
          <w:bCs/>
          <w:color w:val="000000"/>
          <w:sz w:val="32"/>
          <w:szCs w:val="32"/>
        </w:rPr>
        <w:t>增加的主要原因是：增加了水电费、零星维修费用等日常运转经费支出。</w:t>
      </w:r>
    </w:p>
    <w:p w14:paraId="203B03AC">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eastAsia="楷体_GB2312"/>
          <w:bCs/>
          <w:color w:val="000000"/>
          <w:sz w:val="32"/>
          <w:szCs w:val="32"/>
        </w:rPr>
        <w:t>（二)政府采购预算：</w:t>
      </w:r>
      <w:r>
        <w:rPr>
          <w:rFonts w:hint="eastAsia" w:ascii="仿宋" w:hAnsi="仿宋" w:eastAsia="仿宋" w:cs="仿宋"/>
          <w:color w:val="000000"/>
          <w:sz w:val="32"/>
          <w:szCs w:val="32"/>
        </w:rPr>
        <w:t>2021年年初预算数为494.77万元。包含：货物类89.57万元、工程类45万元、服务类39.5万元、其他服务类320.7万元。</w:t>
      </w:r>
    </w:p>
    <w:p w14:paraId="10A74E93">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hint="eastAsia" w:ascii="仿宋" w:hAnsi="仿宋" w:eastAsia="仿宋" w:cs="仿宋"/>
          <w:color w:val="000000"/>
          <w:sz w:val="32"/>
          <w:szCs w:val="32"/>
        </w:rPr>
        <w:t>截止2020年12月31日，本部门共有办公及业务用房1100平方米；车辆1 辆，其中一般公务用车1辆、一般执法执勤用车0辆、货币化用车0辆；单位价值200万以上大型设备  0套。2021年部门预算安排购置车辆0辆，预算安排购置价值200万以上大型设备0套。</w:t>
      </w:r>
    </w:p>
    <w:p w14:paraId="25E605BB">
      <w:pPr>
        <w:tabs>
          <w:tab w:val="left" w:pos="7560"/>
        </w:tabs>
        <w:adjustRightInd w:val="0"/>
        <w:snapToGrid w:val="0"/>
        <w:spacing w:line="560" w:lineRule="exact"/>
        <w:ind w:firstLine="640" w:firstLineChars="200"/>
        <w:jc w:val="left"/>
        <w:rPr>
          <w:rFonts w:ascii="仿宋" w:hAnsi="仿宋" w:eastAsia="仿宋" w:cs="仿宋"/>
          <w:b/>
          <w:bCs/>
          <w:color w:val="000000"/>
          <w:sz w:val="32"/>
          <w:szCs w:val="32"/>
        </w:rPr>
      </w:pPr>
      <w:r>
        <w:rPr>
          <w:rFonts w:eastAsia="楷体_GB2312"/>
          <w:bCs/>
          <w:color w:val="000000"/>
          <w:sz w:val="32"/>
          <w:szCs w:val="32"/>
        </w:rPr>
        <w:t>（四）预算绩效目标：</w:t>
      </w:r>
      <w:r>
        <w:rPr>
          <w:rFonts w:hint="eastAsia" w:ascii="仿宋" w:hAnsi="仿宋" w:eastAsia="仿宋" w:cs="仿宋"/>
          <w:color w:val="000000"/>
          <w:sz w:val="32"/>
          <w:szCs w:val="32"/>
        </w:rPr>
        <w:t>本部门整体支出和项目支出实行绩效目标管理，纳入2021年部门整体支出绩效目标的金额为1152.46万元，其中，基本支出636.07万元，项目支出516.39万元。（具体绩效目标详见附表）。 </w:t>
      </w:r>
    </w:p>
    <w:p w14:paraId="668A6247">
      <w:pPr>
        <w:tabs>
          <w:tab w:val="left" w:pos="7560"/>
        </w:tabs>
        <w:adjustRightInd w:val="0"/>
        <w:snapToGrid w:val="0"/>
        <w:spacing w:line="560" w:lineRule="exact"/>
        <w:ind w:firstLine="640" w:firstLineChars="200"/>
        <w:jc w:val="left"/>
        <w:rPr>
          <w:rFonts w:ascii="楷体" w:hAnsi="楷体" w:eastAsia="楷体" w:cs="楷体"/>
          <w:bCs/>
          <w:color w:val="000000"/>
          <w:sz w:val="32"/>
          <w:szCs w:val="32"/>
        </w:rPr>
      </w:pPr>
      <w:r>
        <w:rPr>
          <w:rFonts w:eastAsia="楷体_GB2312"/>
          <w:bCs/>
          <w:color w:val="000000"/>
          <w:sz w:val="32"/>
          <w:szCs w:val="32"/>
        </w:rPr>
        <w:t>（</w:t>
      </w:r>
      <w:r>
        <w:rPr>
          <w:rFonts w:hint="eastAsia" w:ascii="楷体" w:hAnsi="楷体" w:eastAsia="楷体" w:cs="楷体"/>
          <w:bCs/>
          <w:color w:val="000000"/>
          <w:sz w:val="32"/>
          <w:szCs w:val="32"/>
        </w:rPr>
        <w:t>五）“三公”经费预算：</w:t>
      </w:r>
    </w:p>
    <w:p w14:paraId="63E76E54">
      <w:pPr>
        <w:tabs>
          <w:tab w:val="left" w:pos="7560"/>
        </w:tabs>
        <w:adjustRightInd w:val="0"/>
        <w:snapToGrid w:val="0"/>
        <w:spacing w:line="560" w:lineRule="exact"/>
        <w:ind w:firstLine="640" w:firstLineChars="200"/>
        <w:jc w:val="left"/>
        <w:rPr>
          <w:rFonts w:ascii="仿宋" w:hAnsi="仿宋" w:eastAsia="仿宋" w:cs="仿宋"/>
          <w:b/>
          <w:bCs/>
          <w:color w:val="000000"/>
          <w:sz w:val="32"/>
          <w:szCs w:val="32"/>
        </w:rPr>
      </w:pPr>
      <w:r>
        <w:rPr>
          <w:rFonts w:hint="eastAsia" w:ascii="仿宋" w:hAnsi="仿宋" w:eastAsia="仿宋" w:cs="仿宋"/>
          <w:color w:val="000000"/>
          <w:sz w:val="32"/>
          <w:szCs w:val="32"/>
        </w:rPr>
        <w:t>2021年“三公”经费预算数</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万元，其中：公务接待费</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万元、公务用车购置费0万元，公务用车运行费</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万元，因公出国（境）费0万元。2021年公务用车购置数0台。</w:t>
      </w:r>
    </w:p>
    <w:p w14:paraId="546CA1FF">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2021年“三公”经费预算数比2020年减少0.08万元，主要是因为减少公务接待费用0.08万元。</w:t>
      </w:r>
    </w:p>
    <w:p w14:paraId="0E7BC21A">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w:t>
      </w:r>
      <w:r>
        <w:rPr>
          <w:rFonts w:hint="eastAsia" w:ascii="楷体" w:hAnsi="楷体" w:eastAsia="楷体" w:cs="楷体"/>
          <w:bCs/>
          <w:color w:val="000000"/>
          <w:sz w:val="32"/>
          <w:szCs w:val="32"/>
        </w:rPr>
        <w:t>六）会议费、培训费预算</w:t>
      </w:r>
      <w:r>
        <w:rPr>
          <w:rFonts w:eastAsia="楷体_GB2312"/>
          <w:bCs/>
          <w:color w:val="000000"/>
          <w:sz w:val="32"/>
          <w:szCs w:val="32"/>
        </w:rPr>
        <w:t>：</w:t>
      </w:r>
    </w:p>
    <w:p w14:paraId="10367674">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2021年预算安排会议费2万元，主要是2021年度安排镇街各退役军人服务站站长及工作人员50人左右召开退役军人业务工作会议4次，每次会议需场地费、资料费、误餐费预计0.5万元，共需会议费用2万元。</w:t>
      </w:r>
    </w:p>
    <w:p w14:paraId="30B1E93D">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2021年预算安排培训费2万元，主要包括上级通知到各地进行有关业务工作培训10人次，预算每人每次0.2万元，共需培训费用2万元。</w:t>
      </w:r>
    </w:p>
    <w:p w14:paraId="6209C719">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ascii="楷体" w:hAnsi="楷体" w:eastAsia="楷体" w:cs="楷体"/>
          <w:bCs/>
          <w:color w:val="000000"/>
          <w:sz w:val="32"/>
          <w:szCs w:val="32"/>
        </w:rPr>
        <w:t>其他事项</w:t>
      </w:r>
      <w:r>
        <w:rPr>
          <w:rFonts w:eastAsia="楷体_GB2312"/>
          <w:bCs/>
          <w:color w:val="000000"/>
          <w:sz w:val="32"/>
          <w:szCs w:val="32"/>
        </w:rPr>
        <w:t>。</w:t>
      </w:r>
    </w:p>
    <w:p w14:paraId="0536D11E">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本单位2021年预算未安排政府性基金收支预算、未安排纳入专户管理的非税收入拨款预算,本单位无门户网站，已在政府网站统一公开。</w:t>
      </w:r>
    </w:p>
    <w:p w14:paraId="1F176857">
      <w:pPr>
        <w:tabs>
          <w:tab w:val="left" w:pos="7560"/>
        </w:tabs>
        <w:adjustRightInd w:val="0"/>
        <w:snapToGrid w:val="0"/>
        <w:spacing w:line="560" w:lineRule="exact"/>
        <w:ind w:firstLine="640" w:firstLineChars="200"/>
        <w:jc w:val="left"/>
        <w:rPr>
          <w:rFonts w:ascii="仿宋" w:hAnsi="仿宋" w:eastAsia="仿宋" w:cs="仿宋"/>
          <w:sz w:val="32"/>
          <w:szCs w:val="32"/>
        </w:rPr>
      </w:pPr>
    </w:p>
    <w:p w14:paraId="1CD5663E">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14:paraId="7B502E7A">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0B6794E1">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85C3FEB">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14:paraId="19E09035">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56E983D7">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14:paraId="2F9243DA">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14:paraId="587B15A0">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14:paraId="28266224">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784648F5">
      <w:pPr>
        <w:tabs>
          <w:tab w:val="left" w:pos="7560"/>
        </w:tabs>
        <w:adjustRightInd w:val="0"/>
        <w:snapToGrid w:val="0"/>
        <w:spacing w:line="560" w:lineRule="exact"/>
        <w:ind w:firstLine="640" w:firstLineChars="200"/>
        <w:rPr>
          <w:rFonts w:eastAsia="仿宋_GB2312"/>
          <w:sz w:val="32"/>
          <w:szCs w:val="32"/>
        </w:rPr>
      </w:pPr>
    </w:p>
    <w:p w14:paraId="1F4140A8">
      <w:pPr>
        <w:tabs>
          <w:tab w:val="left" w:pos="7560"/>
        </w:tabs>
        <w:adjustRightInd w:val="0"/>
        <w:snapToGrid w:val="0"/>
        <w:spacing w:line="560" w:lineRule="exact"/>
        <w:ind w:firstLine="640" w:firstLineChars="200"/>
        <w:rPr>
          <w:rFonts w:eastAsia="仿宋_GB2312"/>
          <w:sz w:val="32"/>
          <w:szCs w:val="32"/>
        </w:rPr>
      </w:pPr>
    </w:p>
    <w:p w14:paraId="708640A9">
      <w:pPr>
        <w:tabs>
          <w:tab w:val="left" w:pos="7560"/>
        </w:tabs>
        <w:adjustRightInd w:val="0"/>
        <w:snapToGrid w:val="0"/>
        <w:spacing w:line="560" w:lineRule="exact"/>
        <w:ind w:firstLine="640" w:firstLineChars="200"/>
        <w:rPr>
          <w:rFonts w:eastAsia="仿宋_GB2312"/>
          <w:sz w:val="32"/>
          <w:szCs w:val="32"/>
        </w:rPr>
      </w:pPr>
    </w:p>
    <w:p w14:paraId="50E5DEC7">
      <w:pPr>
        <w:tabs>
          <w:tab w:val="left" w:pos="7560"/>
        </w:tabs>
        <w:adjustRightInd w:val="0"/>
        <w:snapToGrid w:val="0"/>
        <w:spacing w:line="560" w:lineRule="exact"/>
        <w:ind w:firstLine="640" w:firstLineChars="200"/>
        <w:rPr>
          <w:rFonts w:eastAsia="仿宋_GB2312"/>
          <w:sz w:val="32"/>
          <w:szCs w:val="32"/>
        </w:rPr>
      </w:pPr>
    </w:p>
    <w:p w14:paraId="0E31CAED">
      <w:pPr>
        <w:tabs>
          <w:tab w:val="left" w:pos="7560"/>
        </w:tabs>
        <w:adjustRightInd w:val="0"/>
        <w:snapToGrid w:val="0"/>
        <w:spacing w:line="560" w:lineRule="exact"/>
        <w:ind w:firstLine="640" w:firstLineChars="200"/>
        <w:rPr>
          <w:rFonts w:eastAsia="仿宋_GB2312"/>
          <w:sz w:val="32"/>
          <w:szCs w:val="32"/>
        </w:rPr>
      </w:pPr>
    </w:p>
    <w:p w14:paraId="58E5202A">
      <w:pPr>
        <w:tabs>
          <w:tab w:val="left" w:pos="7560"/>
        </w:tabs>
        <w:adjustRightInd w:val="0"/>
        <w:snapToGrid w:val="0"/>
        <w:spacing w:line="560" w:lineRule="exact"/>
        <w:ind w:firstLine="640" w:firstLineChars="200"/>
        <w:rPr>
          <w:rFonts w:eastAsia="仿宋_GB2312"/>
          <w:sz w:val="32"/>
          <w:szCs w:val="32"/>
        </w:rPr>
      </w:pPr>
    </w:p>
    <w:p w14:paraId="3528F86A">
      <w:pPr>
        <w:tabs>
          <w:tab w:val="left" w:pos="7560"/>
        </w:tabs>
        <w:adjustRightInd w:val="0"/>
        <w:snapToGrid w:val="0"/>
        <w:spacing w:line="560" w:lineRule="exact"/>
        <w:ind w:firstLine="640" w:firstLineChars="200"/>
        <w:rPr>
          <w:rFonts w:eastAsia="仿宋_GB2312"/>
          <w:sz w:val="32"/>
          <w:szCs w:val="32"/>
        </w:rPr>
      </w:pPr>
    </w:p>
    <w:p w14:paraId="72E75EF0">
      <w:pPr>
        <w:spacing w:line="560" w:lineRule="exac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3411"/>
    <w:multiLevelType w:val="singleLevel"/>
    <w:tmpl w:val="BAB1341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TcxYjgwZDczMWJkZjIxZjAwMTkyNDdmNDM0YTcifQ=="/>
  </w:docVars>
  <w:rsids>
    <w:rsidRoot w:val="00D84058"/>
    <w:rsid w:val="00323B43"/>
    <w:rsid w:val="003D37D8"/>
    <w:rsid w:val="004358AB"/>
    <w:rsid w:val="005553BA"/>
    <w:rsid w:val="006464CA"/>
    <w:rsid w:val="00656DC9"/>
    <w:rsid w:val="0077734D"/>
    <w:rsid w:val="007A2585"/>
    <w:rsid w:val="008B7726"/>
    <w:rsid w:val="009F44EE"/>
    <w:rsid w:val="00A53D53"/>
    <w:rsid w:val="00B221AD"/>
    <w:rsid w:val="00BA5DE5"/>
    <w:rsid w:val="00CB1E75"/>
    <w:rsid w:val="00D84058"/>
    <w:rsid w:val="00DD78B3"/>
    <w:rsid w:val="00E0231B"/>
    <w:rsid w:val="00E315E9"/>
    <w:rsid w:val="04BF714C"/>
    <w:rsid w:val="06576B9B"/>
    <w:rsid w:val="10FC36F0"/>
    <w:rsid w:val="33B83177"/>
    <w:rsid w:val="49781C62"/>
    <w:rsid w:val="4B0B1C14"/>
    <w:rsid w:val="535939F7"/>
    <w:rsid w:val="5CE24758"/>
    <w:rsid w:val="63531F3E"/>
    <w:rsid w:val="6B6C4580"/>
    <w:rsid w:val="6FDC2E8F"/>
    <w:rsid w:val="79BA190B"/>
    <w:rsid w:val="7C2A147F"/>
    <w:rsid w:val="7D431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360" w:lineRule="auto"/>
      <w:ind w:firstLine="600" w:firstLineChars="200"/>
    </w:pPr>
    <w:rPr>
      <w:rFonts w:hint="eastAsia" w:ascii="方正仿宋_GBK" w:eastAsia="方正仿宋_GBK"/>
      <w:sz w:val="3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99"/>
    <w:pPr>
      <w:spacing w:line="240" w:lineRule="auto"/>
      <w:ind w:firstLine="420"/>
    </w:pPr>
    <w:rPr>
      <w:sz w:val="21"/>
    </w:rPr>
  </w:style>
  <w:style w:type="character" w:customStyle="1" w:styleId="8">
    <w:name w:val="页眉 Char"/>
    <w:basedOn w:val="7"/>
    <w:link w:val="4"/>
    <w:semiHidden/>
    <w:qFormat/>
    <w:uiPriority w:val="99"/>
    <w:rPr>
      <w:rFonts w:ascii="Times New Roman" w:hAnsi="Times New Roman" w:eastAsia="宋体" w:cs="Times New Roman"/>
      <w:kern w:val="2"/>
      <w:sz w:val="18"/>
      <w:szCs w:val="18"/>
    </w:rPr>
  </w:style>
  <w:style w:type="character" w:customStyle="1" w:styleId="9">
    <w:name w:val="页脚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3598</Words>
  <Characters>3809</Characters>
  <Lines>28</Lines>
  <Paragraphs>8</Paragraphs>
  <TotalTime>25</TotalTime>
  <ScaleCrop>false</ScaleCrop>
  <LinksUpToDate>false</LinksUpToDate>
  <CharactersWithSpaces>3821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2025-12-25T07:40:18Z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FBA84D8E3DFE4CD3A80E948D110A18BC_13</vt:lpwstr>
  </property>
  <property fmtid="{D5CDD505-2E9C-101B-9397-08002B2CF9AE}" pid="4" name="KSOTemplateDocerSaveRecord">
    <vt:lpwstr>eyJoZGlkIjoiYTIyNWJjZGRhN2Q3ZWE5MmM0ZjliZjJlYWEwN2QzNGMiLCJ1c2VySWQiOiI0MjgyNTI2NzcifQ==</vt:lpwstr>
  </property>
</Properties>
</file>