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36DB7">
      <w:pPr>
        <w:spacing w:line="578" w:lineRule="exact"/>
        <w:ind w:firstLine="640"/>
        <w:jc w:val="left"/>
        <w:rPr>
          <w:rFonts w:cs="Times New Roman"/>
          <w:sz w:val="32"/>
        </w:rPr>
      </w:pPr>
    </w:p>
    <w:p w14:paraId="418053C6">
      <w:pPr>
        <w:adjustRightInd w:val="0"/>
        <w:snapToGrid w:val="0"/>
        <w:spacing w:line="578" w:lineRule="exact"/>
        <w:ind w:firstLine="640"/>
        <w:rPr>
          <w:rFonts w:eastAsia="方正小标宋_GBK" w:cs="Times New Roman"/>
          <w:w w:val="50"/>
          <w:sz w:val="144"/>
        </w:rPr>
      </w:pPr>
      <w:r>
        <w:rPr>
          <w:rFonts w:cs="Times New Roman"/>
          <w:sz w:val="32"/>
        </w:rPr>
        <w:t xml:space="preserve"> </w:t>
      </w:r>
    </w:p>
    <w:p w14:paraId="1ADF8216">
      <w:pPr>
        <w:adjustRightInd w:val="0"/>
        <w:snapToGrid w:val="0"/>
        <w:spacing w:line="578" w:lineRule="exact"/>
        <w:ind w:firstLine="1440"/>
        <w:jc w:val="left"/>
        <w:rPr>
          <w:rFonts w:eastAsia="方正小标宋_GBK" w:cs="Times New Roman"/>
          <w:w w:val="50"/>
          <w:sz w:val="144"/>
        </w:rPr>
      </w:pPr>
    </w:p>
    <w:p w14:paraId="7E015395">
      <w:pPr>
        <w:adjustRightInd w:val="0"/>
        <w:snapToGrid w:val="0"/>
        <w:spacing w:line="578" w:lineRule="exact"/>
        <w:ind w:firstLine="320"/>
        <w:jc w:val="center"/>
        <w:rPr>
          <w:rFonts w:eastAsia="方正小标宋_GBK" w:cs="Times New Roman"/>
          <w:w w:val="50"/>
          <w:sz w:val="32"/>
        </w:rPr>
      </w:pPr>
    </w:p>
    <w:p w14:paraId="41FAE23C">
      <w:pPr>
        <w:adjustRightInd w:val="0"/>
        <w:snapToGrid w:val="0"/>
        <w:spacing w:line="578" w:lineRule="exact"/>
        <w:ind w:firstLine="320"/>
        <w:jc w:val="center"/>
        <w:rPr>
          <w:rFonts w:eastAsia="方正小标宋_GBK" w:cs="Times New Roman"/>
          <w:w w:val="50"/>
          <w:sz w:val="32"/>
        </w:rPr>
      </w:pPr>
    </w:p>
    <w:p w14:paraId="15043157">
      <w:pPr>
        <w:adjustRightInd w:val="0"/>
        <w:snapToGrid w:val="0"/>
        <w:spacing w:line="640" w:lineRule="exact"/>
        <w:ind w:firstLine="320"/>
        <w:jc w:val="center"/>
        <w:rPr>
          <w:rFonts w:eastAsia="方正小标宋_GBK" w:cs="Times New Roman"/>
          <w:w w:val="50"/>
          <w:sz w:val="32"/>
        </w:rPr>
      </w:pPr>
    </w:p>
    <w:p w14:paraId="4BBFBDAC">
      <w:pPr>
        <w:spacing w:line="900" w:lineRule="exact"/>
        <w:ind w:firstLine="0" w:firstLineChars="0"/>
        <w:jc w:val="center"/>
        <w:rPr>
          <w:rFonts w:cs="Times New Roman"/>
          <w:bCs/>
          <w:sz w:val="48"/>
          <w:szCs w:val="56"/>
        </w:rPr>
      </w:pPr>
      <w:r>
        <w:rPr>
          <w:rFonts w:eastAsia="方正小标宋简体" w:cs="Times New Roman"/>
          <w:bCs/>
          <w:sz w:val="56"/>
          <w:szCs w:val="56"/>
        </w:rPr>
        <w:t>湖南省株洲市醴陵市生态文明建设示范市规划（2021—2030年）</w:t>
      </w:r>
    </w:p>
    <w:p w14:paraId="38ACEE12">
      <w:pPr>
        <w:ind w:firstLine="720"/>
        <w:jc w:val="center"/>
        <w:rPr>
          <w:rFonts w:eastAsia="仿宋" w:cs="Times New Roman"/>
          <w:sz w:val="36"/>
          <w:szCs w:val="36"/>
        </w:rPr>
      </w:pPr>
    </w:p>
    <w:p w14:paraId="60DE5089">
      <w:pPr>
        <w:ind w:firstLine="720"/>
        <w:jc w:val="center"/>
        <w:rPr>
          <w:rFonts w:eastAsia="仿宋" w:cs="Times New Roman"/>
          <w:sz w:val="36"/>
          <w:szCs w:val="36"/>
        </w:rPr>
      </w:pPr>
    </w:p>
    <w:p w14:paraId="41AB8904">
      <w:pPr>
        <w:ind w:firstLine="720"/>
        <w:jc w:val="center"/>
        <w:rPr>
          <w:rFonts w:eastAsia="仿宋" w:cs="Times New Roman"/>
          <w:sz w:val="36"/>
          <w:szCs w:val="36"/>
        </w:rPr>
      </w:pPr>
    </w:p>
    <w:p w14:paraId="3950B979">
      <w:pPr>
        <w:ind w:firstLine="720"/>
        <w:jc w:val="center"/>
        <w:rPr>
          <w:rFonts w:eastAsia="仿宋" w:cs="Times New Roman"/>
          <w:sz w:val="36"/>
          <w:szCs w:val="36"/>
        </w:rPr>
      </w:pPr>
    </w:p>
    <w:p w14:paraId="14C8777D">
      <w:pPr>
        <w:ind w:firstLine="720"/>
        <w:jc w:val="center"/>
        <w:rPr>
          <w:rFonts w:eastAsia="仿宋" w:cs="Times New Roman"/>
          <w:sz w:val="36"/>
          <w:szCs w:val="36"/>
        </w:rPr>
      </w:pPr>
    </w:p>
    <w:p w14:paraId="555FDE54">
      <w:pPr>
        <w:ind w:firstLine="720"/>
        <w:jc w:val="center"/>
        <w:rPr>
          <w:rFonts w:eastAsia="仿宋" w:cs="Times New Roman"/>
          <w:sz w:val="36"/>
          <w:szCs w:val="36"/>
        </w:rPr>
      </w:pPr>
    </w:p>
    <w:p w14:paraId="0CA3116A">
      <w:pPr>
        <w:ind w:firstLine="720"/>
        <w:jc w:val="center"/>
        <w:rPr>
          <w:rFonts w:eastAsia="仿宋" w:cs="Times New Roman"/>
          <w:sz w:val="36"/>
          <w:szCs w:val="36"/>
        </w:rPr>
      </w:pPr>
    </w:p>
    <w:p w14:paraId="18F918D6">
      <w:pPr>
        <w:ind w:firstLine="720"/>
        <w:jc w:val="center"/>
        <w:rPr>
          <w:rFonts w:eastAsia="仿宋" w:cs="Times New Roman"/>
          <w:sz w:val="36"/>
          <w:szCs w:val="36"/>
        </w:rPr>
      </w:pPr>
    </w:p>
    <w:p w14:paraId="0CE231BC">
      <w:pPr>
        <w:ind w:firstLine="720"/>
        <w:jc w:val="center"/>
        <w:rPr>
          <w:rFonts w:eastAsia="仿宋" w:cs="Times New Roman"/>
          <w:sz w:val="36"/>
          <w:szCs w:val="36"/>
        </w:rPr>
      </w:pPr>
    </w:p>
    <w:p w14:paraId="38012AEF">
      <w:pPr>
        <w:ind w:firstLine="720"/>
        <w:jc w:val="center"/>
        <w:rPr>
          <w:rFonts w:eastAsia="仿宋" w:cs="Times New Roman"/>
          <w:sz w:val="36"/>
          <w:szCs w:val="36"/>
        </w:rPr>
      </w:pPr>
    </w:p>
    <w:p w14:paraId="3FF14D38">
      <w:pPr>
        <w:ind w:firstLine="0" w:firstLineChars="0"/>
        <w:jc w:val="center"/>
        <w:rPr>
          <w:rFonts w:eastAsia="楷体_GB2312" w:cs="Times New Roman"/>
          <w:sz w:val="36"/>
          <w:szCs w:val="36"/>
        </w:rPr>
      </w:pPr>
      <w:r>
        <w:rPr>
          <w:rFonts w:eastAsia="楷体_GB2312" w:cs="Times New Roman"/>
          <w:sz w:val="36"/>
          <w:szCs w:val="36"/>
        </w:rPr>
        <w:t>醴陵市人民政府</w:t>
      </w:r>
    </w:p>
    <w:p w14:paraId="5FDDDD76">
      <w:pPr>
        <w:ind w:firstLine="0" w:firstLineChars="0"/>
        <w:jc w:val="center"/>
        <w:rPr>
          <w:rFonts w:eastAsia="楷体_GB2312" w:cs="Times New Roman"/>
          <w:sz w:val="36"/>
          <w:szCs w:val="36"/>
        </w:rPr>
      </w:pPr>
      <w:r>
        <w:rPr>
          <w:rFonts w:eastAsia="楷体_GB2312" w:cs="Times New Roman"/>
          <w:sz w:val="36"/>
          <w:szCs w:val="36"/>
        </w:rPr>
        <w:t>二</w:t>
      </w:r>
      <w:r>
        <w:rPr>
          <w:rFonts w:eastAsia="仿宋" w:cs="Times New Roman"/>
          <w:sz w:val="36"/>
          <w:szCs w:val="36"/>
        </w:rPr>
        <w:t>〇</w:t>
      </w:r>
      <w:r>
        <w:rPr>
          <w:rFonts w:eastAsia="楷体_GB2312" w:cs="Times New Roman"/>
          <w:sz w:val="36"/>
          <w:szCs w:val="36"/>
        </w:rPr>
        <w:t>二二年</w:t>
      </w:r>
      <w:r>
        <w:rPr>
          <w:rFonts w:hint="eastAsia" w:eastAsia="楷体_GB2312" w:cs="Times New Roman"/>
          <w:sz w:val="36"/>
          <w:szCs w:val="36"/>
        </w:rPr>
        <w:t>四</w:t>
      </w:r>
      <w:r>
        <w:rPr>
          <w:rFonts w:eastAsia="楷体_GB2312" w:cs="Times New Roman"/>
          <w:sz w:val="36"/>
          <w:szCs w:val="36"/>
        </w:rPr>
        <w:t>月</w:t>
      </w:r>
    </w:p>
    <w:p w14:paraId="01FE7C46">
      <w:pPr>
        <w:ind w:firstLine="560"/>
        <w:rPr>
          <w:rFonts w:cs="Times New Roman"/>
        </w:rPr>
      </w:pPr>
      <w:r>
        <w:rPr>
          <w:rFonts w:cs="Times New Roman"/>
        </w:rPr>
        <w:br w:type="page"/>
      </w:r>
    </w:p>
    <w:p w14:paraId="351BFBC0">
      <w:pPr>
        <w:pStyle w:val="2"/>
        <w:keepNext w:val="0"/>
        <w:keepLines w:val="0"/>
        <w:spacing w:line="578" w:lineRule="exact"/>
        <w:rPr>
          <w:rFonts w:eastAsia="方正小标宋简体" w:cs="Times New Roman"/>
          <w:b w:val="0"/>
          <w:sz w:val="44"/>
          <w:szCs w:val="44"/>
        </w:rPr>
      </w:pPr>
      <w:bookmarkStart w:id="0" w:name="_Toc14751"/>
      <w:bookmarkStart w:id="1" w:name="_Toc57"/>
      <w:bookmarkStart w:id="2" w:name="_Toc101876849"/>
      <w:bookmarkStart w:id="3" w:name="_Toc9227"/>
      <w:bookmarkStart w:id="4" w:name="_Toc31967"/>
      <w:bookmarkStart w:id="5" w:name="_Toc14334"/>
      <w:bookmarkStart w:id="6" w:name="_Toc13913"/>
      <w:r>
        <w:rPr>
          <w:rFonts w:eastAsia="方正小标宋简体" w:cs="Times New Roman"/>
          <w:b w:val="0"/>
          <w:sz w:val="44"/>
          <w:szCs w:val="44"/>
        </w:rPr>
        <w:t>目  录</w:t>
      </w:r>
      <w:bookmarkEnd w:id="0"/>
      <w:bookmarkEnd w:id="1"/>
      <w:bookmarkEnd w:id="2"/>
      <w:bookmarkEnd w:id="3"/>
      <w:bookmarkEnd w:id="4"/>
      <w:bookmarkEnd w:id="5"/>
      <w:bookmarkEnd w:id="6"/>
    </w:p>
    <w:p w14:paraId="47A1D680">
      <w:pPr>
        <w:tabs>
          <w:tab w:val="right" w:leader="middleDot" w:pos="8960"/>
        </w:tabs>
        <w:spacing w:line="600" w:lineRule="exact"/>
        <w:ind w:firstLine="0" w:firstLineChars="0"/>
        <w:rPr>
          <w:sz w:val="32"/>
          <w:szCs w:val="32"/>
        </w:rPr>
      </w:pPr>
      <w:r>
        <w:fldChar w:fldCharType="begin"/>
      </w:r>
      <w:r>
        <w:instrText xml:space="preserve">TOC \o "1-2" \h \u </w:instrText>
      </w:r>
      <w:r>
        <w:fldChar w:fldCharType="separate"/>
      </w:r>
    </w:p>
    <w:p w14:paraId="4381817E">
      <w:pPr>
        <w:tabs>
          <w:tab w:val="right" w:leader="middleDot" w:pos="8960"/>
        </w:tabs>
        <w:spacing w:line="600" w:lineRule="exact"/>
        <w:ind w:firstLine="0" w:firstLineChars="0"/>
        <w:rPr>
          <w:sz w:val="32"/>
          <w:szCs w:val="32"/>
        </w:rPr>
      </w:pPr>
      <w:r>
        <w:fldChar w:fldCharType="begin"/>
      </w:r>
      <w:r>
        <w:instrText xml:space="preserve"> HYPERLINK \l "_Toc101876850" </w:instrText>
      </w:r>
      <w:r>
        <w:fldChar w:fldCharType="separate"/>
      </w:r>
      <w:r>
        <w:rPr>
          <w:rStyle w:val="20"/>
          <w:sz w:val="32"/>
          <w:szCs w:val="32"/>
        </w:rPr>
        <w:t>第一章  工作基础与形势分析</w:t>
      </w:r>
      <w:r>
        <w:rPr>
          <w:rStyle w:val="20"/>
          <w:sz w:val="32"/>
          <w:szCs w:val="32"/>
        </w:rPr>
        <w:tab/>
      </w:r>
      <w:r>
        <w:rPr>
          <w:rStyle w:val="20"/>
          <w:rFonts w:hint="eastAsia"/>
          <w:sz w:val="32"/>
          <w:szCs w:val="32"/>
        </w:rPr>
        <w:t>1</w:t>
      </w:r>
      <w:r>
        <w:rPr>
          <w:rStyle w:val="20"/>
          <w:rFonts w:hint="eastAsia"/>
          <w:sz w:val="32"/>
          <w:szCs w:val="32"/>
        </w:rPr>
        <w:fldChar w:fldCharType="end"/>
      </w:r>
    </w:p>
    <w:p w14:paraId="2414D233">
      <w:pPr>
        <w:tabs>
          <w:tab w:val="right" w:leader="middleDot" w:pos="8960"/>
        </w:tabs>
        <w:spacing w:line="600" w:lineRule="exact"/>
        <w:ind w:firstLine="0" w:firstLineChars="0"/>
        <w:rPr>
          <w:sz w:val="32"/>
          <w:szCs w:val="32"/>
        </w:rPr>
      </w:pPr>
      <w:r>
        <w:fldChar w:fldCharType="begin"/>
      </w:r>
      <w:r>
        <w:instrText xml:space="preserve"> HYPERLINK \l "_Toc101876851" </w:instrText>
      </w:r>
      <w:r>
        <w:fldChar w:fldCharType="separate"/>
      </w:r>
      <w:r>
        <w:rPr>
          <w:rStyle w:val="20"/>
          <w:sz w:val="32"/>
          <w:szCs w:val="32"/>
        </w:rPr>
        <w:t>第一节  建设基础</w:t>
      </w:r>
      <w:r>
        <w:rPr>
          <w:rStyle w:val="20"/>
          <w:sz w:val="32"/>
          <w:szCs w:val="32"/>
        </w:rPr>
        <w:tab/>
      </w:r>
      <w:r>
        <w:rPr>
          <w:rStyle w:val="20"/>
          <w:rFonts w:hint="eastAsia"/>
          <w:sz w:val="32"/>
          <w:szCs w:val="32"/>
        </w:rPr>
        <w:t>1</w:t>
      </w:r>
      <w:r>
        <w:rPr>
          <w:rStyle w:val="20"/>
          <w:rFonts w:hint="eastAsia"/>
          <w:sz w:val="32"/>
          <w:szCs w:val="32"/>
        </w:rPr>
        <w:fldChar w:fldCharType="end"/>
      </w:r>
    </w:p>
    <w:p w14:paraId="76AC38CA">
      <w:pPr>
        <w:tabs>
          <w:tab w:val="right" w:leader="middleDot" w:pos="8960"/>
        </w:tabs>
        <w:spacing w:line="600" w:lineRule="exact"/>
        <w:ind w:firstLine="0" w:firstLineChars="0"/>
        <w:rPr>
          <w:sz w:val="32"/>
          <w:szCs w:val="32"/>
        </w:rPr>
      </w:pPr>
      <w:r>
        <w:fldChar w:fldCharType="begin"/>
      </w:r>
      <w:r>
        <w:instrText xml:space="preserve"> HYPERLINK \l "_Toc101876852" </w:instrText>
      </w:r>
      <w:r>
        <w:fldChar w:fldCharType="separate"/>
      </w:r>
      <w:r>
        <w:rPr>
          <w:rStyle w:val="20"/>
          <w:sz w:val="32"/>
          <w:szCs w:val="32"/>
        </w:rPr>
        <w:t>第二节  存在问题</w:t>
      </w:r>
      <w:r>
        <w:rPr>
          <w:rStyle w:val="20"/>
          <w:sz w:val="32"/>
          <w:szCs w:val="32"/>
        </w:rPr>
        <w:tab/>
      </w:r>
      <w:r>
        <w:rPr>
          <w:rStyle w:val="20"/>
          <w:rFonts w:hint="eastAsia"/>
          <w:sz w:val="32"/>
          <w:szCs w:val="32"/>
        </w:rPr>
        <w:t>4</w:t>
      </w:r>
      <w:r>
        <w:rPr>
          <w:rStyle w:val="20"/>
          <w:rFonts w:hint="eastAsia"/>
          <w:sz w:val="32"/>
          <w:szCs w:val="32"/>
        </w:rPr>
        <w:fldChar w:fldCharType="end"/>
      </w:r>
    </w:p>
    <w:p w14:paraId="18133773">
      <w:pPr>
        <w:tabs>
          <w:tab w:val="right" w:leader="middleDot" w:pos="8960"/>
        </w:tabs>
        <w:spacing w:line="600" w:lineRule="exact"/>
        <w:ind w:firstLine="0" w:firstLineChars="0"/>
        <w:rPr>
          <w:sz w:val="32"/>
          <w:szCs w:val="32"/>
        </w:rPr>
      </w:pPr>
      <w:r>
        <w:fldChar w:fldCharType="begin"/>
      </w:r>
      <w:r>
        <w:instrText xml:space="preserve"> HYPERLINK \l "_Toc101876853" </w:instrText>
      </w:r>
      <w:r>
        <w:fldChar w:fldCharType="separate"/>
      </w:r>
      <w:r>
        <w:rPr>
          <w:rStyle w:val="20"/>
          <w:sz w:val="32"/>
          <w:szCs w:val="32"/>
        </w:rPr>
        <w:t>第三节  机遇与挑战</w:t>
      </w:r>
      <w:r>
        <w:rPr>
          <w:rStyle w:val="20"/>
          <w:sz w:val="32"/>
          <w:szCs w:val="32"/>
        </w:rPr>
        <w:tab/>
      </w:r>
      <w:r>
        <w:rPr>
          <w:rStyle w:val="20"/>
          <w:rFonts w:hint="eastAsia"/>
          <w:sz w:val="32"/>
          <w:szCs w:val="32"/>
        </w:rPr>
        <w:t>5</w:t>
      </w:r>
      <w:r>
        <w:rPr>
          <w:rStyle w:val="20"/>
          <w:rFonts w:hint="eastAsia"/>
          <w:sz w:val="32"/>
          <w:szCs w:val="32"/>
        </w:rPr>
        <w:fldChar w:fldCharType="end"/>
      </w:r>
    </w:p>
    <w:p w14:paraId="0FC4A7AB">
      <w:pPr>
        <w:tabs>
          <w:tab w:val="right" w:leader="middleDot" w:pos="8960"/>
        </w:tabs>
        <w:spacing w:line="600" w:lineRule="exact"/>
        <w:ind w:firstLine="0" w:firstLineChars="0"/>
        <w:rPr>
          <w:sz w:val="32"/>
          <w:szCs w:val="32"/>
        </w:rPr>
      </w:pPr>
      <w:r>
        <w:fldChar w:fldCharType="begin"/>
      </w:r>
      <w:r>
        <w:instrText xml:space="preserve"> HYPERLINK \l "_Toc101876854" </w:instrText>
      </w:r>
      <w:r>
        <w:fldChar w:fldCharType="separate"/>
      </w:r>
      <w:r>
        <w:rPr>
          <w:rStyle w:val="20"/>
          <w:sz w:val="32"/>
          <w:szCs w:val="32"/>
        </w:rPr>
        <w:t>第二章  规划总则</w:t>
      </w:r>
      <w:r>
        <w:rPr>
          <w:rStyle w:val="20"/>
          <w:sz w:val="32"/>
          <w:szCs w:val="32"/>
        </w:rPr>
        <w:tab/>
      </w:r>
      <w:r>
        <w:rPr>
          <w:rStyle w:val="20"/>
          <w:rFonts w:hint="eastAsia"/>
          <w:sz w:val="32"/>
          <w:szCs w:val="32"/>
        </w:rPr>
        <w:t>9</w:t>
      </w:r>
      <w:r>
        <w:rPr>
          <w:rStyle w:val="20"/>
          <w:rFonts w:hint="eastAsia"/>
          <w:sz w:val="32"/>
          <w:szCs w:val="32"/>
        </w:rPr>
        <w:fldChar w:fldCharType="end"/>
      </w:r>
    </w:p>
    <w:p w14:paraId="15821A07">
      <w:pPr>
        <w:tabs>
          <w:tab w:val="right" w:leader="middleDot" w:pos="8960"/>
        </w:tabs>
        <w:spacing w:line="600" w:lineRule="exact"/>
        <w:ind w:firstLine="0" w:firstLineChars="0"/>
        <w:rPr>
          <w:sz w:val="32"/>
          <w:szCs w:val="32"/>
        </w:rPr>
      </w:pPr>
      <w:r>
        <w:fldChar w:fldCharType="begin"/>
      </w:r>
      <w:r>
        <w:instrText xml:space="preserve"> HYPERLINK \l "_Toc101876855" </w:instrText>
      </w:r>
      <w:r>
        <w:fldChar w:fldCharType="separate"/>
      </w:r>
      <w:r>
        <w:rPr>
          <w:rStyle w:val="20"/>
          <w:sz w:val="32"/>
          <w:szCs w:val="32"/>
        </w:rPr>
        <w:t>第一节  指导思想</w:t>
      </w:r>
      <w:r>
        <w:rPr>
          <w:rStyle w:val="20"/>
          <w:sz w:val="32"/>
          <w:szCs w:val="32"/>
        </w:rPr>
        <w:tab/>
      </w:r>
      <w:r>
        <w:rPr>
          <w:rStyle w:val="20"/>
          <w:rFonts w:hint="eastAsia"/>
          <w:sz w:val="32"/>
          <w:szCs w:val="32"/>
        </w:rPr>
        <w:t>9</w:t>
      </w:r>
      <w:r>
        <w:rPr>
          <w:rStyle w:val="20"/>
          <w:rFonts w:hint="eastAsia"/>
          <w:sz w:val="32"/>
          <w:szCs w:val="32"/>
        </w:rPr>
        <w:fldChar w:fldCharType="end"/>
      </w:r>
    </w:p>
    <w:p w14:paraId="1CD039D1">
      <w:pPr>
        <w:tabs>
          <w:tab w:val="right" w:leader="middleDot" w:pos="8960"/>
        </w:tabs>
        <w:spacing w:line="600" w:lineRule="exact"/>
        <w:ind w:firstLine="0" w:firstLineChars="0"/>
        <w:rPr>
          <w:sz w:val="32"/>
          <w:szCs w:val="32"/>
        </w:rPr>
      </w:pPr>
      <w:r>
        <w:fldChar w:fldCharType="begin"/>
      </w:r>
      <w:r>
        <w:instrText xml:space="preserve"> HYPERLINK \l "_Toc101876856" </w:instrText>
      </w:r>
      <w:r>
        <w:fldChar w:fldCharType="separate"/>
      </w:r>
      <w:r>
        <w:rPr>
          <w:rStyle w:val="20"/>
          <w:sz w:val="32"/>
          <w:szCs w:val="32"/>
        </w:rPr>
        <w:t>第二节  规划原则</w:t>
      </w:r>
      <w:r>
        <w:rPr>
          <w:rStyle w:val="20"/>
          <w:sz w:val="32"/>
          <w:szCs w:val="32"/>
        </w:rPr>
        <w:tab/>
      </w:r>
      <w:r>
        <w:rPr>
          <w:rStyle w:val="20"/>
          <w:rFonts w:hint="eastAsia"/>
          <w:sz w:val="32"/>
          <w:szCs w:val="32"/>
        </w:rPr>
        <w:t>9</w:t>
      </w:r>
      <w:r>
        <w:rPr>
          <w:rStyle w:val="20"/>
          <w:rFonts w:hint="eastAsia"/>
          <w:sz w:val="32"/>
          <w:szCs w:val="32"/>
        </w:rPr>
        <w:fldChar w:fldCharType="end"/>
      </w:r>
    </w:p>
    <w:p w14:paraId="127CAA64">
      <w:pPr>
        <w:tabs>
          <w:tab w:val="right" w:leader="middleDot" w:pos="8960"/>
        </w:tabs>
        <w:spacing w:line="600" w:lineRule="exact"/>
        <w:ind w:firstLine="0" w:firstLineChars="0"/>
        <w:rPr>
          <w:sz w:val="32"/>
          <w:szCs w:val="32"/>
        </w:rPr>
      </w:pPr>
      <w:r>
        <w:fldChar w:fldCharType="begin"/>
      </w:r>
      <w:r>
        <w:instrText xml:space="preserve"> HYPERLINK \l "_Toc101876857" </w:instrText>
      </w:r>
      <w:r>
        <w:fldChar w:fldCharType="separate"/>
      </w:r>
      <w:r>
        <w:rPr>
          <w:rStyle w:val="20"/>
          <w:sz w:val="32"/>
          <w:szCs w:val="32"/>
        </w:rPr>
        <w:t>第三节  规划范围</w:t>
      </w:r>
      <w:r>
        <w:rPr>
          <w:rStyle w:val="20"/>
          <w:sz w:val="32"/>
          <w:szCs w:val="32"/>
        </w:rPr>
        <w:tab/>
      </w:r>
      <w:r>
        <w:rPr>
          <w:rStyle w:val="20"/>
          <w:rFonts w:hint="eastAsia"/>
          <w:sz w:val="32"/>
          <w:szCs w:val="32"/>
        </w:rPr>
        <w:t>10</w:t>
      </w:r>
      <w:r>
        <w:rPr>
          <w:rStyle w:val="20"/>
          <w:rFonts w:hint="eastAsia"/>
          <w:sz w:val="32"/>
          <w:szCs w:val="32"/>
        </w:rPr>
        <w:fldChar w:fldCharType="end"/>
      </w:r>
    </w:p>
    <w:p w14:paraId="28BE6CAA">
      <w:pPr>
        <w:tabs>
          <w:tab w:val="right" w:leader="middleDot" w:pos="8960"/>
        </w:tabs>
        <w:spacing w:line="600" w:lineRule="exact"/>
        <w:ind w:firstLine="0" w:firstLineChars="0"/>
        <w:rPr>
          <w:sz w:val="32"/>
          <w:szCs w:val="32"/>
        </w:rPr>
      </w:pPr>
      <w:r>
        <w:fldChar w:fldCharType="begin"/>
      </w:r>
      <w:r>
        <w:instrText xml:space="preserve"> HYPERLINK \l "_Toc101876858" </w:instrText>
      </w:r>
      <w:r>
        <w:fldChar w:fldCharType="separate"/>
      </w:r>
      <w:r>
        <w:rPr>
          <w:rStyle w:val="20"/>
          <w:sz w:val="32"/>
          <w:szCs w:val="32"/>
        </w:rPr>
        <w:t>第四节  编制依据</w:t>
      </w:r>
      <w:r>
        <w:rPr>
          <w:rStyle w:val="20"/>
          <w:sz w:val="32"/>
          <w:szCs w:val="32"/>
        </w:rPr>
        <w:tab/>
      </w:r>
      <w:r>
        <w:rPr>
          <w:rStyle w:val="20"/>
          <w:rFonts w:hint="eastAsia"/>
          <w:sz w:val="32"/>
          <w:szCs w:val="32"/>
        </w:rPr>
        <w:t>10</w:t>
      </w:r>
      <w:r>
        <w:rPr>
          <w:rStyle w:val="20"/>
          <w:rFonts w:hint="eastAsia"/>
          <w:sz w:val="32"/>
          <w:szCs w:val="32"/>
        </w:rPr>
        <w:fldChar w:fldCharType="end"/>
      </w:r>
    </w:p>
    <w:p w14:paraId="044F72DB">
      <w:pPr>
        <w:tabs>
          <w:tab w:val="right" w:leader="middleDot" w:pos="8960"/>
        </w:tabs>
        <w:spacing w:line="600" w:lineRule="exact"/>
        <w:ind w:firstLine="0" w:firstLineChars="0"/>
        <w:rPr>
          <w:sz w:val="32"/>
          <w:szCs w:val="32"/>
        </w:rPr>
      </w:pPr>
      <w:r>
        <w:fldChar w:fldCharType="begin"/>
      </w:r>
      <w:r>
        <w:instrText xml:space="preserve"> HYPERLINK \l "_Toc101876859" </w:instrText>
      </w:r>
      <w:r>
        <w:fldChar w:fldCharType="separate"/>
      </w:r>
      <w:r>
        <w:rPr>
          <w:rStyle w:val="20"/>
          <w:sz w:val="32"/>
          <w:szCs w:val="32"/>
        </w:rPr>
        <w:t>第五节  规划期限</w:t>
      </w:r>
      <w:r>
        <w:rPr>
          <w:rStyle w:val="20"/>
          <w:sz w:val="32"/>
          <w:szCs w:val="32"/>
        </w:rPr>
        <w:tab/>
      </w:r>
      <w:r>
        <w:rPr>
          <w:rStyle w:val="20"/>
          <w:sz w:val="32"/>
          <w:szCs w:val="32"/>
        </w:rPr>
        <w:fldChar w:fldCharType="begin"/>
      </w:r>
      <w:r>
        <w:rPr>
          <w:rStyle w:val="20"/>
          <w:sz w:val="32"/>
          <w:szCs w:val="32"/>
        </w:rPr>
        <w:instrText xml:space="preserve"> PAGEREF _Toc101876859 \h </w:instrText>
      </w:r>
      <w:r>
        <w:rPr>
          <w:rStyle w:val="20"/>
          <w:sz w:val="32"/>
          <w:szCs w:val="32"/>
        </w:rPr>
        <w:fldChar w:fldCharType="separate"/>
      </w:r>
      <w:r>
        <w:rPr>
          <w:rStyle w:val="20"/>
          <w:sz w:val="32"/>
          <w:szCs w:val="32"/>
        </w:rPr>
        <w:t>14</w:t>
      </w:r>
      <w:r>
        <w:rPr>
          <w:rStyle w:val="20"/>
          <w:sz w:val="32"/>
          <w:szCs w:val="32"/>
        </w:rPr>
        <w:fldChar w:fldCharType="end"/>
      </w:r>
      <w:r>
        <w:rPr>
          <w:rStyle w:val="20"/>
          <w:sz w:val="32"/>
          <w:szCs w:val="32"/>
        </w:rPr>
        <w:fldChar w:fldCharType="end"/>
      </w:r>
    </w:p>
    <w:p w14:paraId="60021F0C">
      <w:pPr>
        <w:tabs>
          <w:tab w:val="right" w:leader="middleDot" w:pos="8960"/>
        </w:tabs>
        <w:spacing w:line="600" w:lineRule="exact"/>
        <w:ind w:firstLine="0" w:firstLineChars="0"/>
        <w:rPr>
          <w:sz w:val="32"/>
          <w:szCs w:val="32"/>
        </w:rPr>
      </w:pPr>
      <w:r>
        <w:fldChar w:fldCharType="begin"/>
      </w:r>
      <w:r>
        <w:instrText xml:space="preserve"> HYPERLINK \l "_Toc101876860" </w:instrText>
      </w:r>
      <w:r>
        <w:fldChar w:fldCharType="separate"/>
      </w:r>
      <w:r>
        <w:rPr>
          <w:rStyle w:val="20"/>
          <w:sz w:val="32"/>
          <w:szCs w:val="32"/>
        </w:rPr>
        <w:t>第六节  规划目标</w:t>
      </w:r>
      <w:r>
        <w:rPr>
          <w:rStyle w:val="20"/>
          <w:sz w:val="32"/>
          <w:szCs w:val="32"/>
        </w:rPr>
        <w:tab/>
      </w:r>
      <w:r>
        <w:rPr>
          <w:rStyle w:val="20"/>
          <w:sz w:val="32"/>
          <w:szCs w:val="32"/>
        </w:rPr>
        <w:fldChar w:fldCharType="begin"/>
      </w:r>
      <w:r>
        <w:rPr>
          <w:rStyle w:val="20"/>
          <w:sz w:val="32"/>
          <w:szCs w:val="32"/>
        </w:rPr>
        <w:instrText xml:space="preserve"> PAGEREF _Toc101876860 \h </w:instrText>
      </w:r>
      <w:r>
        <w:rPr>
          <w:rStyle w:val="20"/>
          <w:sz w:val="32"/>
          <w:szCs w:val="32"/>
        </w:rPr>
        <w:fldChar w:fldCharType="separate"/>
      </w:r>
      <w:r>
        <w:rPr>
          <w:rStyle w:val="20"/>
          <w:sz w:val="32"/>
          <w:szCs w:val="32"/>
        </w:rPr>
        <w:t>14</w:t>
      </w:r>
      <w:r>
        <w:rPr>
          <w:rStyle w:val="20"/>
          <w:sz w:val="32"/>
          <w:szCs w:val="32"/>
        </w:rPr>
        <w:fldChar w:fldCharType="end"/>
      </w:r>
      <w:r>
        <w:rPr>
          <w:rStyle w:val="20"/>
          <w:sz w:val="32"/>
          <w:szCs w:val="32"/>
        </w:rPr>
        <w:fldChar w:fldCharType="end"/>
      </w:r>
    </w:p>
    <w:p w14:paraId="165A5792">
      <w:pPr>
        <w:tabs>
          <w:tab w:val="right" w:leader="middleDot" w:pos="8960"/>
        </w:tabs>
        <w:spacing w:line="600" w:lineRule="exact"/>
        <w:ind w:firstLine="0" w:firstLineChars="0"/>
        <w:rPr>
          <w:sz w:val="32"/>
          <w:szCs w:val="32"/>
        </w:rPr>
      </w:pPr>
      <w:r>
        <w:fldChar w:fldCharType="begin"/>
      </w:r>
      <w:r>
        <w:instrText xml:space="preserve"> HYPERLINK \l "_Toc101876861" </w:instrText>
      </w:r>
      <w:r>
        <w:fldChar w:fldCharType="separate"/>
      </w:r>
      <w:r>
        <w:rPr>
          <w:rStyle w:val="20"/>
          <w:sz w:val="32"/>
          <w:szCs w:val="32"/>
        </w:rPr>
        <w:t>第七节  建设指标</w:t>
      </w:r>
      <w:r>
        <w:rPr>
          <w:rStyle w:val="20"/>
          <w:sz w:val="32"/>
          <w:szCs w:val="32"/>
        </w:rPr>
        <w:tab/>
      </w:r>
      <w:r>
        <w:rPr>
          <w:rStyle w:val="20"/>
          <w:rFonts w:hint="eastAsia"/>
          <w:sz w:val="32"/>
          <w:szCs w:val="32"/>
        </w:rPr>
        <w:t>15</w:t>
      </w:r>
      <w:r>
        <w:rPr>
          <w:rStyle w:val="20"/>
          <w:rFonts w:hint="eastAsia"/>
          <w:sz w:val="32"/>
          <w:szCs w:val="32"/>
        </w:rPr>
        <w:fldChar w:fldCharType="end"/>
      </w:r>
    </w:p>
    <w:p w14:paraId="281A8338">
      <w:pPr>
        <w:tabs>
          <w:tab w:val="right" w:leader="middleDot" w:pos="8960"/>
        </w:tabs>
        <w:spacing w:line="600" w:lineRule="exact"/>
        <w:ind w:firstLine="0" w:firstLineChars="0"/>
        <w:rPr>
          <w:sz w:val="32"/>
          <w:szCs w:val="32"/>
        </w:rPr>
      </w:pPr>
      <w:r>
        <w:fldChar w:fldCharType="begin"/>
      </w:r>
      <w:r>
        <w:instrText xml:space="preserve"> HYPERLINK \l "_Toc101876862" </w:instrText>
      </w:r>
      <w:r>
        <w:fldChar w:fldCharType="separate"/>
      </w:r>
      <w:r>
        <w:rPr>
          <w:rStyle w:val="20"/>
          <w:sz w:val="32"/>
          <w:szCs w:val="32"/>
        </w:rPr>
        <w:t>第三章  生态制度体系建设</w:t>
      </w:r>
      <w:r>
        <w:rPr>
          <w:rStyle w:val="20"/>
          <w:sz w:val="32"/>
          <w:szCs w:val="32"/>
        </w:rPr>
        <w:tab/>
      </w:r>
      <w:r>
        <w:rPr>
          <w:rStyle w:val="20"/>
          <w:sz w:val="32"/>
          <w:szCs w:val="32"/>
        </w:rPr>
        <w:fldChar w:fldCharType="begin"/>
      </w:r>
      <w:r>
        <w:rPr>
          <w:rStyle w:val="20"/>
          <w:sz w:val="32"/>
          <w:szCs w:val="32"/>
        </w:rPr>
        <w:instrText xml:space="preserve"> PAGEREF _Toc101876862 \h </w:instrText>
      </w:r>
      <w:r>
        <w:rPr>
          <w:rStyle w:val="20"/>
          <w:sz w:val="32"/>
          <w:szCs w:val="32"/>
        </w:rPr>
        <w:fldChar w:fldCharType="separate"/>
      </w:r>
      <w:r>
        <w:rPr>
          <w:rStyle w:val="20"/>
          <w:sz w:val="32"/>
          <w:szCs w:val="32"/>
        </w:rPr>
        <w:t>22</w:t>
      </w:r>
      <w:r>
        <w:rPr>
          <w:rStyle w:val="20"/>
          <w:sz w:val="32"/>
          <w:szCs w:val="32"/>
        </w:rPr>
        <w:fldChar w:fldCharType="end"/>
      </w:r>
      <w:r>
        <w:rPr>
          <w:rStyle w:val="20"/>
          <w:sz w:val="32"/>
          <w:szCs w:val="32"/>
        </w:rPr>
        <w:fldChar w:fldCharType="end"/>
      </w:r>
    </w:p>
    <w:p w14:paraId="53EA46F2">
      <w:pPr>
        <w:tabs>
          <w:tab w:val="right" w:leader="middleDot" w:pos="8960"/>
        </w:tabs>
        <w:spacing w:line="600" w:lineRule="exact"/>
        <w:ind w:firstLine="0" w:firstLineChars="0"/>
        <w:rPr>
          <w:sz w:val="32"/>
          <w:szCs w:val="32"/>
        </w:rPr>
      </w:pPr>
      <w:r>
        <w:fldChar w:fldCharType="begin"/>
      </w:r>
      <w:r>
        <w:instrText xml:space="preserve"> HYPERLINK \l "_Toc101876863" </w:instrText>
      </w:r>
      <w:r>
        <w:fldChar w:fldCharType="separate"/>
      </w:r>
      <w:r>
        <w:rPr>
          <w:rStyle w:val="20"/>
          <w:sz w:val="32"/>
          <w:szCs w:val="32"/>
        </w:rPr>
        <w:t>第一节  完善生态环境保护制度</w:t>
      </w:r>
      <w:r>
        <w:rPr>
          <w:rStyle w:val="20"/>
          <w:sz w:val="32"/>
          <w:szCs w:val="32"/>
        </w:rPr>
        <w:tab/>
      </w:r>
      <w:r>
        <w:rPr>
          <w:rStyle w:val="20"/>
          <w:sz w:val="32"/>
          <w:szCs w:val="32"/>
        </w:rPr>
        <w:fldChar w:fldCharType="begin"/>
      </w:r>
      <w:r>
        <w:rPr>
          <w:rStyle w:val="20"/>
          <w:sz w:val="32"/>
          <w:szCs w:val="32"/>
        </w:rPr>
        <w:instrText xml:space="preserve"> PAGEREF _Toc101876863 \h </w:instrText>
      </w:r>
      <w:r>
        <w:rPr>
          <w:rStyle w:val="20"/>
          <w:sz w:val="32"/>
          <w:szCs w:val="32"/>
        </w:rPr>
        <w:fldChar w:fldCharType="separate"/>
      </w:r>
      <w:r>
        <w:rPr>
          <w:rStyle w:val="20"/>
          <w:sz w:val="32"/>
          <w:szCs w:val="32"/>
        </w:rPr>
        <w:t>22</w:t>
      </w:r>
      <w:r>
        <w:rPr>
          <w:rStyle w:val="20"/>
          <w:sz w:val="32"/>
          <w:szCs w:val="32"/>
        </w:rPr>
        <w:fldChar w:fldCharType="end"/>
      </w:r>
      <w:r>
        <w:rPr>
          <w:rStyle w:val="20"/>
          <w:sz w:val="32"/>
          <w:szCs w:val="32"/>
        </w:rPr>
        <w:fldChar w:fldCharType="end"/>
      </w:r>
    </w:p>
    <w:p w14:paraId="7E2DAA83">
      <w:pPr>
        <w:tabs>
          <w:tab w:val="right" w:leader="middleDot" w:pos="8960"/>
        </w:tabs>
        <w:spacing w:line="600" w:lineRule="exact"/>
        <w:ind w:firstLine="0" w:firstLineChars="0"/>
        <w:rPr>
          <w:sz w:val="32"/>
          <w:szCs w:val="32"/>
        </w:rPr>
      </w:pPr>
      <w:r>
        <w:fldChar w:fldCharType="begin"/>
      </w:r>
      <w:r>
        <w:instrText xml:space="preserve"> HYPERLINK \l "_Toc101876864" </w:instrText>
      </w:r>
      <w:r>
        <w:fldChar w:fldCharType="separate"/>
      </w:r>
      <w:r>
        <w:rPr>
          <w:rStyle w:val="20"/>
          <w:sz w:val="32"/>
          <w:szCs w:val="32"/>
        </w:rPr>
        <w:t>第二节  建立资源高效利用制度</w:t>
      </w:r>
      <w:r>
        <w:rPr>
          <w:rStyle w:val="20"/>
          <w:sz w:val="32"/>
          <w:szCs w:val="32"/>
        </w:rPr>
        <w:tab/>
      </w:r>
      <w:r>
        <w:rPr>
          <w:rStyle w:val="20"/>
          <w:sz w:val="32"/>
          <w:szCs w:val="32"/>
        </w:rPr>
        <w:fldChar w:fldCharType="begin"/>
      </w:r>
      <w:r>
        <w:rPr>
          <w:rStyle w:val="20"/>
          <w:sz w:val="32"/>
          <w:szCs w:val="32"/>
        </w:rPr>
        <w:instrText xml:space="preserve"> PAGEREF _Toc101876864 \h </w:instrText>
      </w:r>
      <w:r>
        <w:rPr>
          <w:rStyle w:val="20"/>
          <w:sz w:val="32"/>
          <w:szCs w:val="32"/>
        </w:rPr>
        <w:fldChar w:fldCharType="separate"/>
      </w:r>
      <w:r>
        <w:rPr>
          <w:rStyle w:val="20"/>
          <w:sz w:val="32"/>
          <w:szCs w:val="32"/>
        </w:rPr>
        <w:t>23</w:t>
      </w:r>
      <w:r>
        <w:rPr>
          <w:rStyle w:val="20"/>
          <w:sz w:val="32"/>
          <w:szCs w:val="32"/>
        </w:rPr>
        <w:fldChar w:fldCharType="end"/>
      </w:r>
      <w:r>
        <w:rPr>
          <w:rStyle w:val="20"/>
          <w:sz w:val="32"/>
          <w:szCs w:val="32"/>
        </w:rPr>
        <w:fldChar w:fldCharType="end"/>
      </w:r>
    </w:p>
    <w:p w14:paraId="26203C93">
      <w:pPr>
        <w:tabs>
          <w:tab w:val="right" w:leader="middleDot" w:pos="8960"/>
        </w:tabs>
        <w:spacing w:line="600" w:lineRule="exact"/>
        <w:ind w:firstLine="0" w:firstLineChars="0"/>
        <w:rPr>
          <w:sz w:val="32"/>
          <w:szCs w:val="32"/>
        </w:rPr>
      </w:pPr>
      <w:r>
        <w:fldChar w:fldCharType="begin"/>
      </w:r>
      <w:r>
        <w:instrText xml:space="preserve"> HYPERLINK \l "_Toc101876865" </w:instrText>
      </w:r>
      <w:r>
        <w:fldChar w:fldCharType="separate"/>
      </w:r>
      <w:r>
        <w:rPr>
          <w:rStyle w:val="20"/>
          <w:sz w:val="32"/>
          <w:szCs w:val="32"/>
        </w:rPr>
        <w:t>第三节  健全生态保护和修复制度</w:t>
      </w:r>
      <w:r>
        <w:rPr>
          <w:rStyle w:val="20"/>
          <w:sz w:val="32"/>
          <w:szCs w:val="32"/>
        </w:rPr>
        <w:tab/>
      </w:r>
      <w:r>
        <w:rPr>
          <w:rStyle w:val="20"/>
          <w:rFonts w:hint="eastAsia"/>
          <w:sz w:val="32"/>
          <w:szCs w:val="32"/>
        </w:rPr>
        <w:t>25</w:t>
      </w:r>
      <w:r>
        <w:rPr>
          <w:rStyle w:val="20"/>
          <w:rFonts w:hint="eastAsia"/>
          <w:sz w:val="32"/>
          <w:szCs w:val="32"/>
        </w:rPr>
        <w:fldChar w:fldCharType="end"/>
      </w:r>
    </w:p>
    <w:p w14:paraId="191CC66F">
      <w:pPr>
        <w:tabs>
          <w:tab w:val="right" w:leader="middleDot" w:pos="8960"/>
        </w:tabs>
        <w:spacing w:line="600" w:lineRule="exact"/>
        <w:ind w:firstLine="0" w:firstLineChars="0"/>
        <w:rPr>
          <w:sz w:val="32"/>
          <w:szCs w:val="32"/>
        </w:rPr>
      </w:pPr>
      <w:r>
        <w:fldChar w:fldCharType="begin"/>
      </w:r>
      <w:r>
        <w:instrText xml:space="preserve"> HYPERLINK \l "_Toc101876866" </w:instrText>
      </w:r>
      <w:r>
        <w:fldChar w:fldCharType="separate"/>
      </w:r>
      <w:r>
        <w:rPr>
          <w:rStyle w:val="20"/>
          <w:sz w:val="32"/>
          <w:szCs w:val="32"/>
        </w:rPr>
        <w:t>第四节  强化生态环境保护责任制度</w:t>
      </w:r>
      <w:r>
        <w:rPr>
          <w:rStyle w:val="20"/>
          <w:sz w:val="32"/>
          <w:szCs w:val="32"/>
        </w:rPr>
        <w:tab/>
      </w:r>
      <w:r>
        <w:rPr>
          <w:rStyle w:val="20"/>
          <w:rFonts w:hint="eastAsia"/>
          <w:sz w:val="32"/>
          <w:szCs w:val="32"/>
        </w:rPr>
        <w:t>25</w:t>
      </w:r>
      <w:r>
        <w:rPr>
          <w:rStyle w:val="20"/>
          <w:rFonts w:hint="eastAsia"/>
          <w:sz w:val="32"/>
          <w:szCs w:val="32"/>
        </w:rPr>
        <w:fldChar w:fldCharType="end"/>
      </w:r>
    </w:p>
    <w:p w14:paraId="77C146E6">
      <w:pPr>
        <w:tabs>
          <w:tab w:val="right" w:leader="middleDot" w:pos="8960"/>
        </w:tabs>
        <w:spacing w:line="600" w:lineRule="exact"/>
        <w:ind w:firstLine="0" w:firstLineChars="0"/>
        <w:rPr>
          <w:sz w:val="32"/>
          <w:szCs w:val="32"/>
        </w:rPr>
      </w:pPr>
      <w:r>
        <w:fldChar w:fldCharType="begin"/>
      </w:r>
      <w:r>
        <w:instrText xml:space="preserve"> HYPERLINK \l "_Toc101876867" </w:instrText>
      </w:r>
      <w:r>
        <w:fldChar w:fldCharType="separate"/>
      </w:r>
      <w:r>
        <w:rPr>
          <w:rStyle w:val="20"/>
          <w:sz w:val="32"/>
          <w:szCs w:val="32"/>
        </w:rPr>
        <w:t>第五节  构建现代环境治理体系</w:t>
      </w:r>
      <w:r>
        <w:rPr>
          <w:rStyle w:val="20"/>
          <w:sz w:val="32"/>
          <w:szCs w:val="32"/>
        </w:rPr>
        <w:tab/>
      </w:r>
      <w:r>
        <w:rPr>
          <w:rStyle w:val="20"/>
          <w:rFonts w:hint="eastAsia"/>
          <w:sz w:val="32"/>
          <w:szCs w:val="32"/>
        </w:rPr>
        <w:t>27</w:t>
      </w:r>
      <w:r>
        <w:rPr>
          <w:rStyle w:val="20"/>
          <w:rFonts w:hint="eastAsia"/>
          <w:sz w:val="32"/>
          <w:szCs w:val="32"/>
        </w:rPr>
        <w:fldChar w:fldCharType="end"/>
      </w:r>
    </w:p>
    <w:p w14:paraId="0BE9794A">
      <w:pPr>
        <w:tabs>
          <w:tab w:val="right" w:leader="middleDot" w:pos="8960"/>
        </w:tabs>
        <w:spacing w:line="600" w:lineRule="exact"/>
        <w:ind w:firstLine="0" w:firstLineChars="0"/>
        <w:rPr>
          <w:sz w:val="32"/>
          <w:szCs w:val="32"/>
        </w:rPr>
      </w:pPr>
      <w:r>
        <w:fldChar w:fldCharType="begin"/>
      </w:r>
      <w:r>
        <w:instrText xml:space="preserve"> HYPERLINK \l "_Toc101876868" </w:instrText>
      </w:r>
      <w:r>
        <w:fldChar w:fldCharType="separate"/>
      </w:r>
      <w:r>
        <w:rPr>
          <w:rStyle w:val="20"/>
          <w:sz w:val="32"/>
          <w:szCs w:val="32"/>
        </w:rPr>
        <w:t>第四章  生态安全体系建设</w:t>
      </w:r>
      <w:r>
        <w:rPr>
          <w:rStyle w:val="20"/>
          <w:sz w:val="32"/>
          <w:szCs w:val="32"/>
        </w:rPr>
        <w:tab/>
      </w:r>
      <w:r>
        <w:rPr>
          <w:rStyle w:val="20"/>
          <w:sz w:val="32"/>
          <w:szCs w:val="32"/>
        </w:rPr>
        <w:fldChar w:fldCharType="begin"/>
      </w:r>
      <w:r>
        <w:rPr>
          <w:rStyle w:val="20"/>
          <w:sz w:val="32"/>
          <w:szCs w:val="32"/>
        </w:rPr>
        <w:instrText xml:space="preserve"> PAGEREF _Toc101876868 \h </w:instrText>
      </w:r>
      <w:r>
        <w:rPr>
          <w:rStyle w:val="20"/>
          <w:sz w:val="32"/>
          <w:szCs w:val="32"/>
        </w:rPr>
        <w:fldChar w:fldCharType="separate"/>
      </w:r>
      <w:r>
        <w:rPr>
          <w:rStyle w:val="20"/>
          <w:sz w:val="32"/>
          <w:szCs w:val="32"/>
        </w:rPr>
        <w:t>30</w:t>
      </w:r>
      <w:r>
        <w:rPr>
          <w:rStyle w:val="20"/>
          <w:sz w:val="32"/>
          <w:szCs w:val="32"/>
        </w:rPr>
        <w:fldChar w:fldCharType="end"/>
      </w:r>
      <w:r>
        <w:rPr>
          <w:rStyle w:val="20"/>
          <w:sz w:val="32"/>
          <w:szCs w:val="32"/>
        </w:rPr>
        <w:fldChar w:fldCharType="end"/>
      </w:r>
    </w:p>
    <w:p w14:paraId="2D48420F">
      <w:pPr>
        <w:tabs>
          <w:tab w:val="right" w:leader="middleDot" w:pos="8960"/>
        </w:tabs>
        <w:spacing w:line="600" w:lineRule="exact"/>
        <w:ind w:firstLine="0" w:firstLineChars="0"/>
        <w:rPr>
          <w:sz w:val="32"/>
          <w:szCs w:val="32"/>
        </w:rPr>
      </w:pPr>
      <w:r>
        <w:fldChar w:fldCharType="begin"/>
      </w:r>
      <w:r>
        <w:instrText xml:space="preserve"> HYPERLINK \l "_Toc101876869" </w:instrText>
      </w:r>
      <w:r>
        <w:fldChar w:fldCharType="separate"/>
      </w:r>
      <w:r>
        <w:rPr>
          <w:rStyle w:val="20"/>
          <w:sz w:val="32"/>
          <w:szCs w:val="32"/>
        </w:rPr>
        <w:t>第一节  积极应对气候变化</w:t>
      </w:r>
      <w:r>
        <w:rPr>
          <w:rStyle w:val="20"/>
          <w:sz w:val="32"/>
          <w:szCs w:val="32"/>
        </w:rPr>
        <w:tab/>
      </w:r>
      <w:r>
        <w:rPr>
          <w:rStyle w:val="20"/>
          <w:sz w:val="32"/>
          <w:szCs w:val="32"/>
        </w:rPr>
        <w:fldChar w:fldCharType="begin"/>
      </w:r>
      <w:r>
        <w:rPr>
          <w:rStyle w:val="20"/>
          <w:sz w:val="32"/>
          <w:szCs w:val="32"/>
        </w:rPr>
        <w:instrText xml:space="preserve"> PAGEREF _Toc101876869 \h </w:instrText>
      </w:r>
      <w:r>
        <w:rPr>
          <w:rStyle w:val="20"/>
          <w:sz w:val="32"/>
          <w:szCs w:val="32"/>
        </w:rPr>
        <w:fldChar w:fldCharType="separate"/>
      </w:r>
      <w:r>
        <w:rPr>
          <w:rStyle w:val="20"/>
          <w:sz w:val="32"/>
          <w:szCs w:val="32"/>
        </w:rPr>
        <w:t>30</w:t>
      </w:r>
      <w:r>
        <w:rPr>
          <w:rStyle w:val="20"/>
          <w:sz w:val="32"/>
          <w:szCs w:val="32"/>
        </w:rPr>
        <w:fldChar w:fldCharType="end"/>
      </w:r>
      <w:r>
        <w:rPr>
          <w:rStyle w:val="20"/>
          <w:sz w:val="32"/>
          <w:szCs w:val="32"/>
        </w:rPr>
        <w:fldChar w:fldCharType="end"/>
      </w:r>
    </w:p>
    <w:p w14:paraId="2C31D818">
      <w:pPr>
        <w:tabs>
          <w:tab w:val="right" w:leader="middleDot" w:pos="8960"/>
        </w:tabs>
        <w:spacing w:line="600" w:lineRule="exact"/>
        <w:ind w:firstLine="0" w:firstLineChars="0"/>
        <w:rPr>
          <w:sz w:val="32"/>
          <w:szCs w:val="32"/>
        </w:rPr>
      </w:pPr>
      <w:r>
        <w:fldChar w:fldCharType="begin"/>
      </w:r>
      <w:r>
        <w:instrText xml:space="preserve"> HYPERLINK \l "_Toc101876870" </w:instrText>
      </w:r>
      <w:r>
        <w:fldChar w:fldCharType="separate"/>
      </w:r>
      <w:r>
        <w:rPr>
          <w:rStyle w:val="20"/>
          <w:sz w:val="32"/>
          <w:szCs w:val="32"/>
        </w:rPr>
        <w:t>第二节  保持水环境质量稳定</w:t>
      </w:r>
      <w:r>
        <w:rPr>
          <w:rStyle w:val="20"/>
          <w:sz w:val="32"/>
          <w:szCs w:val="32"/>
        </w:rPr>
        <w:tab/>
      </w:r>
      <w:r>
        <w:rPr>
          <w:rStyle w:val="20"/>
          <w:rFonts w:hint="eastAsia"/>
          <w:sz w:val="32"/>
          <w:szCs w:val="32"/>
        </w:rPr>
        <w:t>31</w:t>
      </w:r>
      <w:r>
        <w:rPr>
          <w:rStyle w:val="20"/>
          <w:rFonts w:hint="eastAsia"/>
          <w:sz w:val="32"/>
          <w:szCs w:val="32"/>
        </w:rPr>
        <w:fldChar w:fldCharType="end"/>
      </w:r>
    </w:p>
    <w:p w14:paraId="65181FCD">
      <w:pPr>
        <w:tabs>
          <w:tab w:val="right" w:leader="middleDot" w:pos="8960"/>
        </w:tabs>
        <w:spacing w:line="600" w:lineRule="exact"/>
        <w:ind w:firstLine="0" w:firstLineChars="0"/>
        <w:rPr>
          <w:sz w:val="32"/>
          <w:szCs w:val="32"/>
        </w:rPr>
      </w:pPr>
      <w:r>
        <w:fldChar w:fldCharType="begin"/>
      </w:r>
      <w:r>
        <w:instrText xml:space="preserve"> HYPERLINK \l "_Toc101876871" </w:instrText>
      </w:r>
      <w:r>
        <w:fldChar w:fldCharType="separate"/>
      </w:r>
      <w:r>
        <w:rPr>
          <w:rStyle w:val="20"/>
          <w:sz w:val="32"/>
          <w:szCs w:val="32"/>
        </w:rPr>
        <w:t>第三节  巩固提升大气环境质量</w:t>
      </w:r>
      <w:r>
        <w:rPr>
          <w:rStyle w:val="20"/>
          <w:sz w:val="32"/>
          <w:szCs w:val="32"/>
        </w:rPr>
        <w:tab/>
      </w:r>
      <w:r>
        <w:rPr>
          <w:rStyle w:val="20"/>
          <w:sz w:val="32"/>
          <w:szCs w:val="32"/>
        </w:rPr>
        <w:fldChar w:fldCharType="begin"/>
      </w:r>
      <w:r>
        <w:rPr>
          <w:rStyle w:val="20"/>
          <w:sz w:val="32"/>
          <w:szCs w:val="32"/>
        </w:rPr>
        <w:instrText xml:space="preserve"> PAGEREF _Toc101876871 \h </w:instrText>
      </w:r>
      <w:r>
        <w:rPr>
          <w:rStyle w:val="20"/>
          <w:sz w:val="32"/>
          <w:szCs w:val="32"/>
        </w:rPr>
        <w:fldChar w:fldCharType="separate"/>
      </w:r>
      <w:r>
        <w:rPr>
          <w:rStyle w:val="20"/>
          <w:sz w:val="32"/>
          <w:szCs w:val="32"/>
        </w:rPr>
        <w:t>32</w:t>
      </w:r>
      <w:r>
        <w:rPr>
          <w:rStyle w:val="20"/>
          <w:sz w:val="32"/>
          <w:szCs w:val="32"/>
        </w:rPr>
        <w:fldChar w:fldCharType="end"/>
      </w:r>
      <w:r>
        <w:rPr>
          <w:rStyle w:val="20"/>
          <w:sz w:val="32"/>
          <w:szCs w:val="32"/>
        </w:rPr>
        <w:fldChar w:fldCharType="end"/>
      </w:r>
    </w:p>
    <w:p w14:paraId="1C9A66D0">
      <w:pPr>
        <w:tabs>
          <w:tab w:val="right" w:leader="middleDot" w:pos="8960"/>
        </w:tabs>
        <w:spacing w:line="600" w:lineRule="exact"/>
        <w:ind w:firstLine="0" w:firstLineChars="0"/>
        <w:rPr>
          <w:sz w:val="32"/>
          <w:szCs w:val="32"/>
        </w:rPr>
      </w:pPr>
      <w:r>
        <w:fldChar w:fldCharType="begin"/>
      </w:r>
      <w:r>
        <w:instrText xml:space="preserve"> HYPERLINK \l "_Toc101876872" </w:instrText>
      </w:r>
      <w:r>
        <w:fldChar w:fldCharType="separate"/>
      </w:r>
      <w:r>
        <w:rPr>
          <w:rStyle w:val="20"/>
          <w:sz w:val="32"/>
          <w:szCs w:val="32"/>
        </w:rPr>
        <w:t>第四节  聚力改善土壤环境质量</w:t>
      </w:r>
      <w:r>
        <w:rPr>
          <w:rStyle w:val="20"/>
          <w:sz w:val="32"/>
          <w:szCs w:val="32"/>
        </w:rPr>
        <w:tab/>
      </w:r>
      <w:r>
        <w:rPr>
          <w:rStyle w:val="20"/>
          <w:rFonts w:hint="eastAsia"/>
          <w:sz w:val="32"/>
          <w:szCs w:val="32"/>
        </w:rPr>
        <w:t>33</w:t>
      </w:r>
      <w:r>
        <w:rPr>
          <w:rStyle w:val="20"/>
          <w:rFonts w:hint="eastAsia"/>
          <w:sz w:val="32"/>
          <w:szCs w:val="32"/>
        </w:rPr>
        <w:fldChar w:fldCharType="end"/>
      </w:r>
    </w:p>
    <w:p w14:paraId="27431EE4">
      <w:pPr>
        <w:tabs>
          <w:tab w:val="right" w:leader="middleDot" w:pos="8960"/>
        </w:tabs>
        <w:spacing w:line="600" w:lineRule="exact"/>
        <w:ind w:firstLine="0" w:firstLineChars="0"/>
        <w:rPr>
          <w:sz w:val="32"/>
          <w:szCs w:val="32"/>
        </w:rPr>
      </w:pPr>
      <w:r>
        <w:fldChar w:fldCharType="begin"/>
      </w:r>
      <w:r>
        <w:instrText xml:space="preserve"> HYPERLINK \l "_Toc101876873" </w:instrText>
      </w:r>
      <w:r>
        <w:fldChar w:fldCharType="separate"/>
      </w:r>
      <w:r>
        <w:rPr>
          <w:rStyle w:val="20"/>
          <w:sz w:val="32"/>
          <w:szCs w:val="32"/>
        </w:rPr>
        <w:t>第五节  持续改善声环境质量</w:t>
      </w:r>
      <w:r>
        <w:rPr>
          <w:rStyle w:val="20"/>
          <w:sz w:val="32"/>
          <w:szCs w:val="32"/>
        </w:rPr>
        <w:tab/>
      </w:r>
      <w:r>
        <w:rPr>
          <w:rStyle w:val="20"/>
          <w:rFonts w:hint="eastAsia"/>
          <w:sz w:val="32"/>
          <w:szCs w:val="32"/>
        </w:rPr>
        <w:t>34</w:t>
      </w:r>
      <w:r>
        <w:rPr>
          <w:rStyle w:val="20"/>
          <w:rFonts w:hint="eastAsia"/>
          <w:sz w:val="32"/>
          <w:szCs w:val="32"/>
        </w:rPr>
        <w:fldChar w:fldCharType="end"/>
      </w:r>
    </w:p>
    <w:p w14:paraId="700DEA9D">
      <w:pPr>
        <w:tabs>
          <w:tab w:val="right" w:leader="middleDot" w:pos="8960"/>
        </w:tabs>
        <w:spacing w:line="600" w:lineRule="exact"/>
        <w:ind w:firstLine="0" w:firstLineChars="0"/>
        <w:rPr>
          <w:sz w:val="32"/>
          <w:szCs w:val="32"/>
        </w:rPr>
      </w:pPr>
      <w:r>
        <w:fldChar w:fldCharType="begin"/>
      </w:r>
      <w:r>
        <w:instrText xml:space="preserve"> HYPERLINK \l "_Toc101876874" </w:instrText>
      </w:r>
      <w:r>
        <w:fldChar w:fldCharType="separate"/>
      </w:r>
      <w:r>
        <w:rPr>
          <w:rStyle w:val="20"/>
          <w:sz w:val="32"/>
          <w:szCs w:val="32"/>
        </w:rPr>
        <w:t>第六节  加强生态系统保护与修复</w:t>
      </w:r>
      <w:r>
        <w:rPr>
          <w:rStyle w:val="20"/>
          <w:sz w:val="32"/>
          <w:szCs w:val="32"/>
        </w:rPr>
        <w:tab/>
      </w:r>
      <w:r>
        <w:rPr>
          <w:rStyle w:val="20"/>
          <w:rFonts w:hint="eastAsia"/>
          <w:sz w:val="32"/>
          <w:szCs w:val="32"/>
        </w:rPr>
        <w:t>35</w:t>
      </w:r>
      <w:r>
        <w:rPr>
          <w:rStyle w:val="20"/>
          <w:rFonts w:hint="eastAsia"/>
          <w:sz w:val="32"/>
          <w:szCs w:val="32"/>
        </w:rPr>
        <w:fldChar w:fldCharType="end"/>
      </w:r>
    </w:p>
    <w:p w14:paraId="352FFCD6">
      <w:pPr>
        <w:tabs>
          <w:tab w:val="right" w:leader="middleDot" w:pos="8960"/>
        </w:tabs>
        <w:spacing w:line="600" w:lineRule="exact"/>
        <w:ind w:firstLine="0" w:firstLineChars="0"/>
        <w:rPr>
          <w:sz w:val="32"/>
          <w:szCs w:val="32"/>
        </w:rPr>
      </w:pPr>
      <w:r>
        <w:fldChar w:fldCharType="begin"/>
      </w:r>
      <w:r>
        <w:instrText xml:space="preserve"> HYPERLINK \l "_Toc101876875" </w:instrText>
      </w:r>
      <w:r>
        <w:fldChar w:fldCharType="separate"/>
      </w:r>
      <w:r>
        <w:rPr>
          <w:rStyle w:val="20"/>
          <w:sz w:val="32"/>
          <w:szCs w:val="32"/>
        </w:rPr>
        <w:t>第七</w:t>
      </w:r>
      <w:r>
        <w:rPr>
          <w:rStyle w:val="20"/>
          <w:rFonts w:hint="eastAsia"/>
          <w:sz w:val="32"/>
          <w:szCs w:val="32"/>
        </w:rPr>
        <w:t>节</w:t>
      </w:r>
      <w:r>
        <w:rPr>
          <w:rStyle w:val="20"/>
          <w:sz w:val="32"/>
          <w:szCs w:val="32"/>
        </w:rPr>
        <w:t xml:space="preserve">  防范化解生态环境风险</w:t>
      </w:r>
      <w:r>
        <w:rPr>
          <w:rStyle w:val="20"/>
          <w:sz w:val="32"/>
          <w:szCs w:val="32"/>
        </w:rPr>
        <w:tab/>
      </w:r>
      <w:r>
        <w:rPr>
          <w:rStyle w:val="20"/>
          <w:rFonts w:hint="eastAsia"/>
          <w:sz w:val="32"/>
          <w:szCs w:val="32"/>
        </w:rPr>
        <w:t>36</w:t>
      </w:r>
      <w:r>
        <w:rPr>
          <w:rStyle w:val="20"/>
          <w:rFonts w:hint="eastAsia"/>
          <w:sz w:val="32"/>
          <w:szCs w:val="32"/>
        </w:rPr>
        <w:fldChar w:fldCharType="end"/>
      </w:r>
    </w:p>
    <w:p w14:paraId="4AFCB230">
      <w:pPr>
        <w:tabs>
          <w:tab w:val="right" w:leader="middleDot" w:pos="8960"/>
        </w:tabs>
        <w:spacing w:line="600" w:lineRule="exact"/>
        <w:ind w:firstLine="0" w:firstLineChars="0"/>
        <w:rPr>
          <w:sz w:val="32"/>
          <w:szCs w:val="32"/>
        </w:rPr>
      </w:pPr>
      <w:r>
        <w:fldChar w:fldCharType="begin"/>
      </w:r>
      <w:r>
        <w:instrText xml:space="preserve"> HYPERLINK \l "_Toc101876876" </w:instrText>
      </w:r>
      <w:r>
        <w:fldChar w:fldCharType="separate"/>
      </w:r>
      <w:r>
        <w:rPr>
          <w:rStyle w:val="20"/>
          <w:sz w:val="32"/>
          <w:szCs w:val="32"/>
        </w:rPr>
        <w:t>第五章  生态空间体系建设</w:t>
      </w:r>
      <w:r>
        <w:rPr>
          <w:rStyle w:val="20"/>
          <w:sz w:val="32"/>
          <w:szCs w:val="32"/>
        </w:rPr>
        <w:tab/>
      </w:r>
      <w:r>
        <w:rPr>
          <w:rStyle w:val="20"/>
          <w:rFonts w:hint="eastAsia"/>
          <w:sz w:val="32"/>
          <w:szCs w:val="32"/>
        </w:rPr>
        <w:t>39</w:t>
      </w:r>
      <w:r>
        <w:rPr>
          <w:rStyle w:val="20"/>
          <w:rFonts w:hint="eastAsia"/>
          <w:sz w:val="32"/>
          <w:szCs w:val="32"/>
        </w:rPr>
        <w:fldChar w:fldCharType="end"/>
      </w:r>
    </w:p>
    <w:p w14:paraId="35EF64E0">
      <w:pPr>
        <w:tabs>
          <w:tab w:val="right" w:leader="middleDot" w:pos="8960"/>
        </w:tabs>
        <w:spacing w:line="600" w:lineRule="exact"/>
        <w:ind w:firstLine="0" w:firstLineChars="0"/>
        <w:rPr>
          <w:sz w:val="32"/>
          <w:szCs w:val="32"/>
        </w:rPr>
      </w:pPr>
      <w:r>
        <w:fldChar w:fldCharType="begin"/>
      </w:r>
      <w:r>
        <w:instrText xml:space="preserve"> HYPERLINK \l "_Toc101876877" </w:instrText>
      </w:r>
      <w:r>
        <w:fldChar w:fldCharType="separate"/>
      </w:r>
      <w:r>
        <w:rPr>
          <w:rStyle w:val="20"/>
          <w:sz w:val="32"/>
          <w:szCs w:val="32"/>
        </w:rPr>
        <w:t>第一节  生态空间用途管制</w:t>
      </w:r>
      <w:r>
        <w:rPr>
          <w:rStyle w:val="20"/>
          <w:sz w:val="32"/>
          <w:szCs w:val="32"/>
        </w:rPr>
        <w:tab/>
      </w:r>
      <w:r>
        <w:rPr>
          <w:rStyle w:val="20"/>
          <w:rFonts w:hint="eastAsia"/>
          <w:sz w:val="32"/>
          <w:szCs w:val="32"/>
        </w:rPr>
        <w:t>39</w:t>
      </w:r>
      <w:r>
        <w:rPr>
          <w:rStyle w:val="20"/>
          <w:rFonts w:hint="eastAsia"/>
          <w:sz w:val="32"/>
          <w:szCs w:val="32"/>
        </w:rPr>
        <w:fldChar w:fldCharType="end"/>
      </w:r>
    </w:p>
    <w:p w14:paraId="3711E369">
      <w:pPr>
        <w:tabs>
          <w:tab w:val="right" w:leader="middleDot" w:pos="8960"/>
        </w:tabs>
        <w:spacing w:line="600" w:lineRule="exact"/>
        <w:ind w:firstLine="0" w:firstLineChars="0"/>
        <w:rPr>
          <w:sz w:val="32"/>
          <w:szCs w:val="32"/>
        </w:rPr>
      </w:pPr>
      <w:r>
        <w:fldChar w:fldCharType="begin"/>
      </w:r>
      <w:r>
        <w:instrText xml:space="preserve"> HYPERLINK \l "_Toc101876878" </w:instrText>
      </w:r>
      <w:r>
        <w:fldChar w:fldCharType="separate"/>
      </w:r>
      <w:r>
        <w:rPr>
          <w:rStyle w:val="20"/>
          <w:sz w:val="32"/>
          <w:szCs w:val="32"/>
        </w:rPr>
        <w:t>第二节  自然保护地体系建设</w:t>
      </w:r>
      <w:r>
        <w:rPr>
          <w:rStyle w:val="20"/>
          <w:sz w:val="32"/>
          <w:szCs w:val="32"/>
        </w:rPr>
        <w:tab/>
      </w:r>
      <w:r>
        <w:rPr>
          <w:rStyle w:val="20"/>
          <w:rFonts w:hint="eastAsia"/>
          <w:sz w:val="32"/>
          <w:szCs w:val="32"/>
        </w:rPr>
        <w:t>40</w:t>
      </w:r>
      <w:r>
        <w:rPr>
          <w:rStyle w:val="20"/>
          <w:rFonts w:hint="eastAsia"/>
          <w:sz w:val="32"/>
          <w:szCs w:val="32"/>
        </w:rPr>
        <w:fldChar w:fldCharType="end"/>
      </w:r>
    </w:p>
    <w:p w14:paraId="182E936C">
      <w:pPr>
        <w:tabs>
          <w:tab w:val="right" w:leader="middleDot" w:pos="8960"/>
        </w:tabs>
        <w:spacing w:line="600" w:lineRule="exact"/>
        <w:ind w:firstLine="0" w:firstLineChars="0"/>
        <w:rPr>
          <w:sz w:val="32"/>
          <w:szCs w:val="32"/>
        </w:rPr>
      </w:pPr>
      <w:r>
        <w:fldChar w:fldCharType="begin"/>
      </w:r>
      <w:r>
        <w:instrText xml:space="preserve"> HYPERLINK \l "_Toc101876879" </w:instrText>
      </w:r>
      <w:r>
        <w:fldChar w:fldCharType="separate"/>
      </w:r>
      <w:r>
        <w:rPr>
          <w:rStyle w:val="20"/>
          <w:sz w:val="32"/>
          <w:szCs w:val="32"/>
        </w:rPr>
        <w:t>第三节  国土空间布局优化</w:t>
      </w:r>
      <w:r>
        <w:rPr>
          <w:rStyle w:val="20"/>
          <w:sz w:val="32"/>
          <w:szCs w:val="32"/>
        </w:rPr>
        <w:tab/>
      </w:r>
      <w:r>
        <w:rPr>
          <w:rStyle w:val="20"/>
          <w:sz w:val="32"/>
          <w:szCs w:val="32"/>
        </w:rPr>
        <w:fldChar w:fldCharType="begin"/>
      </w:r>
      <w:r>
        <w:rPr>
          <w:rStyle w:val="20"/>
          <w:sz w:val="32"/>
          <w:szCs w:val="32"/>
        </w:rPr>
        <w:instrText xml:space="preserve"> PAGEREF _Toc101876879 \h </w:instrText>
      </w:r>
      <w:r>
        <w:rPr>
          <w:rStyle w:val="20"/>
          <w:sz w:val="32"/>
          <w:szCs w:val="32"/>
        </w:rPr>
        <w:fldChar w:fldCharType="separate"/>
      </w:r>
      <w:r>
        <w:rPr>
          <w:rStyle w:val="20"/>
          <w:sz w:val="32"/>
          <w:szCs w:val="32"/>
        </w:rPr>
        <w:t>41</w:t>
      </w:r>
      <w:r>
        <w:rPr>
          <w:rStyle w:val="20"/>
          <w:sz w:val="32"/>
          <w:szCs w:val="32"/>
        </w:rPr>
        <w:fldChar w:fldCharType="end"/>
      </w:r>
      <w:r>
        <w:rPr>
          <w:rStyle w:val="20"/>
          <w:sz w:val="32"/>
          <w:szCs w:val="32"/>
        </w:rPr>
        <w:fldChar w:fldCharType="end"/>
      </w:r>
    </w:p>
    <w:p w14:paraId="730CDDBA">
      <w:pPr>
        <w:tabs>
          <w:tab w:val="right" w:leader="middleDot" w:pos="8960"/>
        </w:tabs>
        <w:spacing w:line="600" w:lineRule="exact"/>
        <w:ind w:firstLine="0" w:firstLineChars="0"/>
        <w:rPr>
          <w:sz w:val="32"/>
          <w:szCs w:val="32"/>
        </w:rPr>
      </w:pPr>
      <w:r>
        <w:fldChar w:fldCharType="begin"/>
      </w:r>
      <w:r>
        <w:instrText xml:space="preserve"> HYPERLINK \l "_Toc101876880" </w:instrText>
      </w:r>
      <w:r>
        <w:fldChar w:fldCharType="separate"/>
      </w:r>
      <w:r>
        <w:rPr>
          <w:rStyle w:val="20"/>
          <w:sz w:val="32"/>
          <w:szCs w:val="32"/>
        </w:rPr>
        <w:t>第六章  生态经济体系建设</w:t>
      </w:r>
      <w:r>
        <w:rPr>
          <w:rStyle w:val="20"/>
          <w:sz w:val="32"/>
          <w:szCs w:val="32"/>
        </w:rPr>
        <w:tab/>
      </w:r>
      <w:r>
        <w:rPr>
          <w:rStyle w:val="20"/>
          <w:rFonts w:hint="eastAsia"/>
          <w:sz w:val="32"/>
          <w:szCs w:val="32"/>
        </w:rPr>
        <w:t>43</w:t>
      </w:r>
      <w:r>
        <w:rPr>
          <w:rStyle w:val="20"/>
          <w:rFonts w:hint="eastAsia"/>
          <w:sz w:val="32"/>
          <w:szCs w:val="32"/>
        </w:rPr>
        <w:fldChar w:fldCharType="end"/>
      </w:r>
    </w:p>
    <w:p w14:paraId="31449FC2">
      <w:pPr>
        <w:tabs>
          <w:tab w:val="right" w:leader="middleDot" w:pos="8960"/>
        </w:tabs>
        <w:spacing w:line="600" w:lineRule="exact"/>
        <w:ind w:firstLine="0" w:firstLineChars="0"/>
        <w:rPr>
          <w:sz w:val="32"/>
          <w:szCs w:val="32"/>
        </w:rPr>
      </w:pPr>
      <w:r>
        <w:fldChar w:fldCharType="begin"/>
      </w:r>
      <w:r>
        <w:instrText xml:space="preserve"> HYPERLINK \l "_Toc101876881" </w:instrText>
      </w:r>
      <w:r>
        <w:fldChar w:fldCharType="separate"/>
      </w:r>
      <w:r>
        <w:rPr>
          <w:rStyle w:val="20"/>
          <w:sz w:val="32"/>
          <w:szCs w:val="32"/>
        </w:rPr>
        <w:t>第一节  生态产业发展</w:t>
      </w:r>
      <w:r>
        <w:rPr>
          <w:rStyle w:val="20"/>
          <w:sz w:val="32"/>
          <w:szCs w:val="32"/>
        </w:rPr>
        <w:tab/>
      </w:r>
      <w:r>
        <w:rPr>
          <w:rStyle w:val="20"/>
          <w:rFonts w:hint="eastAsia"/>
          <w:sz w:val="32"/>
          <w:szCs w:val="32"/>
        </w:rPr>
        <w:t>43</w:t>
      </w:r>
      <w:r>
        <w:rPr>
          <w:rStyle w:val="20"/>
          <w:rFonts w:hint="eastAsia"/>
          <w:sz w:val="32"/>
          <w:szCs w:val="32"/>
        </w:rPr>
        <w:fldChar w:fldCharType="end"/>
      </w:r>
    </w:p>
    <w:p w14:paraId="116E51DF">
      <w:pPr>
        <w:tabs>
          <w:tab w:val="right" w:leader="middleDot" w:pos="8960"/>
        </w:tabs>
        <w:spacing w:line="600" w:lineRule="exact"/>
        <w:ind w:firstLine="0" w:firstLineChars="0"/>
        <w:rPr>
          <w:sz w:val="32"/>
          <w:szCs w:val="32"/>
        </w:rPr>
      </w:pPr>
      <w:r>
        <w:fldChar w:fldCharType="begin"/>
      </w:r>
      <w:r>
        <w:instrText xml:space="preserve"> HYPERLINK \l "_Toc101876882" </w:instrText>
      </w:r>
      <w:r>
        <w:fldChar w:fldCharType="separate"/>
      </w:r>
      <w:r>
        <w:rPr>
          <w:rStyle w:val="20"/>
          <w:sz w:val="32"/>
          <w:szCs w:val="32"/>
        </w:rPr>
        <w:t>第二节  产业结构优化</w:t>
      </w:r>
      <w:r>
        <w:rPr>
          <w:rStyle w:val="20"/>
          <w:sz w:val="32"/>
          <w:szCs w:val="32"/>
        </w:rPr>
        <w:tab/>
      </w:r>
      <w:r>
        <w:rPr>
          <w:rStyle w:val="20"/>
          <w:rFonts w:hint="eastAsia"/>
          <w:sz w:val="32"/>
          <w:szCs w:val="32"/>
        </w:rPr>
        <w:t>44</w:t>
      </w:r>
      <w:r>
        <w:rPr>
          <w:rStyle w:val="20"/>
          <w:rFonts w:hint="eastAsia"/>
          <w:sz w:val="32"/>
          <w:szCs w:val="32"/>
        </w:rPr>
        <w:fldChar w:fldCharType="end"/>
      </w:r>
    </w:p>
    <w:p w14:paraId="2DF5C555">
      <w:pPr>
        <w:tabs>
          <w:tab w:val="right" w:leader="middleDot" w:pos="8960"/>
        </w:tabs>
        <w:spacing w:line="600" w:lineRule="exact"/>
        <w:ind w:firstLine="0" w:firstLineChars="0"/>
        <w:rPr>
          <w:sz w:val="32"/>
          <w:szCs w:val="32"/>
        </w:rPr>
      </w:pPr>
      <w:r>
        <w:fldChar w:fldCharType="begin"/>
      </w:r>
      <w:r>
        <w:instrText xml:space="preserve"> HYPERLINK \l "_Toc101876883" </w:instrText>
      </w:r>
      <w:r>
        <w:fldChar w:fldCharType="separate"/>
      </w:r>
      <w:r>
        <w:rPr>
          <w:rStyle w:val="20"/>
          <w:sz w:val="32"/>
          <w:szCs w:val="32"/>
        </w:rPr>
        <w:t>第三节  能源结构调整</w:t>
      </w:r>
      <w:r>
        <w:rPr>
          <w:rStyle w:val="20"/>
          <w:sz w:val="32"/>
          <w:szCs w:val="32"/>
        </w:rPr>
        <w:tab/>
      </w:r>
      <w:r>
        <w:rPr>
          <w:rStyle w:val="20"/>
          <w:rFonts w:hint="eastAsia"/>
          <w:sz w:val="32"/>
          <w:szCs w:val="32"/>
        </w:rPr>
        <w:t>45</w:t>
      </w:r>
      <w:r>
        <w:rPr>
          <w:rStyle w:val="20"/>
          <w:rFonts w:hint="eastAsia"/>
          <w:sz w:val="32"/>
          <w:szCs w:val="32"/>
        </w:rPr>
        <w:fldChar w:fldCharType="end"/>
      </w:r>
    </w:p>
    <w:p w14:paraId="620BBDF4">
      <w:pPr>
        <w:tabs>
          <w:tab w:val="right" w:leader="middleDot" w:pos="8960"/>
        </w:tabs>
        <w:spacing w:line="600" w:lineRule="exact"/>
        <w:ind w:firstLine="0" w:firstLineChars="0"/>
        <w:rPr>
          <w:sz w:val="32"/>
          <w:szCs w:val="32"/>
        </w:rPr>
      </w:pPr>
      <w:r>
        <w:fldChar w:fldCharType="begin"/>
      </w:r>
      <w:r>
        <w:instrText xml:space="preserve"> HYPERLINK \l "_Toc101876884" </w:instrText>
      </w:r>
      <w:r>
        <w:fldChar w:fldCharType="separate"/>
      </w:r>
      <w:r>
        <w:rPr>
          <w:rStyle w:val="20"/>
          <w:sz w:val="32"/>
          <w:szCs w:val="32"/>
        </w:rPr>
        <w:t>第四节  运输结构优化</w:t>
      </w:r>
      <w:r>
        <w:rPr>
          <w:rStyle w:val="20"/>
          <w:sz w:val="32"/>
          <w:szCs w:val="32"/>
        </w:rPr>
        <w:tab/>
      </w:r>
      <w:r>
        <w:rPr>
          <w:rStyle w:val="20"/>
          <w:rFonts w:hint="eastAsia"/>
          <w:sz w:val="32"/>
          <w:szCs w:val="32"/>
        </w:rPr>
        <w:t>46</w:t>
      </w:r>
      <w:r>
        <w:rPr>
          <w:rStyle w:val="20"/>
          <w:rFonts w:hint="eastAsia"/>
          <w:sz w:val="32"/>
          <w:szCs w:val="32"/>
        </w:rPr>
        <w:fldChar w:fldCharType="end"/>
      </w:r>
    </w:p>
    <w:p w14:paraId="6315166D">
      <w:pPr>
        <w:tabs>
          <w:tab w:val="right" w:leader="middleDot" w:pos="8960"/>
        </w:tabs>
        <w:spacing w:line="600" w:lineRule="exact"/>
        <w:ind w:firstLine="0" w:firstLineChars="0"/>
        <w:rPr>
          <w:sz w:val="32"/>
          <w:szCs w:val="32"/>
        </w:rPr>
      </w:pPr>
      <w:r>
        <w:fldChar w:fldCharType="begin"/>
      </w:r>
      <w:r>
        <w:instrText xml:space="preserve"> HYPERLINK \l "_Toc101876885" </w:instrText>
      </w:r>
      <w:r>
        <w:fldChar w:fldCharType="separate"/>
      </w:r>
      <w:r>
        <w:rPr>
          <w:rStyle w:val="20"/>
          <w:sz w:val="32"/>
          <w:szCs w:val="32"/>
        </w:rPr>
        <w:t>第五节  行业清洁化生产</w:t>
      </w:r>
      <w:r>
        <w:rPr>
          <w:rStyle w:val="20"/>
          <w:sz w:val="32"/>
          <w:szCs w:val="32"/>
        </w:rPr>
        <w:tab/>
      </w:r>
      <w:r>
        <w:rPr>
          <w:rStyle w:val="20"/>
          <w:rFonts w:hint="eastAsia"/>
          <w:sz w:val="32"/>
          <w:szCs w:val="32"/>
        </w:rPr>
        <w:t>47</w:t>
      </w:r>
      <w:r>
        <w:rPr>
          <w:rStyle w:val="20"/>
          <w:rFonts w:hint="eastAsia"/>
          <w:sz w:val="32"/>
          <w:szCs w:val="32"/>
        </w:rPr>
        <w:fldChar w:fldCharType="end"/>
      </w:r>
    </w:p>
    <w:p w14:paraId="74D0BD4E">
      <w:pPr>
        <w:tabs>
          <w:tab w:val="right" w:leader="middleDot" w:pos="8960"/>
        </w:tabs>
        <w:spacing w:line="600" w:lineRule="exact"/>
        <w:ind w:firstLine="0" w:firstLineChars="0"/>
        <w:rPr>
          <w:sz w:val="32"/>
          <w:szCs w:val="32"/>
        </w:rPr>
      </w:pPr>
      <w:r>
        <w:fldChar w:fldCharType="begin"/>
      </w:r>
      <w:r>
        <w:instrText xml:space="preserve"> HYPERLINK \l "_Toc101876886" </w:instrText>
      </w:r>
      <w:r>
        <w:fldChar w:fldCharType="separate"/>
      </w:r>
      <w:r>
        <w:rPr>
          <w:rStyle w:val="20"/>
          <w:sz w:val="32"/>
          <w:szCs w:val="32"/>
        </w:rPr>
        <w:t>第六节  园区循环化改造</w:t>
      </w:r>
      <w:r>
        <w:rPr>
          <w:rStyle w:val="20"/>
          <w:sz w:val="32"/>
          <w:szCs w:val="32"/>
        </w:rPr>
        <w:tab/>
      </w:r>
      <w:r>
        <w:rPr>
          <w:rStyle w:val="20"/>
          <w:rFonts w:hint="eastAsia"/>
          <w:sz w:val="32"/>
          <w:szCs w:val="32"/>
        </w:rPr>
        <w:t>48</w:t>
      </w:r>
      <w:r>
        <w:rPr>
          <w:rStyle w:val="20"/>
          <w:rFonts w:hint="eastAsia"/>
          <w:sz w:val="32"/>
          <w:szCs w:val="32"/>
        </w:rPr>
        <w:fldChar w:fldCharType="end"/>
      </w:r>
    </w:p>
    <w:p w14:paraId="6EF7466D">
      <w:pPr>
        <w:tabs>
          <w:tab w:val="right" w:leader="middleDot" w:pos="8960"/>
        </w:tabs>
        <w:spacing w:line="600" w:lineRule="exact"/>
        <w:ind w:firstLine="0" w:firstLineChars="0"/>
        <w:rPr>
          <w:sz w:val="32"/>
          <w:szCs w:val="32"/>
        </w:rPr>
      </w:pPr>
      <w:r>
        <w:rPr>
          <w:sz w:val="32"/>
          <w:szCs w:val="32"/>
        </w:rPr>
        <w:t>第七章  生态生活体系建设</w:t>
      </w:r>
      <w:r>
        <w:rPr>
          <w:sz w:val="32"/>
          <w:szCs w:val="32"/>
        </w:rPr>
        <w:tab/>
      </w:r>
      <w:r>
        <w:rPr>
          <w:rFonts w:hint="eastAsia"/>
          <w:sz w:val="32"/>
          <w:szCs w:val="32"/>
        </w:rPr>
        <w:t>49</w:t>
      </w:r>
    </w:p>
    <w:p w14:paraId="28C50157">
      <w:pPr>
        <w:tabs>
          <w:tab w:val="right" w:leader="middleDot" w:pos="8960"/>
        </w:tabs>
        <w:spacing w:line="600" w:lineRule="exact"/>
        <w:ind w:firstLine="0" w:firstLineChars="0"/>
        <w:rPr>
          <w:rStyle w:val="20"/>
          <w:rFonts w:ascii="仿宋_GB2312"/>
          <w:color w:val="auto"/>
          <w:sz w:val="32"/>
          <w:szCs w:val="32"/>
          <w:u w:val="none"/>
        </w:rPr>
      </w:pPr>
      <w:r>
        <w:rPr>
          <w:rStyle w:val="20"/>
          <w:rFonts w:hint="eastAsia" w:ascii="仿宋_GB2312"/>
          <w:color w:val="auto"/>
          <w:sz w:val="32"/>
          <w:szCs w:val="32"/>
          <w:u w:val="none"/>
        </w:rPr>
        <w:t>第一节  城乡环境一体化建设</w:t>
      </w:r>
      <w:r>
        <w:rPr>
          <w:sz w:val="32"/>
          <w:szCs w:val="32"/>
        </w:rPr>
        <w:tab/>
      </w:r>
      <w:r>
        <w:rPr>
          <w:sz w:val="32"/>
          <w:szCs w:val="32"/>
        </w:rPr>
        <w:t>4</w:t>
      </w:r>
      <w:r>
        <w:rPr>
          <w:rFonts w:hint="eastAsia"/>
          <w:sz w:val="32"/>
          <w:szCs w:val="32"/>
        </w:rPr>
        <w:t>9</w:t>
      </w:r>
    </w:p>
    <w:p w14:paraId="6D36BB41">
      <w:pPr>
        <w:tabs>
          <w:tab w:val="right" w:leader="middleDot" w:pos="8960"/>
        </w:tabs>
        <w:spacing w:line="600" w:lineRule="exact"/>
        <w:ind w:firstLine="0" w:firstLineChars="0"/>
        <w:rPr>
          <w:rStyle w:val="20"/>
          <w:rFonts w:ascii="仿宋_GB2312"/>
          <w:color w:val="auto"/>
          <w:sz w:val="32"/>
          <w:szCs w:val="32"/>
          <w:u w:val="none"/>
        </w:rPr>
      </w:pPr>
      <w:r>
        <w:rPr>
          <w:rStyle w:val="20"/>
          <w:rFonts w:hint="eastAsia" w:ascii="仿宋_GB2312"/>
          <w:color w:val="auto"/>
          <w:sz w:val="32"/>
          <w:szCs w:val="32"/>
          <w:u w:val="none"/>
        </w:rPr>
        <w:t xml:space="preserve">第二节 </w:t>
      </w:r>
      <w:r>
        <w:rPr>
          <w:rStyle w:val="20"/>
          <w:rFonts w:ascii="仿宋_GB2312"/>
          <w:color w:val="auto"/>
          <w:sz w:val="32"/>
          <w:szCs w:val="32"/>
          <w:u w:val="none"/>
        </w:rPr>
        <w:t xml:space="preserve"> 构建绿地生态系统</w:t>
      </w:r>
      <w:r>
        <w:rPr>
          <w:sz w:val="32"/>
          <w:szCs w:val="32"/>
        </w:rPr>
        <w:tab/>
      </w:r>
      <w:r>
        <w:rPr>
          <w:rFonts w:hint="eastAsia"/>
          <w:sz w:val="32"/>
          <w:szCs w:val="32"/>
        </w:rPr>
        <w:t>51</w:t>
      </w:r>
    </w:p>
    <w:p w14:paraId="607951B9">
      <w:pPr>
        <w:tabs>
          <w:tab w:val="right" w:leader="middleDot" w:pos="8960"/>
        </w:tabs>
        <w:spacing w:line="600" w:lineRule="exact"/>
        <w:ind w:firstLine="0" w:firstLineChars="0"/>
        <w:rPr>
          <w:rStyle w:val="20"/>
          <w:rFonts w:ascii="仿宋_GB2312"/>
          <w:color w:val="auto"/>
          <w:sz w:val="32"/>
          <w:szCs w:val="32"/>
          <w:u w:val="none"/>
        </w:rPr>
      </w:pPr>
      <w:r>
        <w:rPr>
          <w:rStyle w:val="20"/>
          <w:rFonts w:hint="eastAsia" w:ascii="仿宋_GB2312"/>
          <w:color w:val="auto"/>
          <w:sz w:val="32"/>
          <w:szCs w:val="32"/>
          <w:u w:val="none"/>
        </w:rPr>
        <w:t xml:space="preserve">第三节  </w:t>
      </w:r>
      <w:r>
        <w:rPr>
          <w:rStyle w:val="20"/>
          <w:rFonts w:ascii="仿宋_GB2312"/>
          <w:color w:val="auto"/>
          <w:sz w:val="32"/>
          <w:szCs w:val="32"/>
          <w:u w:val="none"/>
        </w:rPr>
        <w:t>提升人居环境建设</w:t>
      </w:r>
      <w:r>
        <w:rPr>
          <w:sz w:val="32"/>
          <w:szCs w:val="32"/>
        </w:rPr>
        <w:tab/>
      </w:r>
      <w:r>
        <w:rPr>
          <w:rFonts w:hint="eastAsia"/>
          <w:sz w:val="32"/>
          <w:szCs w:val="32"/>
        </w:rPr>
        <w:t>53</w:t>
      </w:r>
    </w:p>
    <w:p w14:paraId="3BCE797A">
      <w:pPr>
        <w:tabs>
          <w:tab w:val="right" w:leader="middleDot" w:pos="8960"/>
        </w:tabs>
        <w:spacing w:line="600" w:lineRule="exact"/>
        <w:ind w:firstLine="0" w:firstLineChars="0"/>
        <w:rPr>
          <w:rStyle w:val="20"/>
          <w:rFonts w:ascii="仿宋_GB2312"/>
          <w:color w:val="auto"/>
          <w:sz w:val="32"/>
          <w:szCs w:val="32"/>
          <w:u w:val="none"/>
        </w:rPr>
      </w:pPr>
      <w:r>
        <w:rPr>
          <w:rStyle w:val="20"/>
          <w:rFonts w:hint="eastAsia" w:ascii="仿宋_GB2312"/>
          <w:color w:val="auto"/>
          <w:sz w:val="32"/>
          <w:szCs w:val="32"/>
          <w:u w:val="none"/>
        </w:rPr>
        <w:t xml:space="preserve">第四节 </w:t>
      </w:r>
      <w:r>
        <w:rPr>
          <w:rStyle w:val="20"/>
          <w:rFonts w:ascii="仿宋_GB2312"/>
          <w:color w:val="auto"/>
          <w:sz w:val="32"/>
          <w:szCs w:val="32"/>
          <w:u w:val="none"/>
        </w:rPr>
        <w:t xml:space="preserve"> 倡导绿色生活方式</w:t>
      </w:r>
      <w:r>
        <w:rPr>
          <w:sz w:val="32"/>
          <w:szCs w:val="32"/>
        </w:rPr>
        <w:tab/>
      </w:r>
      <w:r>
        <w:rPr>
          <w:rFonts w:hint="eastAsia"/>
          <w:sz w:val="32"/>
          <w:szCs w:val="32"/>
        </w:rPr>
        <w:t>54</w:t>
      </w:r>
    </w:p>
    <w:p w14:paraId="24524DEB">
      <w:pPr>
        <w:tabs>
          <w:tab w:val="right" w:leader="middleDot" w:pos="8960"/>
        </w:tabs>
        <w:spacing w:line="600" w:lineRule="exact"/>
        <w:ind w:firstLine="0" w:firstLineChars="0"/>
        <w:rPr>
          <w:rStyle w:val="20"/>
          <w:rFonts w:ascii="仿宋_GB2312"/>
          <w:color w:val="auto"/>
          <w:sz w:val="32"/>
          <w:szCs w:val="32"/>
          <w:u w:val="none"/>
        </w:rPr>
      </w:pPr>
      <w:r>
        <w:rPr>
          <w:rStyle w:val="20"/>
          <w:rFonts w:hint="eastAsia" w:ascii="仿宋_GB2312"/>
          <w:color w:val="auto"/>
          <w:sz w:val="32"/>
          <w:szCs w:val="32"/>
          <w:u w:val="none"/>
        </w:rPr>
        <w:t xml:space="preserve">第八章 </w:t>
      </w:r>
      <w:r>
        <w:rPr>
          <w:rStyle w:val="20"/>
          <w:rFonts w:ascii="仿宋_GB2312"/>
          <w:color w:val="auto"/>
          <w:sz w:val="32"/>
          <w:szCs w:val="32"/>
          <w:u w:val="none"/>
        </w:rPr>
        <w:t xml:space="preserve"> 生态文化体系建设</w:t>
      </w:r>
      <w:r>
        <w:rPr>
          <w:sz w:val="32"/>
          <w:szCs w:val="32"/>
        </w:rPr>
        <w:tab/>
      </w:r>
      <w:r>
        <w:rPr>
          <w:rFonts w:hint="eastAsia"/>
          <w:sz w:val="32"/>
          <w:szCs w:val="32"/>
        </w:rPr>
        <w:t>56</w:t>
      </w:r>
    </w:p>
    <w:p w14:paraId="4A99DFD7">
      <w:pPr>
        <w:tabs>
          <w:tab w:val="right" w:leader="middleDot" w:pos="8960"/>
        </w:tabs>
        <w:spacing w:line="600" w:lineRule="exact"/>
        <w:ind w:firstLine="0" w:firstLineChars="0"/>
        <w:rPr>
          <w:rStyle w:val="20"/>
          <w:rFonts w:ascii="仿宋_GB2312"/>
          <w:color w:val="auto"/>
          <w:sz w:val="32"/>
          <w:szCs w:val="32"/>
          <w:u w:val="none"/>
        </w:rPr>
      </w:pPr>
      <w:r>
        <w:rPr>
          <w:rStyle w:val="20"/>
          <w:rFonts w:hint="eastAsia" w:ascii="仿宋_GB2312"/>
          <w:color w:val="auto"/>
          <w:sz w:val="32"/>
          <w:szCs w:val="32"/>
          <w:u w:val="none"/>
        </w:rPr>
        <w:t xml:space="preserve">第一节 </w:t>
      </w:r>
      <w:r>
        <w:rPr>
          <w:rStyle w:val="20"/>
          <w:rFonts w:ascii="仿宋_GB2312"/>
          <w:color w:val="auto"/>
          <w:sz w:val="32"/>
          <w:szCs w:val="32"/>
          <w:u w:val="none"/>
        </w:rPr>
        <w:t xml:space="preserve"> 生态文化载体建设</w:t>
      </w:r>
      <w:r>
        <w:rPr>
          <w:sz w:val="32"/>
          <w:szCs w:val="32"/>
        </w:rPr>
        <w:tab/>
      </w:r>
      <w:r>
        <w:rPr>
          <w:rFonts w:hint="eastAsia"/>
          <w:sz w:val="32"/>
          <w:szCs w:val="32"/>
        </w:rPr>
        <w:t>56</w:t>
      </w:r>
    </w:p>
    <w:p w14:paraId="7F925D47">
      <w:pPr>
        <w:tabs>
          <w:tab w:val="right" w:leader="middleDot" w:pos="8960"/>
        </w:tabs>
        <w:spacing w:line="600" w:lineRule="exact"/>
        <w:ind w:firstLine="0" w:firstLineChars="0"/>
        <w:rPr>
          <w:rStyle w:val="20"/>
          <w:rFonts w:ascii="仿宋_GB2312"/>
          <w:color w:val="auto"/>
          <w:sz w:val="32"/>
          <w:szCs w:val="32"/>
          <w:u w:val="none"/>
        </w:rPr>
      </w:pPr>
      <w:r>
        <w:rPr>
          <w:rStyle w:val="20"/>
          <w:rFonts w:hint="eastAsia" w:ascii="仿宋_GB2312"/>
          <w:color w:val="auto"/>
          <w:sz w:val="32"/>
          <w:szCs w:val="32"/>
          <w:u w:val="none"/>
        </w:rPr>
        <w:t xml:space="preserve">第二节 </w:t>
      </w:r>
      <w:r>
        <w:rPr>
          <w:rStyle w:val="20"/>
          <w:rFonts w:ascii="仿宋_GB2312"/>
          <w:color w:val="auto"/>
          <w:sz w:val="32"/>
          <w:szCs w:val="32"/>
          <w:u w:val="none"/>
        </w:rPr>
        <w:t xml:space="preserve"> 生态文明宣传教育</w:t>
      </w:r>
      <w:r>
        <w:rPr>
          <w:sz w:val="32"/>
          <w:szCs w:val="32"/>
        </w:rPr>
        <w:tab/>
      </w:r>
      <w:r>
        <w:rPr>
          <w:rFonts w:hint="eastAsia"/>
          <w:sz w:val="32"/>
          <w:szCs w:val="32"/>
        </w:rPr>
        <w:t>57</w:t>
      </w:r>
    </w:p>
    <w:p w14:paraId="5299938D">
      <w:pPr>
        <w:tabs>
          <w:tab w:val="right" w:leader="middleDot" w:pos="8960"/>
        </w:tabs>
        <w:spacing w:line="600" w:lineRule="exact"/>
        <w:ind w:firstLine="0" w:firstLineChars="0"/>
        <w:rPr>
          <w:sz w:val="32"/>
          <w:szCs w:val="32"/>
        </w:rPr>
      </w:pPr>
      <w:r>
        <w:rPr>
          <w:rStyle w:val="20"/>
          <w:rFonts w:hint="eastAsia" w:ascii="仿宋_GB2312"/>
          <w:color w:val="auto"/>
          <w:sz w:val="32"/>
          <w:szCs w:val="32"/>
          <w:u w:val="none"/>
        </w:rPr>
        <w:t xml:space="preserve">第三节 </w:t>
      </w:r>
      <w:r>
        <w:rPr>
          <w:rStyle w:val="20"/>
          <w:rFonts w:ascii="仿宋_GB2312"/>
          <w:color w:val="auto"/>
          <w:sz w:val="32"/>
          <w:szCs w:val="32"/>
          <w:u w:val="none"/>
        </w:rPr>
        <w:t xml:space="preserve"> 生态文明共建共享</w:t>
      </w:r>
      <w:r>
        <w:rPr>
          <w:sz w:val="32"/>
          <w:szCs w:val="32"/>
        </w:rPr>
        <w:tab/>
      </w:r>
      <w:r>
        <w:rPr>
          <w:rFonts w:hint="eastAsia"/>
          <w:sz w:val="32"/>
          <w:szCs w:val="32"/>
        </w:rPr>
        <w:t>58</w:t>
      </w:r>
    </w:p>
    <w:p w14:paraId="445599E9">
      <w:pPr>
        <w:tabs>
          <w:tab w:val="right" w:leader="middleDot" w:pos="8960"/>
        </w:tabs>
        <w:spacing w:line="600" w:lineRule="exact"/>
        <w:ind w:firstLine="0" w:firstLineChars="0"/>
        <w:rPr>
          <w:sz w:val="32"/>
          <w:szCs w:val="32"/>
        </w:rPr>
      </w:pPr>
      <w:r>
        <w:rPr>
          <w:rFonts w:hint="eastAsia"/>
          <w:sz w:val="32"/>
          <w:szCs w:val="32"/>
        </w:rPr>
        <w:t>第四节  挖掘传统文化内涵</w:t>
      </w:r>
      <w:r>
        <w:rPr>
          <w:sz w:val="32"/>
          <w:szCs w:val="32"/>
        </w:rPr>
        <w:tab/>
      </w:r>
      <w:r>
        <w:rPr>
          <w:rFonts w:hint="eastAsia"/>
          <w:sz w:val="32"/>
          <w:szCs w:val="32"/>
        </w:rPr>
        <w:t>58</w:t>
      </w:r>
    </w:p>
    <w:p w14:paraId="2F8C5DC0">
      <w:pPr>
        <w:tabs>
          <w:tab w:val="right" w:leader="middleDot" w:pos="8960"/>
        </w:tabs>
        <w:spacing w:line="600" w:lineRule="exact"/>
        <w:ind w:firstLine="0" w:firstLineChars="0"/>
        <w:rPr>
          <w:sz w:val="32"/>
          <w:szCs w:val="32"/>
        </w:rPr>
      </w:pPr>
      <w:r>
        <w:fldChar w:fldCharType="begin"/>
      </w:r>
      <w:r>
        <w:instrText xml:space="preserve"> HYPERLINK \l "_Toc101876887" </w:instrText>
      </w:r>
      <w:r>
        <w:fldChar w:fldCharType="separate"/>
      </w:r>
      <w:r>
        <w:rPr>
          <w:rStyle w:val="20"/>
          <w:sz w:val="32"/>
          <w:szCs w:val="32"/>
        </w:rPr>
        <w:t>第九章  重点工程与效益分析</w:t>
      </w:r>
      <w:r>
        <w:rPr>
          <w:rStyle w:val="20"/>
          <w:sz w:val="32"/>
          <w:szCs w:val="32"/>
        </w:rPr>
        <w:tab/>
      </w:r>
      <w:r>
        <w:rPr>
          <w:rStyle w:val="20"/>
          <w:rFonts w:hint="eastAsia"/>
          <w:sz w:val="32"/>
          <w:szCs w:val="32"/>
        </w:rPr>
        <w:t>60</w:t>
      </w:r>
      <w:r>
        <w:rPr>
          <w:rStyle w:val="20"/>
          <w:rFonts w:hint="eastAsia"/>
          <w:sz w:val="32"/>
          <w:szCs w:val="32"/>
        </w:rPr>
        <w:fldChar w:fldCharType="end"/>
      </w:r>
    </w:p>
    <w:p w14:paraId="5C238A6E">
      <w:pPr>
        <w:tabs>
          <w:tab w:val="right" w:leader="middleDot" w:pos="8960"/>
        </w:tabs>
        <w:spacing w:line="600" w:lineRule="exact"/>
        <w:ind w:firstLine="0" w:firstLineChars="0"/>
        <w:rPr>
          <w:sz w:val="32"/>
          <w:szCs w:val="32"/>
        </w:rPr>
      </w:pPr>
      <w:r>
        <w:fldChar w:fldCharType="begin"/>
      </w:r>
      <w:r>
        <w:instrText xml:space="preserve"> HYPERLINK \l "_Toc101876888" </w:instrText>
      </w:r>
      <w:r>
        <w:fldChar w:fldCharType="separate"/>
      </w:r>
      <w:r>
        <w:rPr>
          <w:rStyle w:val="20"/>
          <w:sz w:val="32"/>
          <w:szCs w:val="32"/>
        </w:rPr>
        <w:t>第一节 工程内容与投资估算</w:t>
      </w:r>
      <w:r>
        <w:rPr>
          <w:rStyle w:val="20"/>
          <w:sz w:val="32"/>
          <w:szCs w:val="32"/>
        </w:rPr>
        <w:tab/>
      </w:r>
      <w:r>
        <w:rPr>
          <w:rStyle w:val="20"/>
          <w:rFonts w:hint="eastAsia"/>
          <w:sz w:val="32"/>
          <w:szCs w:val="32"/>
        </w:rPr>
        <w:t>60</w:t>
      </w:r>
      <w:r>
        <w:rPr>
          <w:rStyle w:val="20"/>
          <w:rFonts w:hint="eastAsia"/>
          <w:sz w:val="32"/>
          <w:szCs w:val="32"/>
        </w:rPr>
        <w:fldChar w:fldCharType="end"/>
      </w:r>
    </w:p>
    <w:p w14:paraId="580E508B">
      <w:pPr>
        <w:tabs>
          <w:tab w:val="right" w:leader="middleDot" w:pos="8960"/>
        </w:tabs>
        <w:spacing w:line="600" w:lineRule="exact"/>
        <w:ind w:firstLine="0" w:firstLineChars="0"/>
        <w:rPr>
          <w:sz w:val="32"/>
          <w:szCs w:val="32"/>
        </w:rPr>
      </w:pPr>
      <w:r>
        <w:fldChar w:fldCharType="begin"/>
      </w:r>
      <w:r>
        <w:instrText xml:space="preserve"> HYPERLINK \l "_Toc101876889" </w:instrText>
      </w:r>
      <w:r>
        <w:fldChar w:fldCharType="separate"/>
      </w:r>
      <w:r>
        <w:rPr>
          <w:rStyle w:val="20"/>
          <w:sz w:val="32"/>
          <w:szCs w:val="32"/>
        </w:rPr>
        <w:t>第二节 效益分析</w:t>
      </w:r>
      <w:r>
        <w:rPr>
          <w:rStyle w:val="20"/>
          <w:sz w:val="32"/>
          <w:szCs w:val="32"/>
        </w:rPr>
        <w:tab/>
      </w:r>
      <w:r>
        <w:rPr>
          <w:rStyle w:val="20"/>
          <w:rFonts w:hint="eastAsia"/>
          <w:sz w:val="32"/>
          <w:szCs w:val="32"/>
        </w:rPr>
        <w:t>68</w:t>
      </w:r>
      <w:r>
        <w:rPr>
          <w:rStyle w:val="20"/>
          <w:rFonts w:hint="eastAsia"/>
          <w:sz w:val="32"/>
          <w:szCs w:val="32"/>
        </w:rPr>
        <w:fldChar w:fldCharType="end"/>
      </w:r>
    </w:p>
    <w:p w14:paraId="4C5C4A3E">
      <w:pPr>
        <w:tabs>
          <w:tab w:val="right" w:leader="middleDot" w:pos="8960"/>
        </w:tabs>
        <w:spacing w:line="600" w:lineRule="exact"/>
        <w:ind w:firstLine="0" w:firstLineChars="0"/>
        <w:rPr>
          <w:sz w:val="32"/>
          <w:szCs w:val="32"/>
        </w:rPr>
      </w:pPr>
      <w:r>
        <w:fldChar w:fldCharType="begin"/>
      </w:r>
      <w:r>
        <w:instrText xml:space="preserve"> HYPERLINK \l "_Toc101876890" </w:instrText>
      </w:r>
      <w:r>
        <w:fldChar w:fldCharType="separate"/>
      </w:r>
      <w:r>
        <w:rPr>
          <w:rStyle w:val="20"/>
          <w:sz w:val="32"/>
          <w:szCs w:val="32"/>
        </w:rPr>
        <w:t>第十章  保障措施</w:t>
      </w:r>
      <w:r>
        <w:rPr>
          <w:rStyle w:val="20"/>
          <w:sz w:val="32"/>
          <w:szCs w:val="32"/>
        </w:rPr>
        <w:tab/>
      </w:r>
      <w:r>
        <w:rPr>
          <w:rStyle w:val="20"/>
          <w:rFonts w:hint="eastAsia"/>
          <w:sz w:val="32"/>
          <w:szCs w:val="32"/>
        </w:rPr>
        <w:t>69</w:t>
      </w:r>
      <w:r>
        <w:rPr>
          <w:rStyle w:val="20"/>
          <w:rFonts w:hint="eastAsia"/>
          <w:sz w:val="32"/>
          <w:szCs w:val="32"/>
        </w:rPr>
        <w:fldChar w:fldCharType="end"/>
      </w:r>
    </w:p>
    <w:p w14:paraId="5D5DE514">
      <w:pPr>
        <w:tabs>
          <w:tab w:val="right" w:leader="middleDot" w:pos="8960"/>
        </w:tabs>
        <w:spacing w:line="600" w:lineRule="exact"/>
        <w:ind w:firstLine="0" w:firstLineChars="0"/>
        <w:rPr>
          <w:sz w:val="32"/>
          <w:szCs w:val="32"/>
        </w:rPr>
      </w:pPr>
      <w:r>
        <w:fldChar w:fldCharType="begin"/>
      </w:r>
      <w:r>
        <w:instrText xml:space="preserve"> HYPERLINK \l "_Toc101876891" </w:instrText>
      </w:r>
      <w:r>
        <w:fldChar w:fldCharType="separate"/>
      </w:r>
      <w:r>
        <w:rPr>
          <w:rStyle w:val="20"/>
          <w:sz w:val="32"/>
          <w:szCs w:val="32"/>
        </w:rPr>
        <w:t>第一节  组织领导</w:t>
      </w:r>
      <w:r>
        <w:rPr>
          <w:rStyle w:val="20"/>
          <w:sz w:val="32"/>
          <w:szCs w:val="32"/>
        </w:rPr>
        <w:tab/>
      </w:r>
      <w:r>
        <w:rPr>
          <w:rStyle w:val="20"/>
          <w:rFonts w:hint="eastAsia"/>
          <w:sz w:val="32"/>
          <w:szCs w:val="32"/>
        </w:rPr>
        <w:t>69</w:t>
      </w:r>
      <w:r>
        <w:rPr>
          <w:rStyle w:val="20"/>
          <w:rFonts w:hint="eastAsia"/>
          <w:sz w:val="32"/>
          <w:szCs w:val="32"/>
        </w:rPr>
        <w:fldChar w:fldCharType="end"/>
      </w:r>
    </w:p>
    <w:p w14:paraId="07CC57A6">
      <w:pPr>
        <w:tabs>
          <w:tab w:val="right" w:leader="middleDot" w:pos="8960"/>
        </w:tabs>
        <w:spacing w:line="600" w:lineRule="exact"/>
        <w:ind w:firstLine="0" w:firstLineChars="0"/>
        <w:rPr>
          <w:sz w:val="32"/>
          <w:szCs w:val="32"/>
        </w:rPr>
      </w:pPr>
      <w:r>
        <w:fldChar w:fldCharType="begin"/>
      </w:r>
      <w:r>
        <w:instrText xml:space="preserve"> HYPERLINK \l "_Toc101876892" </w:instrText>
      </w:r>
      <w:r>
        <w:fldChar w:fldCharType="separate"/>
      </w:r>
      <w:r>
        <w:rPr>
          <w:rStyle w:val="20"/>
          <w:sz w:val="32"/>
          <w:szCs w:val="32"/>
        </w:rPr>
        <w:t>第二节  监督考核</w:t>
      </w:r>
      <w:r>
        <w:rPr>
          <w:rStyle w:val="20"/>
          <w:sz w:val="32"/>
          <w:szCs w:val="32"/>
        </w:rPr>
        <w:tab/>
      </w:r>
      <w:r>
        <w:rPr>
          <w:rStyle w:val="20"/>
          <w:rFonts w:hint="eastAsia"/>
          <w:sz w:val="32"/>
          <w:szCs w:val="32"/>
        </w:rPr>
        <w:t>69</w:t>
      </w:r>
      <w:r>
        <w:rPr>
          <w:rStyle w:val="20"/>
          <w:rFonts w:hint="eastAsia"/>
          <w:sz w:val="32"/>
          <w:szCs w:val="32"/>
        </w:rPr>
        <w:fldChar w:fldCharType="end"/>
      </w:r>
    </w:p>
    <w:p w14:paraId="6D8FBDE5">
      <w:pPr>
        <w:tabs>
          <w:tab w:val="right" w:leader="middleDot" w:pos="8960"/>
        </w:tabs>
        <w:spacing w:line="600" w:lineRule="exact"/>
        <w:ind w:firstLine="0" w:firstLineChars="0"/>
        <w:rPr>
          <w:sz w:val="32"/>
          <w:szCs w:val="32"/>
        </w:rPr>
      </w:pPr>
      <w:r>
        <w:fldChar w:fldCharType="begin"/>
      </w:r>
      <w:r>
        <w:instrText xml:space="preserve"> HYPERLINK \l "_Toc101876893" </w:instrText>
      </w:r>
      <w:r>
        <w:fldChar w:fldCharType="separate"/>
      </w:r>
      <w:r>
        <w:rPr>
          <w:rStyle w:val="20"/>
          <w:sz w:val="32"/>
          <w:szCs w:val="32"/>
        </w:rPr>
        <w:t>第三节  资金统筹</w:t>
      </w:r>
      <w:r>
        <w:rPr>
          <w:rStyle w:val="20"/>
          <w:sz w:val="32"/>
          <w:szCs w:val="32"/>
        </w:rPr>
        <w:tab/>
      </w:r>
      <w:r>
        <w:rPr>
          <w:rStyle w:val="20"/>
          <w:rFonts w:hint="eastAsia"/>
          <w:sz w:val="32"/>
          <w:szCs w:val="32"/>
        </w:rPr>
        <w:t>70</w:t>
      </w:r>
      <w:r>
        <w:rPr>
          <w:rStyle w:val="20"/>
          <w:rFonts w:hint="eastAsia"/>
          <w:sz w:val="32"/>
          <w:szCs w:val="32"/>
        </w:rPr>
        <w:fldChar w:fldCharType="end"/>
      </w:r>
    </w:p>
    <w:p w14:paraId="032FF128">
      <w:pPr>
        <w:tabs>
          <w:tab w:val="right" w:leader="middleDot" w:pos="8960"/>
        </w:tabs>
        <w:spacing w:line="600" w:lineRule="exact"/>
        <w:ind w:firstLine="0" w:firstLineChars="0"/>
        <w:rPr>
          <w:sz w:val="32"/>
          <w:szCs w:val="32"/>
        </w:rPr>
      </w:pPr>
      <w:r>
        <w:fldChar w:fldCharType="begin"/>
      </w:r>
      <w:r>
        <w:instrText xml:space="preserve"> HYPERLINK \l "_Toc101876894" </w:instrText>
      </w:r>
      <w:r>
        <w:fldChar w:fldCharType="separate"/>
      </w:r>
      <w:r>
        <w:rPr>
          <w:rStyle w:val="20"/>
          <w:sz w:val="32"/>
          <w:szCs w:val="32"/>
        </w:rPr>
        <w:t>第四节  科技创新</w:t>
      </w:r>
      <w:r>
        <w:rPr>
          <w:rStyle w:val="20"/>
          <w:sz w:val="32"/>
          <w:szCs w:val="32"/>
        </w:rPr>
        <w:tab/>
      </w:r>
      <w:r>
        <w:rPr>
          <w:rStyle w:val="20"/>
          <w:rFonts w:hint="eastAsia"/>
          <w:sz w:val="32"/>
          <w:szCs w:val="32"/>
        </w:rPr>
        <w:t>70</w:t>
      </w:r>
      <w:r>
        <w:rPr>
          <w:rStyle w:val="20"/>
          <w:rFonts w:hint="eastAsia"/>
          <w:sz w:val="32"/>
          <w:szCs w:val="32"/>
        </w:rPr>
        <w:fldChar w:fldCharType="end"/>
      </w:r>
    </w:p>
    <w:p w14:paraId="35F0073D">
      <w:pPr>
        <w:tabs>
          <w:tab w:val="right" w:leader="middleDot" w:pos="8960"/>
        </w:tabs>
        <w:spacing w:line="600" w:lineRule="exact"/>
        <w:ind w:firstLine="0" w:firstLineChars="0"/>
      </w:pPr>
      <w:r>
        <w:fldChar w:fldCharType="begin"/>
      </w:r>
      <w:r>
        <w:instrText xml:space="preserve"> HYPERLINK \l "_Toc101876895" </w:instrText>
      </w:r>
      <w:r>
        <w:fldChar w:fldCharType="separate"/>
      </w:r>
      <w:r>
        <w:rPr>
          <w:rStyle w:val="20"/>
          <w:sz w:val="32"/>
          <w:szCs w:val="32"/>
        </w:rPr>
        <w:t>第五节  社会参与</w:t>
      </w:r>
      <w:r>
        <w:rPr>
          <w:rStyle w:val="20"/>
          <w:sz w:val="32"/>
          <w:szCs w:val="32"/>
        </w:rPr>
        <w:tab/>
      </w:r>
      <w:r>
        <w:rPr>
          <w:rStyle w:val="20"/>
          <w:sz w:val="32"/>
          <w:szCs w:val="32"/>
        </w:rPr>
        <w:fldChar w:fldCharType="begin"/>
      </w:r>
      <w:r>
        <w:rPr>
          <w:rStyle w:val="20"/>
          <w:sz w:val="32"/>
          <w:szCs w:val="32"/>
        </w:rPr>
        <w:instrText xml:space="preserve"> PAGEREF _Toc101876895 \h </w:instrText>
      </w:r>
      <w:r>
        <w:rPr>
          <w:rStyle w:val="20"/>
          <w:sz w:val="32"/>
          <w:szCs w:val="32"/>
        </w:rPr>
        <w:fldChar w:fldCharType="separate"/>
      </w:r>
      <w:r>
        <w:rPr>
          <w:rStyle w:val="20"/>
          <w:sz w:val="32"/>
          <w:szCs w:val="32"/>
        </w:rPr>
        <w:t>70</w:t>
      </w:r>
      <w:r>
        <w:rPr>
          <w:rStyle w:val="20"/>
          <w:sz w:val="32"/>
          <w:szCs w:val="32"/>
        </w:rPr>
        <w:fldChar w:fldCharType="end"/>
      </w:r>
      <w:r>
        <w:rPr>
          <w:rStyle w:val="20"/>
          <w:sz w:val="32"/>
          <w:szCs w:val="32"/>
        </w:rPr>
        <w:fldChar w:fldCharType="end"/>
      </w:r>
    </w:p>
    <w:p w14:paraId="17206A3E">
      <w:pPr>
        <w:ind w:left="560" w:firstLine="0" w:firstLineChars="0"/>
      </w:pPr>
    </w:p>
    <w:p w14:paraId="3D753B57">
      <w:pPr>
        <w:ind w:left="560"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701" w:left="1531" w:header="851" w:footer="1247" w:gutter="0"/>
          <w:cols w:space="425" w:num="1"/>
          <w:docGrid w:type="lines" w:linePitch="312" w:charSpace="0"/>
        </w:sectPr>
      </w:pPr>
    </w:p>
    <w:p w14:paraId="718D22C7">
      <w:pPr>
        <w:pStyle w:val="13"/>
        <w:spacing w:line="578" w:lineRule="exact"/>
        <w:ind w:firstLine="0" w:firstLineChars="0"/>
        <w:jc w:val="center"/>
        <w:rPr>
          <w:rFonts w:eastAsia="方正小标宋简体" w:cs="Times New Roman"/>
          <w:b/>
          <w:sz w:val="44"/>
          <w:szCs w:val="44"/>
        </w:rPr>
      </w:pPr>
      <w:r>
        <w:rPr>
          <w:rFonts w:cs="Times New Roman"/>
          <w:sz w:val="32"/>
          <w:szCs w:val="32"/>
        </w:rPr>
        <w:fldChar w:fldCharType="end"/>
      </w:r>
      <w:bookmarkStart w:id="7" w:name="_Toc101876850"/>
      <w:r>
        <w:rPr>
          <w:rFonts w:eastAsia="方正小标宋简体" w:cs="Times New Roman"/>
          <w:sz w:val="44"/>
          <w:szCs w:val="44"/>
        </w:rPr>
        <w:t>第一章  工作基础与形势分析</w:t>
      </w:r>
      <w:bookmarkEnd w:id="7"/>
    </w:p>
    <w:p w14:paraId="133469B8">
      <w:pPr>
        <w:pStyle w:val="3"/>
        <w:keepNext w:val="0"/>
        <w:keepLines w:val="0"/>
        <w:spacing w:beforeLines="50" w:afterLines="50" w:line="578" w:lineRule="exact"/>
        <w:rPr>
          <w:rFonts w:eastAsia="黑体" w:cs="Times New Roman"/>
          <w:b w:val="0"/>
          <w:sz w:val="32"/>
          <w:szCs w:val="32"/>
        </w:rPr>
      </w:pPr>
      <w:bookmarkStart w:id="8" w:name="_Toc101876851"/>
      <w:r>
        <w:rPr>
          <w:rFonts w:eastAsia="黑体" w:cs="Times New Roman"/>
          <w:b w:val="0"/>
          <w:sz w:val="32"/>
          <w:szCs w:val="32"/>
        </w:rPr>
        <w:t>第一节  建设基础</w:t>
      </w:r>
      <w:bookmarkEnd w:id="8"/>
    </w:p>
    <w:p w14:paraId="2E2A5E54">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第一条  区域概况</w:t>
      </w:r>
    </w:p>
    <w:p w14:paraId="0C9D5A82">
      <w:pPr>
        <w:pStyle w:val="5"/>
        <w:keepNext w:val="0"/>
        <w:keepLines w:val="0"/>
        <w:spacing w:line="578" w:lineRule="exact"/>
        <w:ind w:firstLine="640" w:firstLineChars="200"/>
        <w:rPr>
          <w:rFonts w:cs="Times New Roman"/>
          <w:sz w:val="32"/>
          <w:szCs w:val="32"/>
        </w:rPr>
      </w:pPr>
      <w:r>
        <w:rPr>
          <w:rFonts w:cs="Times New Roman"/>
          <w:b w:val="0"/>
          <w:sz w:val="32"/>
          <w:szCs w:val="32"/>
        </w:rPr>
        <w:t>（一）自然环境概况。醴陵市位于湖南省东部，东界江西省萍乡市湘东区、上栗县，南接株洲市攸县，西倚株洲市芦淞区、渌口区，北连长沙市浏阳市，是长株潭城市群核心区的重要组成部分，是长株潭城市群连接江西、浙江、上海的结点性城市和重要交通出入口，又称“湘东门户”。地貌类型以丘陵为主，山、丘、岗、平齐全，总概念为“六分山丘两方岗，分半平原半分水”；境内江河交织，均属湘江水系，主要河流有渌水干流和渌水支流（即澄潭江和铁水），5千米以上或集水面积10平方千米以上的溪河57条。</w:t>
      </w:r>
    </w:p>
    <w:p w14:paraId="31F7A774">
      <w:pPr>
        <w:pStyle w:val="5"/>
        <w:keepNext w:val="0"/>
        <w:keepLines w:val="0"/>
        <w:spacing w:line="578" w:lineRule="exact"/>
        <w:ind w:firstLine="640" w:firstLineChars="200"/>
        <w:rPr>
          <w:rFonts w:cs="Times New Roman"/>
          <w:b w:val="0"/>
          <w:bCs/>
          <w:sz w:val="32"/>
          <w:szCs w:val="32"/>
        </w:rPr>
      </w:pPr>
      <w:r>
        <w:rPr>
          <w:rFonts w:cs="Times New Roman"/>
          <w:b w:val="0"/>
          <w:sz w:val="32"/>
          <w:szCs w:val="32"/>
        </w:rPr>
        <w:t>（二）主要资源概况。</w:t>
      </w:r>
      <w:r>
        <w:rPr>
          <w:rFonts w:cs="Times New Roman"/>
          <w:b w:val="0"/>
          <w:bCs/>
          <w:sz w:val="32"/>
          <w:szCs w:val="32"/>
        </w:rPr>
        <w:t>醴陵市国土总面积2157平方千米，土地利用类型以林地为主，其次是耕地；物种资源丰富，包括植物739种，陆生脊椎动物143种，鱼类品种73种，昆虫347种；旅游资源类型多样，2020年被认定为湖南省首批全域旅游示范区，境内有115处大小景点；矿产资源较丰富，已发现矿产主要有煤、油页岩、铀等24种，其中已探明16种。</w:t>
      </w:r>
    </w:p>
    <w:p w14:paraId="64C0CB05">
      <w:pPr>
        <w:pStyle w:val="5"/>
        <w:keepNext w:val="0"/>
        <w:keepLines w:val="0"/>
        <w:spacing w:line="578" w:lineRule="exact"/>
        <w:ind w:firstLine="640" w:firstLineChars="200"/>
        <w:rPr>
          <w:rFonts w:cs="Times New Roman"/>
          <w:sz w:val="32"/>
          <w:szCs w:val="32"/>
        </w:rPr>
      </w:pPr>
      <w:r>
        <w:rPr>
          <w:rFonts w:cs="Times New Roman"/>
          <w:b w:val="0"/>
          <w:sz w:val="32"/>
          <w:szCs w:val="32"/>
        </w:rPr>
        <w:t>（三）社会经济概况。醴陵获评“</w:t>
      </w:r>
      <w:r>
        <w:rPr>
          <w:rFonts w:cs="Times New Roman"/>
          <w:b w:val="0"/>
          <w:bCs/>
          <w:sz w:val="32"/>
          <w:szCs w:val="32"/>
        </w:rPr>
        <w:t>国家园林城市</w:t>
      </w:r>
      <w:r>
        <w:rPr>
          <w:rFonts w:cs="Times New Roman"/>
          <w:b w:val="0"/>
          <w:sz w:val="32"/>
          <w:szCs w:val="32"/>
        </w:rPr>
        <w:t>”“</w:t>
      </w:r>
      <w:r>
        <w:rPr>
          <w:rFonts w:cs="Times New Roman"/>
          <w:b w:val="0"/>
          <w:bCs/>
          <w:sz w:val="32"/>
          <w:szCs w:val="32"/>
        </w:rPr>
        <w:t>国家卫生城市</w:t>
      </w:r>
      <w:r>
        <w:rPr>
          <w:rFonts w:cs="Times New Roman"/>
          <w:b w:val="0"/>
          <w:sz w:val="32"/>
          <w:szCs w:val="32"/>
        </w:rPr>
        <w:t>”“</w:t>
      </w:r>
      <w:r>
        <w:rPr>
          <w:rFonts w:cs="Times New Roman"/>
          <w:b w:val="0"/>
          <w:bCs/>
          <w:sz w:val="32"/>
          <w:szCs w:val="32"/>
        </w:rPr>
        <w:t>全国文明城市提名城市</w:t>
      </w:r>
      <w:r>
        <w:rPr>
          <w:rFonts w:cs="Times New Roman"/>
          <w:b w:val="0"/>
          <w:sz w:val="32"/>
          <w:szCs w:val="32"/>
        </w:rPr>
        <w:t>”“</w:t>
      </w:r>
      <w:r>
        <w:rPr>
          <w:rFonts w:cs="Times New Roman"/>
          <w:b w:val="0"/>
          <w:bCs/>
          <w:sz w:val="32"/>
          <w:szCs w:val="32"/>
        </w:rPr>
        <w:t>省级文明城市</w:t>
      </w:r>
      <w:r>
        <w:rPr>
          <w:rFonts w:cs="Times New Roman"/>
          <w:b w:val="0"/>
          <w:sz w:val="32"/>
          <w:szCs w:val="32"/>
        </w:rPr>
        <w:t>”“</w:t>
      </w:r>
      <w:r>
        <w:rPr>
          <w:rFonts w:cs="Times New Roman"/>
          <w:b w:val="0"/>
          <w:bCs/>
          <w:sz w:val="32"/>
          <w:szCs w:val="32"/>
        </w:rPr>
        <w:t>全国百座宜居宜业魅力县城</w:t>
      </w:r>
      <w:r>
        <w:rPr>
          <w:rFonts w:cs="Times New Roman"/>
          <w:b w:val="0"/>
          <w:sz w:val="32"/>
          <w:szCs w:val="32"/>
        </w:rPr>
        <w:t>”等</w:t>
      </w:r>
      <w:r>
        <w:rPr>
          <w:rFonts w:cs="Times New Roman"/>
          <w:b w:val="0"/>
          <w:bCs/>
          <w:sz w:val="32"/>
          <w:szCs w:val="32"/>
        </w:rPr>
        <w:t>，铁路、高速公路网络发达，“三高”（沪昆高速、岳汝高速、醴韶高速）、“三铁”（沪昆高铁、浙赣复线、长株潭城际铁路）交织成网，106国道、320国道、313省道纵横交错。2020年全市户籍人口104.06万人，常住人口885987人，其中城镇常住人口为566537人，占常住人口的63.94%。</w:t>
      </w:r>
    </w:p>
    <w:p w14:paraId="78EA27B6">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第二条  工作基础</w:t>
      </w:r>
    </w:p>
    <w:p w14:paraId="2D1871B3">
      <w:pPr>
        <w:pStyle w:val="5"/>
        <w:keepNext w:val="0"/>
        <w:keepLines w:val="0"/>
        <w:spacing w:line="578" w:lineRule="exact"/>
        <w:ind w:firstLine="640" w:firstLineChars="200"/>
        <w:rPr>
          <w:rFonts w:cs="Times New Roman"/>
          <w:b w:val="0"/>
          <w:bCs/>
          <w:sz w:val="36"/>
          <w:szCs w:val="36"/>
        </w:rPr>
      </w:pPr>
      <w:r>
        <w:rPr>
          <w:rFonts w:cs="Times New Roman"/>
          <w:b w:val="0"/>
          <w:sz w:val="32"/>
          <w:szCs w:val="32"/>
        </w:rPr>
        <w:t>（一）建立生态制度。</w:t>
      </w:r>
      <w:r>
        <w:rPr>
          <w:rFonts w:cs="Times New Roman"/>
          <w:b w:val="0"/>
          <w:bCs/>
          <w:sz w:val="32"/>
          <w:szCs w:val="32"/>
        </w:rPr>
        <w:t>坚持以习近平生态文明思想为指导，贯彻落实国家、省、市有关生态文明建设决策部署和重大政策，将生态文明建设工作纳入党政实绩考核中，全面实施河长制。以依法公开、真实公开、规范高效、强化监督为目的，突出政务信息公开的重点环节，抓好环保重点领域的信息公开，不断推进环保信息公开工作深入开展。自2009年以来，醴陵</w:t>
      </w:r>
      <w:r>
        <w:rPr>
          <w:rFonts w:hint="eastAsia" w:cs="Times New Roman"/>
          <w:b w:val="0"/>
          <w:bCs/>
          <w:sz w:val="32"/>
          <w:szCs w:val="32"/>
        </w:rPr>
        <w:t>市</w:t>
      </w:r>
      <w:r>
        <w:rPr>
          <w:rFonts w:cs="Times New Roman"/>
          <w:b w:val="0"/>
          <w:bCs/>
          <w:sz w:val="32"/>
          <w:szCs w:val="32"/>
        </w:rPr>
        <w:t>根据上级统一部署，积极开展环境优美乡镇、生态乡镇、生态村创建。截至2020年末，醴陵</w:t>
      </w:r>
      <w:r>
        <w:rPr>
          <w:rFonts w:hint="eastAsia" w:cs="Times New Roman"/>
          <w:b w:val="0"/>
          <w:bCs/>
          <w:sz w:val="32"/>
          <w:szCs w:val="32"/>
        </w:rPr>
        <w:t>市</w:t>
      </w:r>
      <w:r>
        <w:rPr>
          <w:rFonts w:cs="Times New Roman"/>
          <w:b w:val="0"/>
          <w:bCs/>
          <w:sz w:val="32"/>
          <w:szCs w:val="32"/>
        </w:rPr>
        <w:t>获得省级环境优美乡镇或生态乡镇的镇7个；获得省级生态村的村17个。</w:t>
      </w:r>
    </w:p>
    <w:p w14:paraId="557E4F7C">
      <w:pPr>
        <w:spacing w:line="578" w:lineRule="exact"/>
        <w:ind w:firstLine="640"/>
        <w:rPr>
          <w:rFonts w:cs="Times New Roman"/>
          <w:sz w:val="32"/>
          <w:szCs w:val="32"/>
        </w:rPr>
      </w:pPr>
      <w:r>
        <w:rPr>
          <w:rFonts w:cs="Times New Roman"/>
          <w:sz w:val="32"/>
          <w:szCs w:val="32"/>
        </w:rPr>
        <w:t>（二）生态环境稳步提升。全力打好“蓝天、碧水、净土”三大保卫战，稳步提升生态环境质量。2020年，醴陵市环境空气质量优良比例达到97.8%，PM</w:t>
      </w:r>
      <w:r>
        <w:rPr>
          <w:rFonts w:cs="Times New Roman"/>
          <w:sz w:val="32"/>
          <w:szCs w:val="32"/>
          <w:vertAlign w:val="subscript"/>
        </w:rPr>
        <w:t>2.5</w:t>
      </w:r>
      <w:r>
        <w:rPr>
          <w:rFonts w:cs="Times New Roman"/>
          <w:sz w:val="32"/>
          <w:szCs w:val="32"/>
        </w:rPr>
        <w:t>浓度28ug/m</w:t>
      </w:r>
      <w:r>
        <w:rPr>
          <w:rFonts w:cs="Times New Roman"/>
          <w:sz w:val="32"/>
          <w:szCs w:val="32"/>
          <w:vertAlign w:val="superscript"/>
        </w:rPr>
        <w:t>3</w:t>
      </w:r>
      <w:r>
        <w:rPr>
          <w:rFonts w:cs="Times New Roman"/>
          <w:sz w:val="32"/>
          <w:szCs w:val="32"/>
        </w:rPr>
        <w:t>，仙井、望仙桥水库、星火3个考核断面水质均达到</w:t>
      </w:r>
      <w:r>
        <w:rPr>
          <w:rFonts w:cs="Times New Roman"/>
          <w:sz w:val="32"/>
          <w:szCs w:val="32"/>
        </w:rPr>
        <w:fldChar w:fldCharType="begin"/>
      </w:r>
      <w:r>
        <w:rPr>
          <w:rFonts w:cs="Times New Roman"/>
          <w:sz w:val="32"/>
          <w:szCs w:val="32"/>
        </w:rPr>
        <w:instrText xml:space="preserve"> = 2 \* ROMAN \* MERGEFORMAT </w:instrText>
      </w:r>
      <w:r>
        <w:rPr>
          <w:rFonts w:cs="Times New Roman"/>
          <w:sz w:val="32"/>
          <w:szCs w:val="32"/>
        </w:rPr>
        <w:fldChar w:fldCharType="separate"/>
      </w:r>
      <w:r>
        <w:rPr>
          <w:rFonts w:cs="Times New Roman"/>
          <w:sz w:val="32"/>
          <w:szCs w:val="32"/>
        </w:rPr>
        <w:t>II</w:t>
      </w:r>
      <w:r>
        <w:rPr>
          <w:rFonts w:cs="Times New Roman"/>
          <w:sz w:val="32"/>
          <w:szCs w:val="32"/>
        </w:rPr>
        <w:fldChar w:fldCharType="end"/>
      </w:r>
      <w:r>
        <w:rPr>
          <w:rFonts w:cs="Times New Roman"/>
          <w:sz w:val="32"/>
          <w:szCs w:val="32"/>
        </w:rPr>
        <w:t>类，地表水无劣Ⅴ类水质断面，黑臭水体消除比例为100%；林草覆盖率达到56.8%，国家重点保护野生动植物保护率为100%，外来物种入侵不明显，特有性或指示性水生物种保持率达到100%；生态环境风险防范意识增加。</w:t>
      </w:r>
    </w:p>
    <w:p w14:paraId="5130D182">
      <w:pPr>
        <w:pStyle w:val="5"/>
        <w:keepNext w:val="0"/>
        <w:keepLines w:val="0"/>
        <w:spacing w:line="578" w:lineRule="exact"/>
        <w:ind w:firstLine="640" w:firstLineChars="200"/>
        <w:rPr>
          <w:rFonts w:cs="Times New Roman"/>
          <w:b w:val="0"/>
          <w:bCs/>
          <w:sz w:val="32"/>
          <w:szCs w:val="32"/>
        </w:rPr>
      </w:pPr>
      <w:r>
        <w:rPr>
          <w:rFonts w:cs="Times New Roman"/>
          <w:b w:val="0"/>
          <w:sz w:val="32"/>
          <w:szCs w:val="32"/>
        </w:rPr>
        <w:t>（三）严格生态空间保护。</w:t>
      </w:r>
      <w:r>
        <w:rPr>
          <w:rFonts w:cs="Times New Roman"/>
          <w:b w:val="0"/>
          <w:bCs/>
          <w:sz w:val="32"/>
          <w:szCs w:val="32"/>
        </w:rPr>
        <w:t>醴陵市划定并严守生态保护红线，有湖南醴陵官庄湖国家湿地公园、湖南醴陵仙岳山省级森林公园等2个自然保护地；2020年编制《渌水干流株洲段岸线保护与利用规划（2020—2035）》《澄潭江岸线保护与利用规划（2019—2035）》，依法依规划定岸线保护区、保留区、控制利用区和开发利用区等功能区。</w:t>
      </w:r>
    </w:p>
    <w:p w14:paraId="73C468F6">
      <w:pPr>
        <w:spacing w:line="578" w:lineRule="exact"/>
        <w:ind w:firstLine="640"/>
        <w:rPr>
          <w:rFonts w:cs="Times New Roman"/>
          <w:sz w:val="32"/>
          <w:szCs w:val="32"/>
        </w:rPr>
      </w:pPr>
      <w:r>
        <w:rPr>
          <w:rFonts w:cs="Times New Roman"/>
          <w:sz w:val="32"/>
          <w:szCs w:val="32"/>
        </w:rPr>
        <w:t>（四）经济绿色发展。大力实施节能减排战略推动企业绿色低碳发展，发展绿色农业，实现农药化肥使用量零增长。2020年实现地区生产总值737.6亿元，是全国经济百强县市、世界釉下五彩瓷原产地、中国“国瓷”“红官窑”所在地和花炮祖师李畋故里，被誉为“中国陶瓷历史文化名城”“中国陶瓷之都”和“中国花炮之都”。</w:t>
      </w:r>
    </w:p>
    <w:p w14:paraId="22389593">
      <w:pPr>
        <w:pStyle w:val="5"/>
        <w:keepNext w:val="0"/>
        <w:keepLines w:val="0"/>
        <w:spacing w:line="578" w:lineRule="exact"/>
        <w:ind w:firstLine="640" w:firstLineChars="200"/>
        <w:rPr>
          <w:rFonts w:cs="Times New Roman"/>
          <w:b w:val="0"/>
          <w:bCs/>
          <w:sz w:val="32"/>
          <w:szCs w:val="32"/>
        </w:rPr>
      </w:pPr>
      <w:r>
        <w:rPr>
          <w:rFonts w:cs="Times New Roman"/>
          <w:b w:val="0"/>
          <w:sz w:val="32"/>
          <w:szCs w:val="32"/>
        </w:rPr>
        <w:t>（五）发展绿色生活。</w:t>
      </w:r>
      <w:r>
        <w:rPr>
          <w:rFonts w:cs="Times New Roman"/>
          <w:b w:val="0"/>
          <w:bCs/>
          <w:sz w:val="32"/>
          <w:szCs w:val="32"/>
        </w:rPr>
        <w:t>通过开展水源地环境问题整治，城乡一体化农村安全饮水巩固提升工程，集中式饮用水水源地水质优良比例和镇村饮用水卫生合格率均达到100%；加强生活垃圾、生活污水处理基础设施建设，开展农村环境综合整治整市（县）推进项目，“厕所革命”，提高生活垃圾无害化和生活污水处理率。</w:t>
      </w:r>
    </w:p>
    <w:p w14:paraId="20C3112A">
      <w:pPr>
        <w:pStyle w:val="5"/>
        <w:keepNext w:val="0"/>
        <w:keepLines w:val="0"/>
        <w:spacing w:line="578" w:lineRule="exact"/>
        <w:ind w:firstLine="640" w:firstLineChars="200"/>
        <w:rPr>
          <w:rFonts w:cs="Times New Roman"/>
          <w:b w:val="0"/>
          <w:bCs/>
          <w:sz w:val="32"/>
          <w:szCs w:val="32"/>
        </w:rPr>
      </w:pPr>
      <w:r>
        <w:rPr>
          <w:rFonts w:cs="Times New Roman"/>
          <w:b w:val="0"/>
          <w:sz w:val="32"/>
          <w:szCs w:val="32"/>
        </w:rPr>
        <w:t>（六）生态文化建设。</w:t>
      </w:r>
      <w:r>
        <w:rPr>
          <w:rFonts w:cs="Times New Roman"/>
          <w:b w:val="0"/>
          <w:bCs/>
          <w:sz w:val="32"/>
          <w:szCs w:val="32"/>
        </w:rPr>
        <w:t>醴陵市所有副科级以上在职党政领导干部通过参与生态文明专题培训或在网络学院平台学习等方式，积极参与生态文明学习；广泛开展环保法律法规和环保政策系列宣传活动，普及生态文明建设知识，传播绿色消费理念，使节水、节电、节能、节材、降低生活污染物排放成为广大群众的自觉行为，提高民众的生态文明建设及生态环境保护意识，营造人人参与生态文明建设的氛围。</w:t>
      </w:r>
    </w:p>
    <w:p w14:paraId="2D7C7719">
      <w:pPr>
        <w:pStyle w:val="3"/>
        <w:keepNext w:val="0"/>
        <w:keepLines w:val="0"/>
        <w:spacing w:beforeLines="50" w:afterLines="50" w:line="578" w:lineRule="exact"/>
        <w:rPr>
          <w:rFonts w:eastAsia="黑体" w:cs="Times New Roman"/>
          <w:b w:val="0"/>
          <w:sz w:val="32"/>
          <w:szCs w:val="32"/>
        </w:rPr>
      </w:pPr>
      <w:bookmarkStart w:id="9" w:name="_Toc101876852"/>
      <w:r>
        <w:rPr>
          <w:rFonts w:hAnsi="黑体" w:eastAsia="黑体" w:cs="Times New Roman"/>
          <w:b w:val="0"/>
          <w:sz w:val="32"/>
          <w:szCs w:val="32"/>
        </w:rPr>
        <w:t>第二节</w:t>
      </w:r>
      <w:r>
        <w:rPr>
          <w:rFonts w:eastAsia="黑体" w:cs="Times New Roman"/>
          <w:b w:val="0"/>
          <w:sz w:val="32"/>
          <w:szCs w:val="32"/>
        </w:rPr>
        <w:t xml:space="preserve">  </w:t>
      </w:r>
      <w:r>
        <w:rPr>
          <w:rFonts w:hAnsi="黑体" w:eastAsia="黑体" w:cs="Times New Roman"/>
          <w:b w:val="0"/>
          <w:sz w:val="32"/>
          <w:szCs w:val="32"/>
        </w:rPr>
        <w:t>存在问题</w:t>
      </w:r>
      <w:bookmarkEnd w:id="9"/>
    </w:p>
    <w:p w14:paraId="12906FF8">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第三条  生态制度建设有待完善</w:t>
      </w:r>
    </w:p>
    <w:p w14:paraId="3D0AEFC3">
      <w:pPr>
        <w:spacing w:line="578" w:lineRule="exact"/>
        <w:ind w:firstLine="640"/>
        <w:rPr>
          <w:rFonts w:cs="Times New Roman"/>
          <w:sz w:val="32"/>
          <w:szCs w:val="32"/>
        </w:rPr>
      </w:pPr>
      <w:r>
        <w:rPr>
          <w:rFonts w:cs="Times New Roman"/>
          <w:sz w:val="32"/>
          <w:szCs w:val="32"/>
        </w:rPr>
        <w:t>逐步建立醴陵市生态文明制度体系，生态环境领域的治理体系与治理能力不断提高，但仍存在机制体制未完善情况，生态文明建设规划处于编制过程中，生态文明建设示范镇村创建尚未开展，国土空间开发保护、生态环境保护、资源高效利用等内容的体系化制度尚未全面建立，有待进一步完善。</w:t>
      </w:r>
    </w:p>
    <w:p w14:paraId="5E72D1A9">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第四条  环境污染治理仍需加强</w:t>
      </w:r>
    </w:p>
    <w:p w14:paraId="3DBCF415">
      <w:pPr>
        <w:spacing w:line="600" w:lineRule="exact"/>
        <w:ind w:firstLine="640"/>
        <w:rPr>
          <w:rFonts w:cs="Times New Roman"/>
          <w:sz w:val="32"/>
          <w:szCs w:val="32"/>
        </w:rPr>
      </w:pPr>
      <w:r>
        <w:rPr>
          <w:rFonts w:cs="Times New Roman"/>
          <w:sz w:val="32"/>
          <w:szCs w:val="32"/>
        </w:rPr>
        <w:t>随着污染防治攻坚战和生态环境污染治理项目的实施，醴陵市生态环境质量得到改善，2020年优良天数比例达到97.8％，地表水考核断面均达到《地表水环境质量标准》（GB3838—2002）II类标准，但历史遗留污染场地仍然存在，对境内水环境、土壤环境造成威胁。涉及农村生活点源、交通移动源、农业面源、畜禽养殖污染源等治理任务繁重，环境污染治理工作有待加强，环境监管体系有待完善，环境监测能力和监察能力有待提高。</w:t>
      </w:r>
    </w:p>
    <w:p w14:paraId="0229B32F">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第五条  环境基础设施城乡差距较大</w:t>
      </w:r>
    </w:p>
    <w:p w14:paraId="6262091C">
      <w:pPr>
        <w:spacing w:line="580" w:lineRule="exact"/>
        <w:ind w:firstLine="640"/>
        <w:rPr>
          <w:rFonts w:cs="Times New Roman"/>
          <w:sz w:val="32"/>
          <w:szCs w:val="32"/>
        </w:rPr>
      </w:pPr>
      <w:r>
        <w:rPr>
          <w:rFonts w:cs="Times New Roman"/>
          <w:sz w:val="32"/>
          <w:szCs w:val="32"/>
        </w:rPr>
        <w:t>随着经济的发展，人民生活水平的提高，对居住环境要求也相对增高。近年来，醴陵市积极开展环境基础设施建设，改扩建城区污水管网，实现雨污分流，并加快推进集镇污水处理设施建设。随着美丽乡村、农村环境综合整治项目、“厕所革命”、农村人居环境整治等工作的开展和相关项目实施，村庄环境得到改善，村民的环境与健康意识普遍增强，但总体上农村生活污水处理设施建设较缓慢，覆盖面不够广，农村生活污水治理率较低，城乡基础设施建设差距较大。</w:t>
      </w:r>
    </w:p>
    <w:p w14:paraId="15B2E35D">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第六条  资源节约与利用有待提高</w:t>
      </w:r>
    </w:p>
    <w:p w14:paraId="79CC0B95">
      <w:pPr>
        <w:spacing w:line="580" w:lineRule="exact"/>
        <w:ind w:firstLine="640"/>
        <w:rPr>
          <w:rFonts w:cs="Times New Roman"/>
          <w:sz w:val="32"/>
          <w:szCs w:val="32"/>
        </w:rPr>
      </w:pPr>
      <w:r>
        <w:rPr>
          <w:rFonts w:cs="Times New Roman"/>
          <w:sz w:val="32"/>
          <w:szCs w:val="32"/>
        </w:rPr>
        <w:t>醴陵市关于节约集约用地制度机制尚未健全，土地利用结构和布局有待进一步优化，土地利用效率不高。2020年醴陵市单位国内生产总值建设用地使用面积下降率仅2.87%，下降率偏低；一般工业固体废物综合利用率达到98.84%，但一般工业固体废物综合利用率提高幅度为-0.53%，存在下降现象，与国家生态文明建设示范市要求有一定差距，资源节约与利用有待进一步提升。</w:t>
      </w:r>
    </w:p>
    <w:p w14:paraId="009B3166">
      <w:pPr>
        <w:pStyle w:val="3"/>
        <w:keepNext w:val="0"/>
        <w:keepLines w:val="0"/>
        <w:spacing w:afterLines="50" w:line="600" w:lineRule="exact"/>
        <w:rPr>
          <w:rFonts w:eastAsia="黑体" w:cs="Times New Roman"/>
          <w:b w:val="0"/>
          <w:sz w:val="32"/>
          <w:szCs w:val="32"/>
        </w:rPr>
      </w:pPr>
      <w:bookmarkStart w:id="10" w:name="_Toc101876853"/>
      <w:r>
        <w:rPr>
          <w:rFonts w:hAnsi="黑体" w:eastAsia="黑体" w:cs="Times New Roman"/>
          <w:b w:val="0"/>
          <w:sz w:val="32"/>
          <w:szCs w:val="32"/>
        </w:rPr>
        <w:t>第三节</w:t>
      </w:r>
      <w:r>
        <w:rPr>
          <w:rFonts w:eastAsia="黑体" w:cs="Times New Roman"/>
          <w:b w:val="0"/>
          <w:sz w:val="32"/>
          <w:szCs w:val="32"/>
        </w:rPr>
        <w:t xml:space="preserve">  </w:t>
      </w:r>
      <w:r>
        <w:rPr>
          <w:rFonts w:hAnsi="黑体" w:eastAsia="黑体" w:cs="Times New Roman"/>
          <w:b w:val="0"/>
          <w:sz w:val="32"/>
          <w:szCs w:val="32"/>
        </w:rPr>
        <w:t>机遇与挑战</w:t>
      </w:r>
      <w:bookmarkEnd w:id="10"/>
    </w:p>
    <w:p w14:paraId="21879118">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第七条  面临机遇</w:t>
      </w:r>
    </w:p>
    <w:p w14:paraId="1D59B464">
      <w:pPr>
        <w:pStyle w:val="5"/>
        <w:keepNext w:val="0"/>
        <w:keepLines w:val="0"/>
        <w:spacing w:line="578" w:lineRule="exact"/>
        <w:ind w:firstLine="640" w:firstLineChars="200"/>
        <w:rPr>
          <w:rFonts w:cs="Times New Roman"/>
          <w:b w:val="0"/>
          <w:bCs/>
          <w:sz w:val="32"/>
          <w:szCs w:val="32"/>
        </w:rPr>
      </w:pPr>
      <w:r>
        <w:rPr>
          <w:rFonts w:cs="Times New Roman"/>
          <w:b w:val="0"/>
          <w:sz w:val="32"/>
          <w:szCs w:val="32"/>
        </w:rPr>
        <w:t>（一）一带一路建设带来的开放格局。</w:t>
      </w:r>
      <w:r>
        <w:rPr>
          <w:rFonts w:cs="Times New Roman"/>
          <w:b w:val="0"/>
          <w:bCs/>
          <w:sz w:val="32"/>
          <w:szCs w:val="32"/>
        </w:rPr>
        <w:t>醴陵市作为中国最重要的陶瓷生产和出口基地之一，实施开放崛起战略，打造陶瓷千亿产业。在世界经济复苏缓慢、陶瓷出口面临反倾销的多重压力下，“一带一路”建设为醴陵以及整个中国陶瓷产业带来了转机，目前“一带一路”沿线的欧洲、东南亚地区醴陵陶瓷出口份额达到出口总额的60%以上。</w:t>
      </w:r>
    </w:p>
    <w:p w14:paraId="1190538A">
      <w:pPr>
        <w:pStyle w:val="5"/>
        <w:keepNext w:val="0"/>
        <w:keepLines w:val="0"/>
        <w:spacing w:line="578" w:lineRule="exact"/>
        <w:ind w:firstLine="640" w:firstLineChars="200"/>
        <w:rPr>
          <w:rFonts w:cs="Times New Roman"/>
          <w:b w:val="0"/>
          <w:bCs/>
          <w:sz w:val="32"/>
          <w:szCs w:val="32"/>
        </w:rPr>
      </w:pPr>
      <w:r>
        <w:rPr>
          <w:rFonts w:cs="Times New Roman"/>
          <w:b w:val="0"/>
          <w:sz w:val="32"/>
          <w:szCs w:val="32"/>
        </w:rPr>
        <w:t>（二）长江经济带发展国家战略机遇。</w:t>
      </w:r>
      <w:r>
        <w:rPr>
          <w:rFonts w:cs="Times New Roman"/>
          <w:b w:val="0"/>
          <w:bCs/>
          <w:sz w:val="32"/>
          <w:szCs w:val="32"/>
        </w:rPr>
        <w:t>推动长江经济带发展，是党中央、国务院科学把握引领经济发展新常态，科学谋划中国经济新征程，作出的利于当前、惠及长远的重大决策部署。醴陵市完善对接长江经济带建设的顶层设计，主动融入长江经济带发展战略，共抓长江经济带生态环境保护，为共同绘就长江经济带高质量发展新画卷贡献“醴陵力量”。</w:t>
      </w:r>
    </w:p>
    <w:p w14:paraId="446DA88F">
      <w:pPr>
        <w:pStyle w:val="5"/>
        <w:keepNext w:val="0"/>
        <w:keepLines w:val="0"/>
        <w:spacing w:line="578" w:lineRule="exact"/>
        <w:ind w:firstLine="640" w:firstLineChars="200"/>
        <w:rPr>
          <w:rFonts w:cs="Times New Roman"/>
          <w:b w:val="0"/>
          <w:bCs/>
          <w:sz w:val="32"/>
          <w:szCs w:val="32"/>
        </w:rPr>
      </w:pPr>
      <w:r>
        <w:rPr>
          <w:rFonts w:cs="Times New Roman"/>
          <w:b w:val="0"/>
          <w:sz w:val="32"/>
          <w:szCs w:val="32"/>
        </w:rPr>
        <w:t>（三）湘赣开放合作试验区战略机遇。</w:t>
      </w:r>
      <w:r>
        <w:rPr>
          <w:rFonts w:cs="Times New Roman"/>
          <w:b w:val="0"/>
          <w:bCs/>
          <w:sz w:val="32"/>
          <w:szCs w:val="32"/>
        </w:rPr>
        <w:t>醴陵市委、市人民政府高位推进，紧抓湘赣两省打造跨省区域合作示范区战略机遇，根据《湖南省人民政府办公厅关于印发〈湖南省推进湘赣边区域合作示范区建设三年行动计划（2020—2022年）〉的通知》（湘政办发〔2020〕30号）文件精神，推进省委、省人民政府铺排的“十大工程”和“百大项目”建设，奋力当好湘赣边区域合作示范区建设排头兵，将醴陵建设成为湘赣边区域性中心城市。</w:t>
      </w:r>
    </w:p>
    <w:p w14:paraId="41FD2328">
      <w:pPr>
        <w:pStyle w:val="5"/>
        <w:keepNext w:val="0"/>
        <w:keepLines w:val="0"/>
        <w:spacing w:line="578" w:lineRule="exact"/>
        <w:ind w:firstLine="640" w:firstLineChars="200"/>
        <w:rPr>
          <w:rFonts w:cs="Times New Roman"/>
          <w:b w:val="0"/>
          <w:bCs/>
          <w:sz w:val="32"/>
          <w:szCs w:val="32"/>
        </w:rPr>
      </w:pPr>
      <w:r>
        <w:rPr>
          <w:rFonts w:cs="Times New Roman"/>
          <w:b w:val="0"/>
          <w:sz w:val="32"/>
          <w:szCs w:val="32"/>
        </w:rPr>
        <w:t>（四）长株潭一体化建设战略机遇。</w:t>
      </w:r>
      <w:r>
        <w:rPr>
          <w:rFonts w:cs="Times New Roman"/>
          <w:b w:val="0"/>
          <w:bCs/>
          <w:sz w:val="32"/>
          <w:szCs w:val="32"/>
        </w:rPr>
        <w:t>“推动长江中游城市群协同发展，加快武汉、长株潭都市圈建设，打造全国重要增长极”，被写入中华人民共和国国民经济和社会发展第十四个五年规划和2035年远景目标纲要，长株潭都市圈迎来新的发展机遇。为充分发挥长株潭在贯彻落实“三高四新”战略定位和使命任务、建设现代化新湖南中的核心引擎和辐射带动作用，湖南省委、省人民政府出台《长株潭区域一体化发展规划纲要》《长株潭一体化发展五年行动计划（2021—2025年）》，为醴陵市发展带来的机遇。</w:t>
      </w:r>
    </w:p>
    <w:p w14:paraId="7DEB42E0">
      <w:pPr>
        <w:pStyle w:val="5"/>
        <w:keepNext w:val="0"/>
        <w:keepLines w:val="0"/>
        <w:spacing w:line="578" w:lineRule="exact"/>
        <w:ind w:firstLine="640" w:firstLineChars="200"/>
        <w:rPr>
          <w:rFonts w:cs="Times New Roman"/>
          <w:b w:val="0"/>
          <w:bCs/>
          <w:sz w:val="32"/>
          <w:szCs w:val="32"/>
        </w:rPr>
      </w:pPr>
      <w:r>
        <w:rPr>
          <w:rFonts w:cs="Times New Roman"/>
          <w:b w:val="0"/>
          <w:sz w:val="32"/>
          <w:szCs w:val="32"/>
        </w:rPr>
        <w:t>（五）“株醴融城”建设战略机遇。</w:t>
      </w:r>
      <w:r>
        <w:rPr>
          <w:rFonts w:cs="Times New Roman"/>
          <w:b w:val="0"/>
          <w:bCs/>
          <w:sz w:val="32"/>
          <w:szCs w:val="32"/>
        </w:rPr>
        <w:t>株洲市国民经济和社会发展第十四个五年规划和2035年远景目标纲要中提出构建“一核一圈一廊”区域经济格局，明确要以航空服饰城、醴陵经开区、株醴新城、东富工业园为重要节点，加快推进株醴融城，打造株醴都市圈。醴陵市积极推进株醴融城，将打造株醴都市圈做为提升整体区域价值的有力抓手，坚定实施西进融城战略，依托便利交通和区位条件，建设株醴融城核心区、高新产业聚集地、城乡融合示范带，有力推动株醴都市圈建设。</w:t>
      </w:r>
    </w:p>
    <w:p w14:paraId="3C7A2764">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第八条  面临挑战</w:t>
      </w:r>
    </w:p>
    <w:p w14:paraId="1A608FC4">
      <w:pPr>
        <w:pStyle w:val="5"/>
        <w:keepNext w:val="0"/>
        <w:keepLines w:val="0"/>
        <w:spacing w:line="578" w:lineRule="exact"/>
        <w:ind w:firstLine="640" w:firstLineChars="200"/>
        <w:rPr>
          <w:rFonts w:cs="Times New Roman"/>
          <w:b w:val="0"/>
          <w:bCs/>
          <w:sz w:val="32"/>
          <w:szCs w:val="32"/>
        </w:rPr>
      </w:pPr>
      <w:r>
        <w:rPr>
          <w:rFonts w:cs="Times New Roman"/>
          <w:b w:val="0"/>
          <w:sz w:val="32"/>
          <w:szCs w:val="32"/>
        </w:rPr>
        <w:t>（一）产业转型升级压力较大。</w:t>
      </w:r>
      <w:r>
        <w:rPr>
          <w:rFonts w:cs="Times New Roman"/>
          <w:b w:val="0"/>
          <w:bCs/>
          <w:sz w:val="32"/>
          <w:szCs w:val="32"/>
        </w:rPr>
        <w:t>醴陵市以陶瓷、花炮为支柱的基本格局未改变，玻璃、电子信息、轨道交通、陶瓷新材料新兴产业未形成规模，产业链未健全，集聚效应不够强。随着醴陵陶瓷企业的市场由对外出口转向国内，国内江西景德镇、广东潮州、福建德化、河北唐山、山东淄博、江西萍乡等地陶瓷产业激烈的竞争给醴陵陶瓷企业带来更大的竞争压力。</w:t>
      </w:r>
    </w:p>
    <w:p w14:paraId="5C5D4EA2">
      <w:pPr>
        <w:pStyle w:val="5"/>
        <w:keepNext w:val="0"/>
        <w:keepLines w:val="0"/>
        <w:spacing w:line="578" w:lineRule="exact"/>
        <w:ind w:firstLine="640" w:firstLineChars="200"/>
        <w:rPr>
          <w:rFonts w:cs="Times New Roman"/>
          <w:b w:val="0"/>
          <w:bCs/>
          <w:sz w:val="32"/>
          <w:szCs w:val="32"/>
        </w:rPr>
      </w:pPr>
      <w:r>
        <w:rPr>
          <w:rFonts w:cs="Times New Roman"/>
          <w:b w:val="0"/>
          <w:sz w:val="32"/>
          <w:szCs w:val="32"/>
        </w:rPr>
        <w:t>（二）减污降碳协同增效压力加大。</w:t>
      </w:r>
      <w:r>
        <w:rPr>
          <w:rFonts w:cs="Times New Roman"/>
          <w:b w:val="0"/>
          <w:bCs/>
          <w:sz w:val="32"/>
          <w:szCs w:val="32"/>
        </w:rPr>
        <w:t>“十四五”时期，我国生态文明建设进入以降碳为重点战略方向、推动减污降碳协同增效、促进经济社会发展全面绿色转型、实现生态环境质量改善由量变到质变的关键时期。醴陵市第二产业比重长期居高不下，随着醴陵千亿产值、千亿产业、千亿园区为主要内涵的经济“千亿时代”目标任务的推进，污染物抑制增量、削减存量、碳排放从“近零”到“净零”任务艰巨。</w:t>
      </w:r>
    </w:p>
    <w:p w14:paraId="656D3E26">
      <w:pPr>
        <w:pStyle w:val="5"/>
        <w:keepNext w:val="0"/>
        <w:keepLines w:val="0"/>
        <w:spacing w:line="578" w:lineRule="exact"/>
        <w:ind w:firstLine="640" w:firstLineChars="200"/>
        <w:rPr>
          <w:rFonts w:cs="Times New Roman"/>
        </w:rPr>
      </w:pPr>
      <w:r>
        <w:rPr>
          <w:rFonts w:cs="Times New Roman"/>
          <w:b w:val="0"/>
          <w:sz w:val="32"/>
          <w:szCs w:val="32"/>
        </w:rPr>
        <w:t>（三）外部环境的不稳定性明显增加。</w:t>
      </w:r>
      <w:r>
        <w:rPr>
          <w:rFonts w:cs="Times New Roman"/>
          <w:b w:val="0"/>
          <w:bCs/>
          <w:sz w:val="32"/>
          <w:szCs w:val="32"/>
        </w:rPr>
        <w:t>世界正经历百年未有之大变局，传统世界秩序面临坍塌、美国及其盟友联合制华、贸易保护主义和逆全球化趋势、全球治理遭遇“瓶颈期”等和新冠肺炎疫情全球大流行，外贸企业出口面临来自于订单、资金及人员等方面的压力，海外市场撤单、消费能力下降等导致大量客户、订单的流失，使外部环境不稳定性不确定性明显增加。</w:t>
      </w:r>
      <w:r>
        <w:rPr>
          <w:rFonts w:cs="Times New Roman"/>
          <w:sz w:val="32"/>
          <w:szCs w:val="32"/>
        </w:rPr>
        <w:br w:type="page"/>
      </w:r>
    </w:p>
    <w:p w14:paraId="43629D9F">
      <w:pPr>
        <w:pStyle w:val="2"/>
        <w:spacing w:line="578" w:lineRule="exact"/>
        <w:rPr>
          <w:rFonts w:eastAsia="方正小标宋简体" w:cs="Times New Roman"/>
          <w:b w:val="0"/>
          <w:sz w:val="44"/>
          <w:szCs w:val="44"/>
        </w:rPr>
      </w:pPr>
      <w:bookmarkStart w:id="11" w:name="_Toc101876854"/>
      <w:r>
        <w:rPr>
          <w:rFonts w:eastAsia="方正小标宋简体" w:cs="Times New Roman"/>
          <w:b w:val="0"/>
          <w:sz w:val="44"/>
          <w:szCs w:val="44"/>
        </w:rPr>
        <w:t>第二章  规划总则</w:t>
      </w:r>
      <w:bookmarkEnd w:id="11"/>
    </w:p>
    <w:p w14:paraId="58FB1D92">
      <w:pPr>
        <w:pStyle w:val="3"/>
        <w:spacing w:beforeLines="50" w:afterLines="50" w:line="578" w:lineRule="exact"/>
        <w:rPr>
          <w:rFonts w:eastAsia="黑体" w:cs="Times New Roman"/>
          <w:b w:val="0"/>
          <w:sz w:val="32"/>
          <w:szCs w:val="32"/>
        </w:rPr>
      </w:pPr>
      <w:bookmarkStart w:id="12" w:name="_Toc101876855"/>
      <w:r>
        <w:rPr>
          <w:rFonts w:hAnsi="黑体" w:eastAsia="黑体" w:cs="Times New Roman"/>
          <w:b w:val="0"/>
          <w:sz w:val="32"/>
          <w:szCs w:val="32"/>
        </w:rPr>
        <w:t>第一节</w:t>
      </w:r>
      <w:r>
        <w:rPr>
          <w:rFonts w:eastAsia="黑体" w:cs="Times New Roman"/>
          <w:b w:val="0"/>
          <w:sz w:val="32"/>
          <w:szCs w:val="32"/>
        </w:rPr>
        <w:t xml:space="preserve">  </w:t>
      </w:r>
      <w:r>
        <w:rPr>
          <w:rFonts w:hAnsi="黑体" w:eastAsia="黑体" w:cs="Times New Roman"/>
          <w:b w:val="0"/>
          <w:sz w:val="32"/>
          <w:szCs w:val="32"/>
        </w:rPr>
        <w:t>指导思想</w:t>
      </w:r>
      <w:bookmarkEnd w:id="12"/>
    </w:p>
    <w:p w14:paraId="6C8EC00D">
      <w:pPr>
        <w:spacing w:line="578" w:lineRule="exact"/>
        <w:ind w:firstLine="640"/>
        <w:rPr>
          <w:rFonts w:eastAsia="楷体_GB2312" w:cs="Times New Roman"/>
          <w:sz w:val="32"/>
          <w:szCs w:val="32"/>
        </w:rPr>
      </w:pPr>
      <w:r>
        <w:rPr>
          <w:rFonts w:eastAsia="楷体_GB2312" w:cs="Times New Roman"/>
          <w:sz w:val="32"/>
          <w:szCs w:val="32"/>
        </w:rPr>
        <w:t>第九条  指导思想</w:t>
      </w:r>
    </w:p>
    <w:p w14:paraId="51B67C56">
      <w:pPr>
        <w:spacing w:line="578" w:lineRule="exact"/>
        <w:ind w:firstLine="640"/>
        <w:rPr>
          <w:rFonts w:cs="Times New Roman"/>
          <w:sz w:val="32"/>
          <w:szCs w:val="32"/>
        </w:rPr>
      </w:pPr>
      <w:r>
        <w:rPr>
          <w:rFonts w:cs="Times New Roman"/>
          <w:sz w:val="32"/>
          <w:szCs w:val="32"/>
        </w:rPr>
        <w:t>以习近平新时代中国特色社会主义思想为指导，深入落实习近平总书记对湖南工作系列</w:t>
      </w:r>
      <w:r>
        <w:rPr>
          <w:rFonts w:hint="eastAsia" w:cs="Times New Roman"/>
          <w:sz w:val="32"/>
          <w:szCs w:val="32"/>
          <w:lang w:eastAsia="zh-CN"/>
        </w:rPr>
        <w:t>重要讲话和重要指示精神</w:t>
      </w:r>
      <w:r>
        <w:rPr>
          <w:rFonts w:cs="Times New Roman"/>
          <w:sz w:val="32"/>
          <w:szCs w:val="32"/>
        </w:rPr>
        <w:t>和</w:t>
      </w:r>
      <w:r>
        <w:rPr>
          <w:rFonts w:hint="eastAsia" w:cs="Times New Roman"/>
          <w:sz w:val="32"/>
          <w:szCs w:val="32"/>
          <w:lang w:eastAsia="zh-CN"/>
        </w:rPr>
        <w:t>习近平</w:t>
      </w:r>
      <w:r>
        <w:rPr>
          <w:rFonts w:cs="Times New Roman"/>
          <w:sz w:val="32"/>
          <w:szCs w:val="32"/>
        </w:rPr>
        <w:t>生态文明思想、湖南省委“三高四新”战略定位和使命任务、株洲市委“一谷三区”等战略部署，按照“五位一体”总</w:t>
      </w:r>
      <w:bookmarkStart w:id="92" w:name="_GoBack"/>
      <w:bookmarkEnd w:id="92"/>
      <w:r>
        <w:rPr>
          <w:rFonts w:cs="Times New Roman"/>
          <w:sz w:val="32"/>
          <w:szCs w:val="32"/>
        </w:rPr>
        <w:t>体布局和“四个全面”战略布局，构建醴陵市生态文明建设的新发展格局。以满足人民日益增长的美好生活需要为根本目的，以创建国家生态文明建设示范市为载体，坚定不移走“生态优先、绿色发展”之路，探索“绿水青山就是金山银山”的转化路径，努力建设生态文明新醴陵。</w:t>
      </w:r>
    </w:p>
    <w:p w14:paraId="430D145F">
      <w:pPr>
        <w:pStyle w:val="3"/>
        <w:spacing w:beforeLines="50" w:afterLines="50" w:line="578" w:lineRule="exact"/>
        <w:rPr>
          <w:rFonts w:eastAsia="黑体" w:cs="Times New Roman"/>
          <w:b w:val="0"/>
          <w:sz w:val="32"/>
          <w:szCs w:val="32"/>
        </w:rPr>
      </w:pPr>
      <w:bookmarkStart w:id="13" w:name="_Toc101876856"/>
      <w:r>
        <w:rPr>
          <w:rFonts w:hAnsi="黑体" w:eastAsia="黑体" w:cs="Times New Roman"/>
          <w:b w:val="0"/>
          <w:sz w:val="32"/>
          <w:szCs w:val="32"/>
        </w:rPr>
        <w:t>第二节</w:t>
      </w:r>
      <w:r>
        <w:rPr>
          <w:rFonts w:eastAsia="黑体" w:cs="Times New Roman"/>
          <w:b w:val="0"/>
          <w:sz w:val="32"/>
          <w:szCs w:val="32"/>
        </w:rPr>
        <w:t xml:space="preserve">  </w:t>
      </w:r>
      <w:r>
        <w:rPr>
          <w:rFonts w:hAnsi="黑体" w:eastAsia="黑体" w:cs="Times New Roman"/>
          <w:b w:val="0"/>
          <w:sz w:val="32"/>
          <w:szCs w:val="32"/>
        </w:rPr>
        <w:t>规划原则</w:t>
      </w:r>
      <w:bookmarkEnd w:id="13"/>
    </w:p>
    <w:p w14:paraId="767D957C">
      <w:pPr>
        <w:spacing w:line="578" w:lineRule="exact"/>
        <w:ind w:firstLine="640"/>
        <w:rPr>
          <w:rFonts w:eastAsia="楷体_GB2312" w:cs="Times New Roman"/>
          <w:sz w:val="32"/>
          <w:szCs w:val="32"/>
        </w:rPr>
      </w:pPr>
      <w:r>
        <w:rPr>
          <w:rFonts w:eastAsia="楷体_GB2312" w:cs="Times New Roman"/>
          <w:sz w:val="32"/>
          <w:szCs w:val="32"/>
        </w:rPr>
        <w:t>第十条  规划原则</w:t>
      </w:r>
    </w:p>
    <w:p w14:paraId="0EB23D72">
      <w:pPr>
        <w:spacing w:line="578" w:lineRule="exact"/>
        <w:ind w:firstLine="640"/>
        <w:rPr>
          <w:rFonts w:cs="Times New Roman"/>
          <w:sz w:val="32"/>
          <w:szCs w:val="32"/>
        </w:rPr>
      </w:pPr>
      <w:r>
        <w:rPr>
          <w:rFonts w:cs="Times New Roman"/>
          <w:bCs/>
          <w:sz w:val="32"/>
          <w:szCs w:val="32"/>
        </w:rPr>
        <w:t>坚持生态优先，绿色发展。</w:t>
      </w:r>
      <w:r>
        <w:rPr>
          <w:rFonts w:cs="Times New Roman"/>
          <w:sz w:val="32"/>
          <w:szCs w:val="32"/>
        </w:rPr>
        <w:t>切实践行“绿水青山就是金山银山”理念，系统设计、统筹推进、精准施策、务求实效，实现高质量发展、高品质生活相互推进，把“绿色发展”融入醴陵经济社会发展各方面。</w:t>
      </w:r>
      <w:r>
        <w:rPr>
          <w:rFonts w:cs="Times New Roman"/>
          <w:bCs/>
          <w:sz w:val="32"/>
          <w:szCs w:val="32"/>
        </w:rPr>
        <w:t>坚持因地制宜，彰显特色。</w:t>
      </w:r>
      <w:r>
        <w:rPr>
          <w:rFonts w:cs="Times New Roman"/>
          <w:sz w:val="32"/>
          <w:szCs w:val="32"/>
        </w:rPr>
        <w:t>立足醴陵实际情况，以创建国家生态文明建设示范市为载体，优化产业结构，突出产业发展方向，把资源环境优势转化为现实生产力。</w:t>
      </w:r>
      <w:r>
        <w:rPr>
          <w:rFonts w:cs="Times New Roman"/>
          <w:bCs/>
          <w:sz w:val="32"/>
          <w:szCs w:val="32"/>
        </w:rPr>
        <w:t>坚持统筹协调，分步实施。</w:t>
      </w:r>
      <w:r>
        <w:rPr>
          <w:rFonts w:cs="Times New Roman"/>
          <w:sz w:val="32"/>
          <w:szCs w:val="32"/>
        </w:rPr>
        <w:t>创建生态文明建设示范市工作，涉及六大领域、十项任务，内容丰富，需坚持统筹协调，分步实施，分阶段实现生态文明建设创建目标，以点带面实现全域绿色、生态、发展协同推进。</w:t>
      </w:r>
      <w:r>
        <w:rPr>
          <w:rFonts w:cs="Times New Roman"/>
          <w:bCs/>
          <w:sz w:val="32"/>
          <w:szCs w:val="32"/>
        </w:rPr>
        <w:t>坚持政府主导，公众参与。</w:t>
      </w:r>
      <w:r>
        <w:rPr>
          <w:rFonts w:cs="Times New Roman"/>
          <w:sz w:val="32"/>
          <w:szCs w:val="32"/>
        </w:rPr>
        <w:t>充分发挥政府组织、引导和指导作用，加大投入，强化监管，提供良好的政策环境和公共服务。广泛开展可持续发展理念和生态文化教育，鼓励社会公众参与创建的各项工作，提升全民的生态文明意识。</w:t>
      </w:r>
    </w:p>
    <w:p w14:paraId="11D3874E">
      <w:pPr>
        <w:pStyle w:val="3"/>
        <w:spacing w:beforeLines="50" w:afterLines="50" w:line="578" w:lineRule="exact"/>
        <w:rPr>
          <w:rFonts w:eastAsia="黑体" w:cs="Times New Roman"/>
          <w:b w:val="0"/>
          <w:sz w:val="32"/>
          <w:szCs w:val="32"/>
        </w:rPr>
      </w:pPr>
      <w:bookmarkStart w:id="14" w:name="_Toc101876857"/>
      <w:r>
        <w:rPr>
          <w:rFonts w:hAnsi="黑体" w:eastAsia="黑体" w:cs="Times New Roman"/>
          <w:b w:val="0"/>
          <w:sz w:val="32"/>
          <w:szCs w:val="32"/>
        </w:rPr>
        <w:t>第三节</w:t>
      </w:r>
      <w:r>
        <w:rPr>
          <w:rFonts w:eastAsia="黑体" w:cs="Times New Roman"/>
          <w:b w:val="0"/>
          <w:sz w:val="32"/>
          <w:szCs w:val="32"/>
        </w:rPr>
        <w:t xml:space="preserve">  </w:t>
      </w:r>
      <w:r>
        <w:rPr>
          <w:rFonts w:hAnsi="黑体" w:eastAsia="黑体" w:cs="Times New Roman"/>
          <w:b w:val="0"/>
          <w:sz w:val="32"/>
          <w:szCs w:val="32"/>
        </w:rPr>
        <w:t>规划范围</w:t>
      </w:r>
      <w:bookmarkEnd w:id="14"/>
    </w:p>
    <w:p w14:paraId="406BBB79">
      <w:pPr>
        <w:spacing w:line="578" w:lineRule="exact"/>
        <w:ind w:firstLine="640"/>
        <w:rPr>
          <w:rFonts w:eastAsia="楷体_GB2312" w:cs="Times New Roman"/>
          <w:sz w:val="32"/>
          <w:szCs w:val="32"/>
        </w:rPr>
      </w:pPr>
      <w:r>
        <w:rPr>
          <w:rFonts w:eastAsia="楷体_GB2312" w:cs="Times New Roman"/>
          <w:sz w:val="32"/>
          <w:szCs w:val="32"/>
        </w:rPr>
        <w:t>第十一条  规划范围</w:t>
      </w:r>
    </w:p>
    <w:p w14:paraId="157C09FF">
      <w:pPr>
        <w:spacing w:line="578" w:lineRule="exact"/>
        <w:ind w:firstLine="640"/>
        <w:rPr>
          <w:rFonts w:cs="Times New Roman"/>
          <w:sz w:val="32"/>
          <w:szCs w:val="32"/>
        </w:rPr>
      </w:pPr>
      <w:r>
        <w:rPr>
          <w:rFonts w:cs="Times New Roman"/>
          <w:sz w:val="32"/>
          <w:szCs w:val="32"/>
        </w:rPr>
        <w:t>2020年醴陵市行政区域范围，包括4个街道、1个示范区（即长庆示范区）、19个镇，2021年4月19日长庆街道正式揭牌成立。国土总面积2157平方千米。</w:t>
      </w:r>
    </w:p>
    <w:p w14:paraId="637AE477">
      <w:pPr>
        <w:pStyle w:val="3"/>
        <w:spacing w:beforeLines="50" w:afterLines="50" w:line="578" w:lineRule="exact"/>
        <w:rPr>
          <w:rFonts w:eastAsia="黑体" w:cs="Times New Roman"/>
          <w:b w:val="0"/>
          <w:sz w:val="32"/>
          <w:szCs w:val="32"/>
        </w:rPr>
      </w:pPr>
      <w:bookmarkStart w:id="15" w:name="_Toc101876858"/>
      <w:r>
        <w:rPr>
          <w:rFonts w:hAnsi="黑体" w:eastAsia="黑体" w:cs="Times New Roman"/>
          <w:b w:val="0"/>
          <w:sz w:val="32"/>
          <w:szCs w:val="32"/>
        </w:rPr>
        <w:t>第四节</w:t>
      </w:r>
      <w:r>
        <w:rPr>
          <w:rFonts w:eastAsia="黑体" w:cs="Times New Roman"/>
          <w:b w:val="0"/>
          <w:sz w:val="32"/>
          <w:szCs w:val="32"/>
        </w:rPr>
        <w:t xml:space="preserve">  </w:t>
      </w:r>
      <w:r>
        <w:rPr>
          <w:rFonts w:hAnsi="黑体" w:eastAsia="黑体" w:cs="Times New Roman"/>
          <w:b w:val="0"/>
          <w:sz w:val="32"/>
          <w:szCs w:val="32"/>
        </w:rPr>
        <w:t>编制依据</w:t>
      </w:r>
      <w:bookmarkEnd w:id="15"/>
    </w:p>
    <w:p w14:paraId="458806CB">
      <w:pPr>
        <w:spacing w:line="578" w:lineRule="exact"/>
        <w:ind w:firstLine="640"/>
        <w:rPr>
          <w:rFonts w:eastAsia="楷体_GB2312" w:cs="Times New Roman"/>
          <w:sz w:val="32"/>
          <w:szCs w:val="32"/>
        </w:rPr>
      </w:pPr>
      <w:bookmarkStart w:id="16" w:name="_Toc32052"/>
      <w:bookmarkStart w:id="17" w:name="_Toc14522"/>
      <w:bookmarkStart w:id="18" w:name="_Toc31182"/>
      <w:bookmarkStart w:id="19" w:name="_Toc19023"/>
      <w:r>
        <w:rPr>
          <w:rFonts w:eastAsia="楷体_GB2312" w:cs="Times New Roman"/>
          <w:sz w:val="32"/>
          <w:szCs w:val="32"/>
        </w:rPr>
        <w:t>第十二条  法律法规</w:t>
      </w:r>
      <w:bookmarkEnd w:id="16"/>
      <w:bookmarkEnd w:id="17"/>
      <w:bookmarkEnd w:id="18"/>
      <w:bookmarkEnd w:id="19"/>
    </w:p>
    <w:p w14:paraId="7AF04071">
      <w:pPr>
        <w:spacing w:line="578" w:lineRule="exact"/>
        <w:ind w:firstLine="640"/>
        <w:rPr>
          <w:rFonts w:cs="Times New Roman"/>
          <w:sz w:val="32"/>
          <w:szCs w:val="32"/>
        </w:rPr>
      </w:pPr>
      <w:r>
        <w:rPr>
          <w:rFonts w:cs="Times New Roman"/>
          <w:sz w:val="32"/>
          <w:szCs w:val="32"/>
        </w:rPr>
        <w:t>《中华人民共和国环境保护法》（2015年1月1日）；</w:t>
      </w:r>
    </w:p>
    <w:p w14:paraId="59703BE6">
      <w:pPr>
        <w:spacing w:line="578" w:lineRule="exact"/>
        <w:ind w:firstLine="640"/>
        <w:rPr>
          <w:rFonts w:cs="Times New Roman"/>
          <w:sz w:val="32"/>
          <w:szCs w:val="32"/>
        </w:rPr>
      </w:pPr>
      <w:r>
        <w:rPr>
          <w:rFonts w:cs="Times New Roman"/>
          <w:sz w:val="32"/>
          <w:szCs w:val="32"/>
        </w:rPr>
        <w:t>《中华人民共和国城乡规划法》（2019年4月23日）；</w:t>
      </w:r>
    </w:p>
    <w:p w14:paraId="4C228C5E">
      <w:pPr>
        <w:spacing w:line="578" w:lineRule="exact"/>
        <w:ind w:firstLine="640"/>
        <w:rPr>
          <w:rFonts w:cs="Times New Roman"/>
          <w:sz w:val="32"/>
          <w:szCs w:val="32"/>
        </w:rPr>
      </w:pPr>
      <w:r>
        <w:rPr>
          <w:rFonts w:cs="Times New Roman"/>
          <w:sz w:val="32"/>
          <w:szCs w:val="32"/>
        </w:rPr>
        <w:t>《中华人民共和国水法》（2016年7月2日）；</w:t>
      </w:r>
    </w:p>
    <w:p w14:paraId="410F3736">
      <w:pPr>
        <w:spacing w:line="578" w:lineRule="exact"/>
        <w:ind w:firstLine="640"/>
        <w:rPr>
          <w:rFonts w:cs="Times New Roman"/>
          <w:sz w:val="32"/>
          <w:szCs w:val="32"/>
        </w:rPr>
      </w:pPr>
      <w:r>
        <w:rPr>
          <w:rFonts w:cs="Times New Roman"/>
          <w:sz w:val="32"/>
          <w:szCs w:val="32"/>
        </w:rPr>
        <w:t>《中华人民共和国水污染防治法》（2018年1月1日）；</w:t>
      </w:r>
    </w:p>
    <w:p w14:paraId="41A805C3">
      <w:pPr>
        <w:spacing w:line="578" w:lineRule="exact"/>
        <w:ind w:firstLine="640"/>
        <w:rPr>
          <w:rFonts w:cs="Times New Roman"/>
          <w:sz w:val="32"/>
          <w:szCs w:val="32"/>
        </w:rPr>
      </w:pPr>
      <w:r>
        <w:rPr>
          <w:rFonts w:cs="Times New Roman"/>
          <w:sz w:val="32"/>
          <w:szCs w:val="32"/>
        </w:rPr>
        <w:t>《中华人民共和国大气污染防治法》（2018年10月26日）；</w:t>
      </w:r>
    </w:p>
    <w:p w14:paraId="13DA1C02">
      <w:pPr>
        <w:spacing w:line="578" w:lineRule="exact"/>
        <w:ind w:firstLine="640"/>
        <w:rPr>
          <w:rFonts w:cs="Times New Roman"/>
          <w:sz w:val="32"/>
          <w:szCs w:val="32"/>
        </w:rPr>
      </w:pPr>
      <w:r>
        <w:rPr>
          <w:rFonts w:cs="Times New Roman"/>
          <w:sz w:val="32"/>
          <w:szCs w:val="32"/>
        </w:rPr>
        <w:t>《中华人民共和国土壤污染防治法》（2019年1月1日）；</w:t>
      </w:r>
    </w:p>
    <w:p w14:paraId="1E415C76">
      <w:pPr>
        <w:spacing w:line="578" w:lineRule="exact"/>
        <w:ind w:firstLine="640"/>
        <w:rPr>
          <w:rFonts w:cs="Times New Roman"/>
          <w:sz w:val="32"/>
          <w:szCs w:val="32"/>
        </w:rPr>
      </w:pPr>
      <w:r>
        <w:rPr>
          <w:rFonts w:cs="Times New Roman"/>
          <w:sz w:val="32"/>
          <w:szCs w:val="32"/>
        </w:rPr>
        <w:t>《中华人民共和国固体废物污染环境防治法》（2020年9月1日）；</w:t>
      </w:r>
    </w:p>
    <w:p w14:paraId="6E887D03">
      <w:pPr>
        <w:spacing w:line="578" w:lineRule="exact"/>
        <w:ind w:firstLine="608"/>
        <w:rPr>
          <w:rFonts w:cs="Times New Roman"/>
          <w:spacing w:val="-8"/>
          <w:sz w:val="32"/>
          <w:szCs w:val="32"/>
        </w:rPr>
      </w:pPr>
      <w:r>
        <w:rPr>
          <w:rFonts w:cs="Times New Roman"/>
          <w:spacing w:val="-8"/>
          <w:sz w:val="32"/>
          <w:szCs w:val="32"/>
        </w:rPr>
        <w:t>《中华人民共和国环境噪声污染防治法》（2018年12月29日）；</w:t>
      </w:r>
    </w:p>
    <w:p w14:paraId="0F44861D">
      <w:pPr>
        <w:spacing w:line="578" w:lineRule="exact"/>
        <w:ind w:firstLine="640"/>
        <w:rPr>
          <w:rFonts w:cs="Times New Roman"/>
          <w:sz w:val="32"/>
          <w:szCs w:val="32"/>
        </w:rPr>
      </w:pPr>
      <w:r>
        <w:rPr>
          <w:rFonts w:cs="Times New Roman"/>
          <w:sz w:val="32"/>
          <w:szCs w:val="32"/>
        </w:rPr>
        <w:t>《中华人民共和国水土保持法》（2011年3月1日）；</w:t>
      </w:r>
    </w:p>
    <w:p w14:paraId="2C6A9B28">
      <w:pPr>
        <w:spacing w:line="578" w:lineRule="exact"/>
        <w:ind w:firstLine="640"/>
        <w:rPr>
          <w:rFonts w:cs="Times New Roman"/>
          <w:sz w:val="32"/>
          <w:szCs w:val="32"/>
        </w:rPr>
      </w:pPr>
      <w:r>
        <w:rPr>
          <w:rFonts w:cs="Times New Roman"/>
          <w:sz w:val="32"/>
          <w:szCs w:val="32"/>
        </w:rPr>
        <w:t>《中华人民共和国循环经济促进法》（2018年10月26日）；</w:t>
      </w:r>
    </w:p>
    <w:p w14:paraId="54DB09A2">
      <w:pPr>
        <w:spacing w:line="578" w:lineRule="exact"/>
        <w:ind w:firstLine="640"/>
        <w:rPr>
          <w:rFonts w:cs="Times New Roman"/>
          <w:sz w:val="32"/>
          <w:szCs w:val="32"/>
        </w:rPr>
      </w:pPr>
      <w:r>
        <w:rPr>
          <w:rFonts w:cs="Times New Roman"/>
          <w:sz w:val="32"/>
          <w:szCs w:val="32"/>
        </w:rPr>
        <w:t>《中华人民共和国野生动物保护法》（2018年10月26日）；</w:t>
      </w:r>
    </w:p>
    <w:p w14:paraId="54398EA1">
      <w:pPr>
        <w:spacing w:line="578" w:lineRule="exact"/>
        <w:ind w:firstLine="640"/>
        <w:rPr>
          <w:rFonts w:cs="Times New Roman"/>
          <w:sz w:val="32"/>
          <w:szCs w:val="32"/>
        </w:rPr>
      </w:pPr>
      <w:r>
        <w:rPr>
          <w:rFonts w:cs="Times New Roman"/>
          <w:sz w:val="32"/>
          <w:szCs w:val="32"/>
        </w:rPr>
        <w:t>《中华人民共和国野生植物保护条例》（2017年10月7日）；</w:t>
      </w:r>
    </w:p>
    <w:p w14:paraId="1046B524">
      <w:pPr>
        <w:spacing w:line="578" w:lineRule="exact"/>
        <w:ind w:firstLine="640"/>
        <w:rPr>
          <w:rFonts w:cs="Times New Roman"/>
          <w:sz w:val="32"/>
          <w:szCs w:val="32"/>
        </w:rPr>
      </w:pPr>
      <w:r>
        <w:rPr>
          <w:rFonts w:cs="Times New Roman"/>
          <w:sz w:val="32"/>
          <w:szCs w:val="32"/>
        </w:rPr>
        <w:t>《中华人民共和国政府信息公开条例》（2019年5月15日）；</w:t>
      </w:r>
    </w:p>
    <w:p w14:paraId="284D49AA">
      <w:pPr>
        <w:spacing w:line="578" w:lineRule="exact"/>
        <w:ind w:firstLine="640"/>
        <w:rPr>
          <w:rFonts w:cs="Times New Roman"/>
          <w:sz w:val="32"/>
          <w:szCs w:val="32"/>
        </w:rPr>
      </w:pPr>
      <w:r>
        <w:rPr>
          <w:rFonts w:cs="Times New Roman"/>
          <w:sz w:val="32"/>
          <w:szCs w:val="32"/>
        </w:rPr>
        <w:t>《湖南省环境保护条例》（2020年1月1日）；</w:t>
      </w:r>
    </w:p>
    <w:p w14:paraId="2CE551BC">
      <w:pPr>
        <w:spacing w:line="578" w:lineRule="exact"/>
        <w:ind w:firstLine="640"/>
        <w:rPr>
          <w:rFonts w:cs="Times New Roman"/>
          <w:sz w:val="32"/>
          <w:szCs w:val="32"/>
        </w:rPr>
      </w:pPr>
      <w:r>
        <w:rPr>
          <w:rFonts w:cs="Times New Roman"/>
          <w:sz w:val="32"/>
          <w:szCs w:val="32"/>
        </w:rPr>
        <w:t>《湖南省湘江保护条例》（2013年4月1日）；</w:t>
      </w:r>
    </w:p>
    <w:p w14:paraId="230F0BCB">
      <w:pPr>
        <w:spacing w:line="578" w:lineRule="exact"/>
        <w:ind w:firstLine="640"/>
        <w:rPr>
          <w:rFonts w:cs="Times New Roman"/>
          <w:sz w:val="32"/>
          <w:szCs w:val="32"/>
        </w:rPr>
      </w:pPr>
      <w:r>
        <w:rPr>
          <w:rFonts w:cs="Times New Roman"/>
          <w:sz w:val="32"/>
          <w:szCs w:val="32"/>
        </w:rPr>
        <w:t>《湖南省大气污染防治条例》（2017年6月1日）；</w:t>
      </w:r>
    </w:p>
    <w:p w14:paraId="5FB63DB4">
      <w:pPr>
        <w:spacing w:line="578" w:lineRule="exact"/>
        <w:ind w:firstLine="640"/>
        <w:rPr>
          <w:rFonts w:cs="Times New Roman"/>
          <w:sz w:val="32"/>
          <w:szCs w:val="32"/>
        </w:rPr>
      </w:pPr>
      <w:r>
        <w:rPr>
          <w:rFonts w:cs="Times New Roman"/>
          <w:sz w:val="32"/>
          <w:szCs w:val="32"/>
        </w:rPr>
        <w:t>《畜禽规模养殖污染防治条例》（2014年1月1日）。</w:t>
      </w:r>
    </w:p>
    <w:p w14:paraId="5D388C2C">
      <w:pPr>
        <w:spacing w:line="578" w:lineRule="exact"/>
        <w:ind w:firstLine="640"/>
        <w:rPr>
          <w:rFonts w:eastAsia="楷体_GB2312" w:cs="Times New Roman"/>
          <w:sz w:val="32"/>
          <w:szCs w:val="32"/>
        </w:rPr>
      </w:pPr>
      <w:bookmarkStart w:id="20" w:name="_Toc14906"/>
      <w:bookmarkStart w:id="21" w:name="_Toc30318"/>
      <w:bookmarkStart w:id="22" w:name="_Toc27323"/>
      <w:bookmarkStart w:id="23" w:name="_Toc528"/>
      <w:r>
        <w:rPr>
          <w:rFonts w:eastAsia="楷体_GB2312" w:cs="Times New Roman"/>
          <w:sz w:val="32"/>
          <w:szCs w:val="32"/>
        </w:rPr>
        <w:t>第十三条  政策文件</w:t>
      </w:r>
      <w:bookmarkEnd w:id="20"/>
      <w:bookmarkEnd w:id="21"/>
      <w:bookmarkEnd w:id="22"/>
      <w:bookmarkEnd w:id="23"/>
    </w:p>
    <w:p w14:paraId="1E984590">
      <w:pPr>
        <w:spacing w:line="578" w:lineRule="exact"/>
        <w:ind w:firstLine="640"/>
        <w:rPr>
          <w:rFonts w:cs="Times New Roman"/>
          <w:sz w:val="32"/>
          <w:szCs w:val="32"/>
        </w:rPr>
      </w:pPr>
      <w:r>
        <w:rPr>
          <w:rFonts w:cs="Times New Roman"/>
          <w:sz w:val="32"/>
          <w:szCs w:val="32"/>
        </w:rPr>
        <w:t>中共中央国务院《关于加快推进生态文明建设的意见》（中发〔2015〕12号）；</w:t>
      </w:r>
    </w:p>
    <w:p w14:paraId="704786AC">
      <w:pPr>
        <w:spacing w:line="578" w:lineRule="exact"/>
        <w:ind w:firstLine="640"/>
        <w:rPr>
          <w:rFonts w:cs="Times New Roman"/>
          <w:sz w:val="32"/>
          <w:szCs w:val="32"/>
        </w:rPr>
      </w:pPr>
      <w:r>
        <w:rPr>
          <w:rFonts w:cs="Times New Roman"/>
          <w:sz w:val="32"/>
          <w:szCs w:val="32"/>
        </w:rPr>
        <w:t>中共中央国务院《关于生态文明体制改革总体方案的通知》（中发〔2015〕25号）；</w:t>
      </w:r>
    </w:p>
    <w:p w14:paraId="46253B4A">
      <w:pPr>
        <w:spacing w:line="578" w:lineRule="exact"/>
        <w:ind w:firstLine="640"/>
        <w:rPr>
          <w:rFonts w:cs="Times New Roman"/>
          <w:sz w:val="32"/>
          <w:szCs w:val="32"/>
        </w:rPr>
      </w:pPr>
      <w:r>
        <w:rPr>
          <w:rFonts w:cs="Times New Roman"/>
          <w:sz w:val="32"/>
          <w:szCs w:val="32"/>
        </w:rPr>
        <w:t>生态环境部《国家生态文明建设示范区规划编制指南（试行）》（环办生态函〔2021〕146号）；</w:t>
      </w:r>
    </w:p>
    <w:p w14:paraId="569A7A95">
      <w:pPr>
        <w:spacing w:line="578" w:lineRule="exact"/>
        <w:ind w:firstLine="640"/>
        <w:rPr>
          <w:rFonts w:cs="Times New Roman"/>
          <w:sz w:val="32"/>
          <w:szCs w:val="32"/>
        </w:rPr>
      </w:pPr>
      <w:r>
        <w:rPr>
          <w:rFonts w:cs="Times New Roman"/>
          <w:sz w:val="32"/>
          <w:szCs w:val="32"/>
        </w:rPr>
        <w:t>生态环境部《关于印发〈国家生态文明建设示范市县建设指标〉〈国家生态文明建设示范市县管理规程〉和〈“绿水青山就是金山银山”实践创新基地建设管理规程（试行）〉的通知》（环生态〔2019〕76号）；</w:t>
      </w:r>
    </w:p>
    <w:p w14:paraId="115D5728">
      <w:pPr>
        <w:spacing w:line="578" w:lineRule="exact"/>
        <w:ind w:firstLine="640"/>
        <w:rPr>
          <w:rFonts w:cs="Times New Roman"/>
          <w:sz w:val="32"/>
          <w:szCs w:val="32"/>
        </w:rPr>
      </w:pPr>
      <w:r>
        <w:rPr>
          <w:rFonts w:cs="Times New Roman"/>
          <w:sz w:val="32"/>
          <w:szCs w:val="32"/>
        </w:rPr>
        <w:t>生态环境部《关于开展第五批国家生态文明建设示范区和“绿水青山就是金山银山”实践创新基地遴选工作的通知》（环办生态函〔2021〕353号）；</w:t>
      </w:r>
    </w:p>
    <w:p w14:paraId="47A2BA8B">
      <w:pPr>
        <w:spacing w:line="578" w:lineRule="exact"/>
        <w:ind w:firstLine="640"/>
        <w:rPr>
          <w:rFonts w:cs="Times New Roman"/>
          <w:sz w:val="32"/>
          <w:szCs w:val="32"/>
        </w:rPr>
      </w:pPr>
      <w:r>
        <w:rPr>
          <w:rFonts w:cs="Times New Roman"/>
          <w:sz w:val="32"/>
          <w:szCs w:val="32"/>
        </w:rPr>
        <w:t>国务院《关于印发〈大气污染防治行动计划〉的通知》（国发〔2013〕37号）；</w:t>
      </w:r>
    </w:p>
    <w:p w14:paraId="6EBA154C">
      <w:pPr>
        <w:spacing w:line="578" w:lineRule="exact"/>
        <w:ind w:firstLine="640"/>
        <w:rPr>
          <w:rFonts w:cs="Times New Roman"/>
          <w:sz w:val="32"/>
          <w:szCs w:val="32"/>
        </w:rPr>
      </w:pPr>
      <w:r>
        <w:rPr>
          <w:rFonts w:cs="Times New Roman"/>
          <w:sz w:val="32"/>
          <w:szCs w:val="32"/>
        </w:rPr>
        <w:t>国务院《关于印发〈水污染防治行动计划〉的通知》（国发〔2015〕17号）；</w:t>
      </w:r>
    </w:p>
    <w:p w14:paraId="0346A204">
      <w:pPr>
        <w:spacing w:line="578" w:lineRule="exact"/>
        <w:ind w:firstLine="640"/>
        <w:rPr>
          <w:rFonts w:cs="Times New Roman"/>
          <w:sz w:val="32"/>
          <w:szCs w:val="32"/>
        </w:rPr>
      </w:pPr>
      <w:r>
        <w:rPr>
          <w:rFonts w:cs="Times New Roman"/>
          <w:sz w:val="32"/>
          <w:szCs w:val="32"/>
        </w:rPr>
        <w:t>国务院《关于印发〈土壤污染防治行动计划〉的通知》（国发〔2016〕31号）；</w:t>
      </w:r>
    </w:p>
    <w:p w14:paraId="7E2C1BFD">
      <w:pPr>
        <w:spacing w:line="578" w:lineRule="exact"/>
        <w:ind w:firstLine="640"/>
        <w:rPr>
          <w:rFonts w:cs="Times New Roman"/>
          <w:sz w:val="32"/>
          <w:szCs w:val="32"/>
        </w:rPr>
      </w:pPr>
      <w:r>
        <w:rPr>
          <w:rFonts w:cs="Times New Roman"/>
          <w:sz w:val="32"/>
          <w:szCs w:val="32"/>
        </w:rPr>
        <w:t>国家发展改革委自然资源部《关于印发〈全国重要生态系统保护和修复重大工程总体规划（2021—2035年）〉的通知》（发改农经〔2020〕837号）；</w:t>
      </w:r>
    </w:p>
    <w:p w14:paraId="2CF7A1DB">
      <w:pPr>
        <w:spacing w:line="578" w:lineRule="exact"/>
        <w:ind w:firstLine="640"/>
        <w:rPr>
          <w:rFonts w:cs="Times New Roman"/>
          <w:sz w:val="32"/>
          <w:szCs w:val="32"/>
        </w:rPr>
      </w:pPr>
      <w:r>
        <w:rPr>
          <w:rFonts w:cs="Times New Roman"/>
          <w:sz w:val="32"/>
          <w:szCs w:val="32"/>
        </w:rPr>
        <w:t>生态环境部《关于提升危险废物环境监管能力、利用处置能力和环境风险防范能力的指导意见》（环固体〔2019〕92号）；</w:t>
      </w:r>
    </w:p>
    <w:p w14:paraId="410042E6">
      <w:pPr>
        <w:spacing w:line="578" w:lineRule="exact"/>
        <w:ind w:firstLine="640"/>
        <w:rPr>
          <w:rFonts w:cs="Times New Roman"/>
          <w:sz w:val="32"/>
          <w:szCs w:val="32"/>
        </w:rPr>
      </w:pPr>
      <w:r>
        <w:rPr>
          <w:rFonts w:cs="Times New Roman"/>
          <w:sz w:val="32"/>
          <w:szCs w:val="32"/>
        </w:rPr>
        <w:t>湖南省生态环境厅《关于印发〈湖南省生态文明建设示范市县管理规程〉和〈湖南省生态文明建设示范市县建设指标〉的通知》（湘环发〔2020〕10号）；</w:t>
      </w:r>
    </w:p>
    <w:p w14:paraId="3F970836">
      <w:pPr>
        <w:spacing w:line="578" w:lineRule="exact"/>
        <w:ind w:firstLine="640"/>
        <w:rPr>
          <w:rFonts w:cs="Times New Roman"/>
          <w:sz w:val="32"/>
          <w:szCs w:val="32"/>
        </w:rPr>
      </w:pPr>
      <w:r>
        <w:rPr>
          <w:rFonts w:cs="Times New Roman"/>
          <w:sz w:val="32"/>
          <w:szCs w:val="32"/>
        </w:rPr>
        <w:t>湖南省人民政府《关于印发〈湖南省污染防治攻坚战三年行动计划（2018—2020年）〉的通知》（湘政发〔2018〕17号）；</w:t>
      </w:r>
    </w:p>
    <w:p w14:paraId="1359ABC0">
      <w:pPr>
        <w:spacing w:line="578" w:lineRule="exact"/>
        <w:ind w:firstLine="640"/>
        <w:rPr>
          <w:rFonts w:cs="Times New Roman"/>
          <w:sz w:val="32"/>
          <w:szCs w:val="32"/>
        </w:rPr>
      </w:pPr>
      <w:r>
        <w:rPr>
          <w:rFonts w:cs="Times New Roman"/>
          <w:sz w:val="32"/>
          <w:szCs w:val="32"/>
        </w:rPr>
        <w:t>湖南省人民政府《关于印发〈湖南省贯彻落实水污染防治行动计划实施方案（2016—2020年）〉的通知》（湘政发〔2015〕53号）。</w:t>
      </w:r>
    </w:p>
    <w:p w14:paraId="5B615C73">
      <w:pPr>
        <w:pStyle w:val="4"/>
        <w:spacing w:line="578" w:lineRule="exact"/>
        <w:ind w:firstLine="640" w:firstLineChars="200"/>
        <w:rPr>
          <w:rFonts w:eastAsia="楷体_GB2312" w:cs="Times New Roman"/>
          <w:b w:val="0"/>
          <w:sz w:val="32"/>
          <w:szCs w:val="32"/>
        </w:rPr>
      </w:pPr>
      <w:bookmarkStart w:id="24" w:name="_Toc4752"/>
      <w:bookmarkStart w:id="25" w:name="_Toc7018"/>
      <w:bookmarkStart w:id="26" w:name="_Toc1271"/>
      <w:bookmarkStart w:id="27" w:name="_Toc26028"/>
      <w:r>
        <w:rPr>
          <w:rFonts w:eastAsia="楷体_GB2312" w:cs="Times New Roman"/>
          <w:b w:val="0"/>
          <w:sz w:val="32"/>
          <w:szCs w:val="32"/>
        </w:rPr>
        <w:t>第十四条  相关标准</w:t>
      </w:r>
      <w:bookmarkEnd w:id="24"/>
      <w:bookmarkEnd w:id="25"/>
      <w:bookmarkEnd w:id="26"/>
      <w:bookmarkEnd w:id="27"/>
    </w:p>
    <w:p w14:paraId="02A45002">
      <w:pPr>
        <w:spacing w:line="578" w:lineRule="exact"/>
        <w:ind w:firstLine="640"/>
        <w:rPr>
          <w:rFonts w:cs="Times New Roman"/>
          <w:sz w:val="32"/>
          <w:szCs w:val="32"/>
        </w:rPr>
      </w:pPr>
      <w:r>
        <w:rPr>
          <w:rFonts w:cs="Times New Roman"/>
          <w:sz w:val="32"/>
          <w:szCs w:val="32"/>
        </w:rPr>
        <w:t>《地表水环境质量标准》（GB3838—2002）；</w:t>
      </w:r>
    </w:p>
    <w:p w14:paraId="2E26B4FE">
      <w:pPr>
        <w:spacing w:line="578" w:lineRule="exact"/>
        <w:ind w:firstLine="640"/>
        <w:rPr>
          <w:rFonts w:cs="Times New Roman"/>
          <w:sz w:val="32"/>
          <w:szCs w:val="32"/>
        </w:rPr>
      </w:pPr>
      <w:r>
        <w:rPr>
          <w:rFonts w:cs="Times New Roman"/>
          <w:sz w:val="32"/>
          <w:szCs w:val="32"/>
        </w:rPr>
        <w:t>《环境空气质量标准》（GB3095—2012）；</w:t>
      </w:r>
    </w:p>
    <w:p w14:paraId="08F15DC5">
      <w:pPr>
        <w:spacing w:line="578" w:lineRule="exact"/>
        <w:ind w:firstLine="640"/>
        <w:rPr>
          <w:rFonts w:cs="Times New Roman"/>
          <w:sz w:val="32"/>
          <w:szCs w:val="32"/>
        </w:rPr>
      </w:pPr>
      <w:r>
        <w:rPr>
          <w:rFonts w:cs="Times New Roman"/>
          <w:sz w:val="32"/>
          <w:szCs w:val="32"/>
        </w:rPr>
        <w:t>《土壤环境质量农用地土壤污染风险管控标准（试行）》（GB15618—2018）；</w:t>
      </w:r>
    </w:p>
    <w:p w14:paraId="25041F7F">
      <w:pPr>
        <w:spacing w:line="578" w:lineRule="exact"/>
        <w:ind w:firstLine="640"/>
        <w:rPr>
          <w:rFonts w:cs="Times New Roman"/>
          <w:sz w:val="32"/>
          <w:szCs w:val="32"/>
        </w:rPr>
      </w:pPr>
      <w:r>
        <w:rPr>
          <w:rFonts w:cs="Times New Roman"/>
          <w:sz w:val="32"/>
          <w:szCs w:val="32"/>
        </w:rPr>
        <w:t>《土壤环境质量建设用地土壤污染风险管控标准（试行）》（GB36600—2018）；</w:t>
      </w:r>
    </w:p>
    <w:p w14:paraId="7FDB94A8">
      <w:pPr>
        <w:spacing w:line="578" w:lineRule="exact"/>
        <w:ind w:firstLine="640"/>
        <w:rPr>
          <w:rFonts w:cs="Times New Roman"/>
          <w:sz w:val="32"/>
          <w:szCs w:val="32"/>
        </w:rPr>
      </w:pPr>
      <w:r>
        <w:rPr>
          <w:rFonts w:cs="Times New Roman"/>
          <w:sz w:val="32"/>
          <w:szCs w:val="32"/>
        </w:rPr>
        <w:t>《声环境质量标准》（GB3096—2008）；</w:t>
      </w:r>
    </w:p>
    <w:p w14:paraId="08C4A5D2">
      <w:pPr>
        <w:spacing w:line="578" w:lineRule="exact"/>
        <w:ind w:firstLine="640"/>
        <w:rPr>
          <w:rFonts w:cs="Times New Roman"/>
          <w:sz w:val="32"/>
          <w:szCs w:val="32"/>
        </w:rPr>
      </w:pPr>
      <w:r>
        <w:rPr>
          <w:rFonts w:cs="Times New Roman"/>
          <w:sz w:val="32"/>
          <w:szCs w:val="32"/>
        </w:rPr>
        <w:t>《饮用水水源保护区划分技术规范》（HJ 338—2018）；</w:t>
      </w:r>
    </w:p>
    <w:p w14:paraId="0A01E97F">
      <w:pPr>
        <w:spacing w:line="578" w:lineRule="exact"/>
        <w:ind w:firstLine="640"/>
        <w:rPr>
          <w:rFonts w:cs="Times New Roman"/>
          <w:sz w:val="32"/>
          <w:szCs w:val="32"/>
        </w:rPr>
      </w:pPr>
      <w:r>
        <w:rPr>
          <w:rFonts w:cs="Times New Roman"/>
          <w:sz w:val="32"/>
          <w:szCs w:val="32"/>
        </w:rPr>
        <w:t>《生活饮用水卫生标准》（GB5749—2006）；</w:t>
      </w:r>
    </w:p>
    <w:p w14:paraId="22673C45">
      <w:pPr>
        <w:spacing w:line="578" w:lineRule="exact"/>
        <w:ind w:firstLine="640"/>
        <w:rPr>
          <w:rFonts w:cs="Times New Roman"/>
          <w:sz w:val="32"/>
          <w:szCs w:val="32"/>
        </w:rPr>
      </w:pPr>
      <w:r>
        <w:rPr>
          <w:rFonts w:cs="Times New Roman"/>
          <w:sz w:val="32"/>
          <w:szCs w:val="32"/>
        </w:rPr>
        <w:t>《一般工业固体废物贮存、处置场污染控制标准》（GB18599—2001）及修改单；</w:t>
      </w:r>
    </w:p>
    <w:p w14:paraId="57C6E414">
      <w:pPr>
        <w:spacing w:line="578" w:lineRule="exact"/>
        <w:ind w:firstLine="616"/>
        <w:rPr>
          <w:rFonts w:cs="Times New Roman"/>
          <w:spacing w:val="-6"/>
          <w:sz w:val="32"/>
          <w:szCs w:val="32"/>
        </w:rPr>
      </w:pPr>
      <w:r>
        <w:rPr>
          <w:rFonts w:cs="Times New Roman"/>
          <w:spacing w:val="-6"/>
          <w:sz w:val="32"/>
          <w:szCs w:val="32"/>
        </w:rPr>
        <w:t>《危险废物贮存污染控制标准》（GB18597—2001）及修改单；</w:t>
      </w:r>
    </w:p>
    <w:p w14:paraId="030AFE81">
      <w:pPr>
        <w:spacing w:line="578" w:lineRule="exact"/>
        <w:ind w:firstLine="640"/>
        <w:rPr>
          <w:rFonts w:cs="Times New Roman"/>
          <w:sz w:val="32"/>
          <w:szCs w:val="32"/>
        </w:rPr>
      </w:pPr>
      <w:r>
        <w:rPr>
          <w:rFonts w:cs="Times New Roman"/>
          <w:sz w:val="32"/>
          <w:szCs w:val="32"/>
        </w:rPr>
        <w:t>《畜禽养殖业污染物排放标准》（GB18596—2001）；</w:t>
      </w:r>
    </w:p>
    <w:p w14:paraId="62BAD10B">
      <w:pPr>
        <w:spacing w:line="578" w:lineRule="exact"/>
        <w:ind w:firstLine="616"/>
        <w:rPr>
          <w:rFonts w:cs="Times New Roman"/>
          <w:snapToGrid w:val="0"/>
          <w:spacing w:val="-6"/>
          <w:kern w:val="0"/>
          <w:sz w:val="32"/>
          <w:szCs w:val="32"/>
        </w:rPr>
      </w:pPr>
      <w:r>
        <w:rPr>
          <w:rFonts w:cs="Times New Roman"/>
          <w:snapToGrid w:val="0"/>
          <w:spacing w:val="-6"/>
          <w:kern w:val="0"/>
          <w:sz w:val="32"/>
          <w:szCs w:val="32"/>
        </w:rPr>
        <w:t>《湖南省主要地表水系水环境功能区划》（DB43/023—2005）。</w:t>
      </w:r>
    </w:p>
    <w:p w14:paraId="0F93939C">
      <w:pPr>
        <w:pStyle w:val="4"/>
        <w:spacing w:line="578" w:lineRule="exact"/>
        <w:ind w:firstLine="640" w:firstLineChars="200"/>
        <w:rPr>
          <w:rFonts w:eastAsia="楷体_GB2312" w:cs="Times New Roman"/>
          <w:b w:val="0"/>
          <w:sz w:val="32"/>
          <w:szCs w:val="32"/>
        </w:rPr>
      </w:pPr>
      <w:bookmarkStart w:id="28" w:name="_Toc1327"/>
      <w:bookmarkStart w:id="29" w:name="_Toc29361"/>
      <w:bookmarkStart w:id="30" w:name="_Toc17951"/>
      <w:bookmarkStart w:id="31" w:name="_Toc17278"/>
      <w:r>
        <w:rPr>
          <w:rFonts w:eastAsia="楷体_GB2312" w:cs="Times New Roman"/>
          <w:b w:val="0"/>
          <w:sz w:val="32"/>
          <w:szCs w:val="32"/>
        </w:rPr>
        <w:t>第十五条  其他依据</w:t>
      </w:r>
      <w:bookmarkEnd w:id="28"/>
      <w:bookmarkEnd w:id="29"/>
      <w:bookmarkEnd w:id="30"/>
      <w:bookmarkEnd w:id="31"/>
    </w:p>
    <w:p w14:paraId="4626CD72">
      <w:pPr>
        <w:spacing w:line="578" w:lineRule="exact"/>
        <w:ind w:firstLine="640"/>
        <w:rPr>
          <w:rFonts w:cs="Times New Roman"/>
          <w:sz w:val="32"/>
          <w:szCs w:val="32"/>
        </w:rPr>
      </w:pPr>
      <w:r>
        <w:rPr>
          <w:rFonts w:cs="Times New Roman"/>
          <w:sz w:val="32"/>
          <w:szCs w:val="32"/>
        </w:rPr>
        <w:t>《全国主体功能区规划》（2011年）；</w:t>
      </w:r>
    </w:p>
    <w:p w14:paraId="38BFA800">
      <w:pPr>
        <w:spacing w:line="578" w:lineRule="exact"/>
        <w:ind w:firstLine="640"/>
        <w:rPr>
          <w:rFonts w:cs="Times New Roman"/>
          <w:sz w:val="32"/>
          <w:szCs w:val="32"/>
        </w:rPr>
      </w:pPr>
      <w:r>
        <w:rPr>
          <w:rFonts w:cs="Times New Roman"/>
          <w:sz w:val="32"/>
          <w:szCs w:val="32"/>
        </w:rPr>
        <w:t>《全国水土保持区划》（2016年）；</w:t>
      </w:r>
    </w:p>
    <w:p w14:paraId="5928F3EB">
      <w:pPr>
        <w:spacing w:line="578" w:lineRule="exact"/>
        <w:ind w:firstLine="640"/>
        <w:rPr>
          <w:rFonts w:cs="Times New Roman"/>
          <w:sz w:val="32"/>
          <w:szCs w:val="32"/>
        </w:rPr>
      </w:pPr>
      <w:r>
        <w:rPr>
          <w:rFonts w:cs="Times New Roman"/>
          <w:sz w:val="32"/>
          <w:szCs w:val="32"/>
        </w:rPr>
        <w:t>《全国生态功能区划（修编版）》（2015年）；</w:t>
      </w:r>
    </w:p>
    <w:p w14:paraId="4F942D1C">
      <w:pPr>
        <w:spacing w:line="578" w:lineRule="exact"/>
        <w:ind w:firstLine="640"/>
        <w:rPr>
          <w:rFonts w:cs="Times New Roman"/>
          <w:sz w:val="32"/>
          <w:szCs w:val="32"/>
        </w:rPr>
      </w:pPr>
      <w:r>
        <w:rPr>
          <w:rFonts w:cs="Times New Roman"/>
          <w:sz w:val="32"/>
          <w:szCs w:val="32"/>
        </w:rPr>
        <w:t>《湖南省主体功能区规划（2012—2020年）》；</w:t>
      </w:r>
    </w:p>
    <w:p w14:paraId="4920AB8D">
      <w:pPr>
        <w:spacing w:line="578" w:lineRule="exact"/>
        <w:ind w:firstLine="640"/>
        <w:rPr>
          <w:rFonts w:cs="Times New Roman"/>
          <w:sz w:val="32"/>
          <w:szCs w:val="32"/>
        </w:rPr>
      </w:pPr>
      <w:r>
        <w:rPr>
          <w:rFonts w:cs="Times New Roman"/>
          <w:sz w:val="32"/>
          <w:szCs w:val="32"/>
        </w:rPr>
        <w:t>《株洲市国民经济和社会发展第十四个五年规划和二</w:t>
      </w:r>
      <w:r>
        <w:rPr>
          <w:rFonts w:eastAsia="宋体" w:cs="Times New Roman"/>
          <w:sz w:val="32"/>
          <w:szCs w:val="32"/>
        </w:rPr>
        <w:t>〇</w:t>
      </w:r>
      <w:r>
        <w:rPr>
          <w:rFonts w:cs="Times New Roman"/>
          <w:sz w:val="32"/>
          <w:szCs w:val="32"/>
        </w:rPr>
        <w:t>三五年远景目标纲要》；</w:t>
      </w:r>
    </w:p>
    <w:p w14:paraId="1D79C2CD">
      <w:pPr>
        <w:spacing w:line="578" w:lineRule="exact"/>
        <w:ind w:firstLine="640"/>
        <w:rPr>
          <w:rFonts w:cs="Times New Roman"/>
          <w:sz w:val="32"/>
          <w:szCs w:val="32"/>
        </w:rPr>
      </w:pPr>
      <w:r>
        <w:rPr>
          <w:rFonts w:cs="Times New Roman"/>
          <w:sz w:val="32"/>
          <w:szCs w:val="32"/>
        </w:rPr>
        <w:t>《醴陵市国民经济和社会发展第十四个五年规划和二</w:t>
      </w:r>
      <w:r>
        <w:rPr>
          <w:rFonts w:eastAsia="宋体" w:cs="Times New Roman"/>
          <w:sz w:val="32"/>
          <w:szCs w:val="32"/>
        </w:rPr>
        <w:t>〇</w:t>
      </w:r>
      <w:r>
        <w:rPr>
          <w:rFonts w:cs="Times New Roman"/>
          <w:sz w:val="32"/>
          <w:szCs w:val="32"/>
        </w:rPr>
        <w:t>三五年远景目标纲要》；</w:t>
      </w:r>
    </w:p>
    <w:p w14:paraId="17F48991">
      <w:pPr>
        <w:spacing w:line="578" w:lineRule="exact"/>
        <w:ind w:firstLine="640"/>
        <w:rPr>
          <w:rFonts w:cs="Times New Roman"/>
          <w:sz w:val="32"/>
          <w:szCs w:val="32"/>
        </w:rPr>
      </w:pPr>
      <w:r>
        <w:rPr>
          <w:rFonts w:cs="Times New Roman"/>
          <w:sz w:val="32"/>
          <w:szCs w:val="32"/>
        </w:rPr>
        <w:t>醴陵市各职能部门提供的基础资料。</w:t>
      </w:r>
    </w:p>
    <w:p w14:paraId="7CE9843C">
      <w:pPr>
        <w:pStyle w:val="3"/>
        <w:spacing w:beforeLines="50" w:afterLines="50" w:line="578" w:lineRule="exact"/>
        <w:rPr>
          <w:rFonts w:eastAsia="黑体" w:cs="Times New Roman"/>
          <w:b w:val="0"/>
          <w:sz w:val="32"/>
          <w:szCs w:val="32"/>
        </w:rPr>
      </w:pPr>
      <w:bookmarkStart w:id="32" w:name="_Toc101876859"/>
      <w:r>
        <w:rPr>
          <w:rFonts w:eastAsia="黑体" w:cs="Times New Roman"/>
          <w:b w:val="0"/>
          <w:sz w:val="32"/>
          <w:szCs w:val="32"/>
        </w:rPr>
        <w:t>第五节  规划期限</w:t>
      </w:r>
      <w:bookmarkEnd w:id="32"/>
    </w:p>
    <w:p w14:paraId="3F5A8ABB">
      <w:pPr>
        <w:pStyle w:val="4"/>
        <w:spacing w:line="578" w:lineRule="exact"/>
        <w:ind w:firstLine="640" w:firstLineChars="200"/>
        <w:rPr>
          <w:rFonts w:eastAsia="楷体_GB2312" w:cs="Times New Roman"/>
          <w:b w:val="0"/>
          <w:sz w:val="32"/>
          <w:szCs w:val="32"/>
        </w:rPr>
      </w:pPr>
      <w:r>
        <w:rPr>
          <w:rFonts w:eastAsia="楷体_GB2312" w:cs="Times New Roman"/>
          <w:b w:val="0"/>
          <w:sz w:val="32"/>
          <w:szCs w:val="32"/>
        </w:rPr>
        <w:t>第十六条  规划期限</w:t>
      </w:r>
    </w:p>
    <w:p w14:paraId="21CBA8A3">
      <w:pPr>
        <w:spacing w:line="578" w:lineRule="exact"/>
        <w:ind w:firstLine="640"/>
        <w:rPr>
          <w:rFonts w:cs="Times New Roman"/>
          <w:sz w:val="32"/>
          <w:szCs w:val="32"/>
        </w:rPr>
      </w:pPr>
      <w:r>
        <w:rPr>
          <w:rFonts w:cs="Times New Roman"/>
          <w:sz w:val="32"/>
          <w:szCs w:val="32"/>
        </w:rPr>
        <w:t>规划以2020年为基期年，规划时限为2021—2030年，分为3个阶段：</w:t>
      </w:r>
    </w:p>
    <w:p w14:paraId="2EEFDD18">
      <w:pPr>
        <w:spacing w:line="578" w:lineRule="exact"/>
        <w:ind w:firstLine="640"/>
        <w:rPr>
          <w:rFonts w:cs="Times New Roman"/>
          <w:sz w:val="32"/>
          <w:szCs w:val="32"/>
        </w:rPr>
      </w:pPr>
      <w:r>
        <w:rPr>
          <w:rFonts w:cs="Times New Roman"/>
          <w:sz w:val="32"/>
          <w:szCs w:val="32"/>
        </w:rPr>
        <w:t>近期（2021—2022年）：达到省级生态文明建设示范市创建基本条件和建设指标标准要求；</w:t>
      </w:r>
    </w:p>
    <w:p w14:paraId="5B099B9B">
      <w:pPr>
        <w:spacing w:line="578" w:lineRule="exact"/>
        <w:ind w:firstLine="640"/>
        <w:rPr>
          <w:rFonts w:cs="Times New Roman"/>
          <w:sz w:val="32"/>
          <w:szCs w:val="32"/>
        </w:rPr>
      </w:pPr>
      <w:r>
        <w:rPr>
          <w:rFonts w:cs="Times New Roman"/>
          <w:sz w:val="32"/>
          <w:szCs w:val="32"/>
        </w:rPr>
        <w:t>中期（2023—2025年）：达到国家生态文明建设示范市创建基本条件和建设指标标准要求；</w:t>
      </w:r>
    </w:p>
    <w:p w14:paraId="71E1F70F">
      <w:pPr>
        <w:spacing w:line="578" w:lineRule="exact"/>
        <w:ind w:firstLine="640"/>
        <w:rPr>
          <w:rFonts w:cs="Times New Roman"/>
          <w:sz w:val="32"/>
          <w:szCs w:val="32"/>
        </w:rPr>
      </w:pPr>
      <w:r>
        <w:rPr>
          <w:rFonts w:cs="Times New Roman"/>
          <w:sz w:val="32"/>
          <w:szCs w:val="32"/>
        </w:rPr>
        <w:t>远期（2026—2030年）：生态文明建设成果深化提质期。</w:t>
      </w:r>
    </w:p>
    <w:p w14:paraId="0FEB625B">
      <w:pPr>
        <w:pStyle w:val="3"/>
        <w:spacing w:beforeLines="50" w:afterLines="50" w:line="578" w:lineRule="exact"/>
        <w:rPr>
          <w:rFonts w:eastAsia="黑体" w:cs="Times New Roman"/>
          <w:b w:val="0"/>
          <w:sz w:val="32"/>
          <w:szCs w:val="32"/>
        </w:rPr>
      </w:pPr>
      <w:bookmarkStart w:id="33" w:name="_Toc101876860"/>
      <w:r>
        <w:rPr>
          <w:rFonts w:eastAsia="黑体" w:cs="Times New Roman"/>
          <w:b w:val="0"/>
          <w:sz w:val="32"/>
          <w:szCs w:val="32"/>
        </w:rPr>
        <w:t>第六节  规划目标</w:t>
      </w:r>
      <w:bookmarkEnd w:id="33"/>
    </w:p>
    <w:p w14:paraId="190B8B22">
      <w:pPr>
        <w:pStyle w:val="4"/>
        <w:spacing w:line="578" w:lineRule="exact"/>
        <w:ind w:firstLine="640" w:firstLineChars="200"/>
        <w:rPr>
          <w:rFonts w:eastAsia="楷体_GB2312" w:cs="Times New Roman"/>
          <w:b w:val="0"/>
          <w:sz w:val="32"/>
          <w:szCs w:val="32"/>
        </w:rPr>
      </w:pPr>
      <w:r>
        <w:rPr>
          <w:rFonts w:eastAsia="楷体_GB2312" w:cs="Times New Roman"/>
          <w:b w:val="0"/>
          <w:sz w:val="32"/>
          <w:szCs w:val="32"/>
        </w:rPr>
        <w:t>第十七条  总体目标</w:t>
      </w:r>
    </w:p>
    <w:p w14:paraId="6BA6DBED">
      <w:pPr>
        <w:spacing w:line="578" w:lineRule="exact"/>
        <w:ind w:firstLine="640"/>
        <w:rPr>
          <w:rFonts w:cs="Times New Roman"/>
          <w:sz w:val="32"/>
          <w:szCs w:val="32"/>
        </w:rPr>
      </w:pPr>
      <w:r>
        <w:rPr>
          <w:rFonts w:cs="Times New Roman"/>
          <w:sz w:val="32"/>
          <w:szCs w:val="32"/>
        </w:rPr>
        <w:t>坚定不移走生态优先、绿色发展之路，坚持“绿水青山就是金山银山”理念，以建设“千亿时代”“五城发展”为总揽，建立健全生态制度、改善生态环境质量、保护生态系统、优化空间开发格局、生产生活方式绿色转型成效显著、能源资源利用效率提高、生态文明理念深入人心，人民群众的幸福感、获得感、安全感不断增强，建成人与自然和谐共生的新醴陵。</w:t>
      </w:r>
    </w:p>
    <w:p w14:paraId="43AB29D8">
      <w:pPr>
        <w:pStyle w:val="4"/>
        <w:spacing w:line="578" w:lineRule="exact"/>
        <w:ind w:firstLine="640" w:firstLineChars="200"/>
        <w:rPr>
          <w:rFonts w:eastAsia="楷体_GB2312" w:cs="Times New Roman"/>
          <w:b w:val="0"/>
          <w:sz w:val="32"/>
          <w:szCs w:val="32"/>
        </w:rPr>
      </w:pPr>
      <w:r>
        <w:rPr>
          <w:rFonts w:eastAsia="楷体_GB2312" w:cs="Times New Roman"/>
          <w:b w:val="0"/>
          <w:sz w:val="32"/>
          <w:szCs w:val="32"/>
        </w:rPr>
        <w:t>第十八条  阶段目标</w:t>
      </w:r>
    </w:p>
    <w:p w14:paraId="52D52F03">
      <w:pPr>
        <w:spacing w:line="578" w:lineRule="exact"/>
        <w:ind w:firstLine="640"/>
        <w:rPr>
          <w:rFonts w:cs="Times New Roman"/>
          <w:sz w:val="32"/>
          <w:szCs w:val="32"/>
        </w:rPr>
      </w:pPr>
      <w:r>
        <w:rPr>
          <w:rFonts w:cs="Times New Roman"/>
          <w:sz w:val="32"/>
          <w:szCs w:val="32"/>
        </w:rPr>
        <w:t>（一）近期目标（2021—2022年）。</w:t>
      </w:r>
      <w:r>
        <w:rPr>
          <w:rFonts w:cs="Times New Roman"/>
          <w:bCs/>
          <w:sz w:val="32"/>
          <w:szCs w:val="32"/>
        </w:rPr>
        <w:t>科学编制生态文明建设示范市规划，建立健全国土空间开发保护、生态环境保护、资源高效利用等内容生态制度体系，开展生态文明建设示范镇村创建；加快推进农村基础设施建设，优化产业结构，发展绿色经济，</w:t>
      </w:r>
      <w:r>
        <w:rPr>
          <w:rFonts w:cs="Times New Roman"/>
          <w:bCs/>
          <w:snapToGrid w:val="0"/>
          <w:spacing w:val="-6"/>
          <w:kern w:val="0"/>
          <w:sz w:val="32"/>
          <w:szCs w:val="32"/>
        </w:rPr>
        <w:t>达到省级生态文明建设示范市创建基本条件和建设指标标准要求。</w:t>
      </w:r>
    </w:p>
    <w:p w14:paraId="1D50E1EA">
      <w:pPr>
        <w:pStyle w:val="5"/>
        <w:spacing w:line="578" w:lineRule="exact"/>
        <w:ind w:firstLine="640" w:firstLineChars="200"/>
        <w:rPr>
          <w:rFonts w:cs="Times New Roman"/>
          <w:b w:val="0"/>
          <w:bCs/>
          <w:sz w:val="32"/>
          <w:szCs w:val="32"/>
        </w:rPr>
      </w:pPr>
      <w:r>
        <w:rPr>
          <w:rFonts w:cs="Times New Roman"/>
          <w:b w:val="0"/>
          <w:sz w:val="32"/>
          <w:szCs w:val="32"/>
        </w:rPr>
        <w:t>（二）中期目标（2023—2025年）。</w:t>
      </w:r>
      <w:r>
        <w:rPr>
          <w:rFonts w:cs="Times New Roman"/>
          <w:b w:val="0"/>
          <w:bCs/>
          <w:sz w:val="32"/>
          <w:szCs w:val="32"/>
        </w:rPr>
        <w:t>进一步巩固和提升省级生态文明建设示范市建设成果，持续深化生态制度体系建设，生态环境质量良好，生态系统服务功能稳步提升，绿色生活方式深入人心，绿色发展水平进一步提升，城乡居民生活水平不断提高生活质量明显改善，达到国家生态文明建设示范市创建基本条件和建设指标标准要求。</w:t>
      </w:r>
    </w:p>
    <w:p w14:paraId="19D5E673">
      <w:pPr>
        <w:pStyle w:val="5"/>
        <w:spacing w:line="578" w:lineRule="exact"/>
        <w:ind w:firstLine="640" w:firstLineChars="200"/>
        <w:rPr>
          <w:rFonts w:cs="Times New Roman"/>
          <w:b w:val="0"/>
          <w:bCs/>
          <w:spacing w:val="-6"/>
          <w:sz w:val="32"/>
          <w:szCs w:val="32"/>
        </w:rPr>
      </w:pPr>
      <w:r>
        <w:rPr>
          <w:rFonts w:cs="Times New Roman"/>
          <w:b w:val="0"/>
          <w:sz w:val="32"/>
          <w:szCs w:val="32"/>
        </w:rPr>
        <w:t>（三）远期目标（2026—2030年）。</w:t>
      </w:r>
      <w:r>
        <w:rPr>
          <w:rFonts w:cs="Times New Roman"/>
          <w:b w:val="0"/>
          <w:bCs/>
          <w:sz w:val="32"/>
          <w:szCs w:val="32"/>
        </w:rPr>
        <w:t>在国家生态文明建设示范市的基础上，全面深化推进生态文明建设，进一步推进区域生态文明制度体系、生态安全体系、生</w:t>
      </w:r>
      <w:r>
        <w:rPr>
          <w:rFonts w:cs="Times New Roman"/>
          <w:b w:val="0"/>
          <w:bCs/>
          <w:spacing w:val="-6"/>
          <w:sz w:val="32"/>
          <w:szCs w:val="32"/>
        </w:rPr>
        <w:t>态空间体系、生态经济体系、生态生活体系和生态文化体系建设，不断完善生态文明建设长效机制，改善生态环境，绿色生产生活方式广泛形成，实现人与自然和谐共生。</w:t>
      </w:r>
    </w:p>
    <w:p w14:paraId="01C6CB90">
      <w:pPr>
        <w:pStyle w:val="3"/>
        <w:spacing w:afterLines="50" w:line="578" w:lineRule="exact"/>
        <w:rPr>
          <w:rFonts w:eastAsia="黑体" w:cs="Times New Roman"/>
          <w:b w:val="0"/>
          <w:sz w:val="32"/>
          <w:szCs w:val="32"/>
        </w:rPr>
      </w:pPr>
      <w:bookmarkStart w:id="34" w:name="_Toc101876861"/>
      <w:r>
        <w:rPr>
          <w:rFonts w:eastAsia="黑体" w:cs="Times New Roman"/>
          <w:b w:val="0"/>
          <w:sz w:val="32"/>
          <w:szCs w:val="32"/>
        </w:rPr>
        <w:t>第七节  建设指标</w:t>
      </w:r>
      <w:bookmarkEnd w:id="34"/>
    </w:p>
    <w:p w14:paraId="4038C835">
      <w:pPr>
        <w:pStyle w:val="4"/>
        <w:spacing w:line="578" w:lineRule="exact"/>
        <w:ind w:firstLine="640" w:firstLineChars="200"/>
        <w:rPr>
          <w:rFonts w:eastAsia="楷体_GB2312" w:cs="Times New Roman"/>
          <w:b w:val="0"/>
          <w:sz w:val="32"/>
          <w:szCs w:val="32"/>
        </w:rPr>
      </w:pPr>
      <w:r>
        <w:rPr>
          <w:rFonts w:eastAsia="楷体_GB2312" w:cs="Times New Roman"/>
          <w:b w:val="0"/>
          <w:sz w:val="32"/>
          <w:szCs w:val="32"/>
        </w:rPr>
        <w:t>第十九条  建设指标</w:t>
      </w:r>
    </w:p>
    <w:p w14:paraId="2CF55045">
      <w:pPr>
        <w:spacing w:line="578" w:lineRule="exact"/>
        <w:ind w:firstLine="640"/>
        <w:rPr>
          <w:rFonts w:cs="Times New Roman"/>
          <w:sz w:val="32"/>
          <w:szCs w:val="32"/>
        </w:rPr>
      </w:pPr>
      <w:r>
        <w:rPr>
          <w:rFonts w:cs="Times New Roman"/>
          <w:sz w:val="32"/>
          <w:szCs w:val="32"/>
        </w:rPr>
        <w:t>根据《国家生态文明建设示范市县建设指标》《湖南省生态文明建设示范市县建设指标》《国家生态文明建设示范区建设指标（修订版）》文件精神。2020年，醴陵市省级生态文明建设示范市34项建设指标中有31项指标达标，已达标指标占比为91%；有3项指标未达标，未达标指标占比为9%。国家生态文明建设示范市（县级市）包括37项建设指标，其中海岸生态修复和自然岸线保有率仅考核沿海地区，故醴陵市国家生态文明建设示范市共包括35项建设指标，其中31项指标达标，已达标指标占比为89%；4项指标未达标，未达标指标占比为11%（详见下表）。</w:t>
      </w:r>
    </w:p>
    <w:p w14:paraId="21CE3F4C">
      <w:pPr>
        <w:spacing w:line="578" w:lineRule="exact"/>
        <w:ind w:firstLine="640"/>
        <w:rPr>
          <w:rFonts w:cs="Times New Roman"/>
          <w:sz w:val="32"/>
          <w:szCs w:val="32"/>
        </w:rPr>
        <w:sectPr>
          <w:headerReference r:id="rId11" w:type="default"/>
          <w:footerReference r:id="rId12" w:type="default"/>
          <w:pgSz w:w="11906" w:h="16838"/>
          <w:pgMar w:top="2098" w:right="1531" w:bottom="1701" w:left="1531" w:header="851" w:footer="1247" w:gutter="0"/>
          <w:pgNumType w:start="1"/>
          <w:cols w:space="425" w:num="1"/>
          <w:docGrid w:type="lines" w:linePitch="312" w:charSpace="0"/>
        </w:sectPr>
      </w:pPr>
    </w:p>
    <w:p w14:paraId="3CBD36B8">
      <w:pPr>
        <w:pStyle w:val="21"/>
        <w:spacing w:line="560" w:lineRule="exact"/>
        <w:jc w:val="left"/>
        <w:rPr>
          <w:rFonts w:hint="default" w:eastAsia="黑体" w:cs="Times New Roman"/>
          <w:b w:val="0"/>
          <w:sz w:val="32"/>
          <w:szCs w:val="32"/>
        </w:rPr>
      </w:pPr>
    </w:p>
    <w:p w14:paraId="6CACBA04">
      <w:pPr>
        <w:pStyle w:val="21"/>
        <w:spacing w:line="560" w:lineRule="exact"/>
        <w:rPr>
          <w:rFonts w:hint="default" w:eastAsia="方正小标宋简体" w:cs="Times New Roman"/>
          <w:b w:val="0"/>
          <w:sz w:val="44"/>
          <w:szCs w:val="44"/>
        </w:rPr>
      </w:pPr>
      <w:r>
        <w:rPr>
          <w:rFonts w:hint="default" w:eastAsia="方正小标宋简体" w:cs="Times New Roman"/>
          <w:b w:val="0"/>
          <w:sz w:val="44"/>
          <w:szCs w:val="44"/>
        </w:rPr>
        <w:t>醴陵市生态文明建设示范市指标体系现状值及规划值</w:t>
      </w:r>
    </w:p>
    <w:tbl>
      <w:tblPr>
        <w:tblStyle w:val="17"/>
        <w:tblW w:w="13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03"/>
        <w:gridCol w:w="828"/>
        <w:gridCol w:w="440"/>
        <w:gridCol w:w="2723"/>
        <w:gridCol w:w="622"/>
        <w:gridCol w:w="1100"/>
        <w:gridCol w:w="1100"/>
        <w:gridCol w:w="1034"/>
        <w:gridCol w:w="1366"/>
        <w:gridCol w:w="853"/>
        <w:gridCol w:w="1110"/>
        <w:gridCol w:w="1080"/>
        <w:gridCol w:w="1162"/>
      </w:tblGrid>
      <w:tr w14:paraId="27E7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503" w:type="dxa"/>
            <w:vMerge w:val="restart"/>
            <w:noWrap/>
            <w:vAlign w:val="center"/>
          </w:tcPr>
          <w:p w14:paraId="20975DFE">
            <w:pPr>
              <w:pStyle w:val="22"/>
              <w:spacing w:line="300" w:lineRule="exact"/>
              <w:rPr>
                <w:rFonts w:eastAsia="黑体" w:cs="Times New Roman"/>
                <w:bCs w:val="0"/>
                <w:sz w:val="21"/>
                <w:szCs w:val="21"/>
              </w:rPr>
            </w:pPr>
            <w:r>
              <w:rPr>
                <w:rFonts w:eastAsia="黑体" w:cs="Times New Roman"/>
                <w:bCs w:val="0"/>
                <w:sz w:val="21"/>
                <w:szCs w:val="21"/>
              </w:rPr>
              <w:t>领域</w:t>
            </w:r>
          </w:p>
        </w:tc>
        <w:tc>
          <w:tcPr>
            <w:tcW w:w="828" w:type="dxa"/>
            <w:vMerge w:val="restart"/>
            <w:noWrap/>
            <w:vAlign w:val="center"/>
          </w:tcPr>
          <w:p w14:paraId="7A2EFE7C">
            <w:pPr>
              <w:pStyle w:val="22"/>
              <w:spacing w:line="300" w:lineRule="exact"/>
              <w:rPr>
                <w:rFonts w:eastAsia="黑体" w:cs="Times New Roman"/>
                <w:bCs w:val="0"/>
                <w:sz w:val="21"/>
                <w:szCs w:val="21"/>
              </w:rPr>
            </w:pPr>
            <w:r>
              <w:rPr>
                <w:rFonts w:eastAsia="黑体" w:cs="Times New Roman"/>
                <w:bCs w:val="0"/>
                <w:sz w:val="21"/>
                <w:szCs w:val="21"/>
              </w:rPr>
              <w:t>任务</w:t>
            </w:r>
          </w:p>
        </w:tc>
        <w:tc>
          <w:tcPr>
            <w:tcW w:w="440" w:type="dxa"/>
            <w:vMerge w:val="restart"/>
            <w:noWrap/>
            <w:vAlign w:val="center"/>
          </w:tcPr>
          <w:p w14:paraId="6DD99518">
            <w:pPr>
              <w:pStyle w:val="22"/>
              <w:spacing w:line="300" w:lineRule="exact"/>
              <w:rPr>
                <w:rFonts w:eastAsia="黑体" w:cs="Times New Roman"/>
                <w:bCs w:val="0"/>
                <w:sz w:val="21"/>
                <w:szCs w:val="21"/>
              </w:rPr>
            </w:pPr>
            <w:r>
              <w:rPr>
                <w:rFonts w:eastAsia="黑体" w:cs="Times New Roman"/>
                <w:bCs w:val="0"/>
                <w:sz w:val="21"/>
                <w:szCs w:val="21"/>
              </w:rPr>
              <w:t>序号</w:t>
            </w:r>
          </w:p>
        </w:tc>
        <w:tc>
          <w:tcPr>
            <w:tcW w:w="2723" w:type="dxa"/>
            <w:vMerge w:val="restart"/>
            <w:noWrap/>
            <w:vAlign w:val="center"/>
          </w:tcPr>
          <w:p w14:paraId="3CA4DAAD">
            <w:pPr>
              <w:pStyle w:val="22"/>
              <w:spacing w:line="300" w:lineRule="exact"/>
              <w:rPr>
                <w:rFonts w:eastAsia="黑体" w:cs="Times New Roman"/>
                <w:bCs w:val="0"/>
                <w:sz w:val="21"/>
                <w:szCs w:val="21"/>
              </w:rPr>
            </w:pPr>
            <w:r>
              <w:rPr>
                <w:rFonts w:eastAsia="黑体" w:cs="Times New Roman"/>
                <w:bCs w:val="0"/>
                <w:sz w:val="21"/>
                <w:szCs w:val="21"/>
              </w:rPr>
              <w:t>指标名称</w:t>
            </w:r>
          </w:p>
        </w:tc>
        <w:tc>
          <w:tcPr>
            <w:tcW w:w="622" w:type="dxa"/>
            <w:vMerge w:val="restart"/>
            <w:noWrap/>
            <w:vAlign w:val="center"/>
          </w:tcPr>
          <w:p w14:paraId="513AC8D3">
            <w:pPr>
              <w:pStyle w:val="22"/>
              <w:spacing w:line="300" w:lineRule="exact"/>
              <w:rPr>
                <w:rFonts w:eastAsia="黑体" w:cs="Times New Roman"/>
                <w:bCs w:val="0"/>
                <w:sz w:val="21"/>
                <w:szCs w:val="21"/>
              </w:rPr>
            </w:pPr>
            <w:r>
              <w:rPr>
                <w:rFonts w:eastAsia="黑体" w:cs="Times New Roman"/>
                <w:bCs w:val="0"/>
                <w:sz w:val="21"/>
                <w:szCs w:val="21"/>
              </w:rPr>
              <w:t>单位</w:t>
            </w:r>
          </w:p>
        </w:tc>
        <w:tc>
          <w:tcPr>
            <w:tcW w:w="2200" w:type="dxa"/>
            <w:gridSpan w:val="2"/>
            <w:noWrap/>
            <w:vAlign w:val="center"/>
          </w:tcPr>
          <w:p w14:paraId="765E16AC">
            <w:pPr>
              <w:pStyle w:val="22"/>
              <w:spacing w:line="300" w:lineRule="exact"/>
              <w:rPr>
                <w:rFonts w:eastAsia="黑体" w:cs="Times New Roman"/>
                <w:bCs w:val="0"/>
                <w:sz w:val="21"/>
                <w:szCs w:val="21"/>
              </w:rPr>
            </w:pPr>
            <w:r>
              <w:rPr>
                <w:rFonts w:eastAsia="黑体" w:cs="Times New Roman"/>
                <w:bCs w:val="0"/>
                <w:sz w:val="21"/>
                <w:szCs w:val="21"/>
              </w:rPr>
              <w:t>指标标准</w:t>
            </w:r>
          </w:p>
        </w:tc>
        <w:tc>
          <w:tcPr>
            <w:tcW w:w="1034" w:type="dxa"/>
            <w:vMerge w:val="restart"/>
            <w:noWrap/>
            <w:vAlign w:val="center"/>
          </w:tcPr>
          <w:p w14:paraId="68272D0E">
            <w:pPr>
              <w:pStyle w:val="22"/>
              <w:spacing w:line="300" w:lineRule="exact"/>
              <w:rPr>
                <w:rFonts w:eastAsia="黑体" w:cs="Times New Roman"/>
                <w:bCs w:val="0"/>
                <w:sz w:val="21"/>
                <w:szCs w:val="21"/>
              </w:rPr>
            </w:pPr>
            <w:r>
              <w:rPr>
                <w:rFonts w:eastAsia="黑体" w:cs="Times New Roman"/>
                <w:bCs w:val="0"/>
                <w:sz w:val="21"/>
                <w:szCs w:val="21"/>
              </w:rPr>
              <w:t>指标属性</w:t>
            </w:r>
          </w:p>
        </w:tc>
        <w:tc>
          <w:tcPr>
            <w:tcW w:w="1366" w:type="dxa"/>
            <w:noWrap/>
            <w:vAlign w:val="center"/>
          </w:tcPr>
          <w:p w14:paraId="2851EE07">
            <w:pPr>
              <w:pStyle w:val="22"/>
              <w:spacing w:line="300" w:lineRule="exact"/>
              <w:rPr>
                <w:rFonts w:eastAsia="黑体" w:cs="Times New Roman"/>
                <w:bCs w:val="0"/>
                <w:sz w:val="21"/>
                <w:szCs w:val="21"/>
              </w:rPr>
            </w:pPr>
            <w:r>
              <w:rPr>
                <w:rFonts w:eastAsia="黑体" w:cs="Times New Roman"/>
                <w:bCs w:val="0"/>
                <w:sz w:val="21"/>
                <w:szCs w:val="21"/>
              </w:rPr>
              <w:t>现状值</w:t>
            </w:r>
          </w:p>
        </w:tc>
        <w:tc>
          <w:tcPr>
            <w:tcW w:w="853" w:type="dxa"/>
            <w:vMerge w:val="restart"/>
            <w:tcBorders>
              <w:right w:val="single" w:color="000000" w:sz="4" w:space="0"/>
            </w:tcBorders>
            <w:noWrap/>
            <w:vAlign w:val="center"/>
          </w:tcPr>
          <w:p w14:paraId="1F249690">
            <w:pPr>
              <w:pStyle w:val="22"/>
              <w:spacing w:line="300" w:lineRule="exact"/>
              <w:rPr>
                <w:rFonts w:eastAsia="黑体" w:cs="Times New Roman"/>
                <w:bCs w:val="0"/>
                <w:sz w:val="21"/>
                <w:szCs w:val="21"/>
              </w:rPr>
            </w:pPr>
            <w:r>
              <w:rPr>
                <w:rFonts w:eastAsia="黑体" w:cs="Times New Roman"/>
                <w:bCs w:val="0"/>
                <w:sz w:val="21"/>
                <w:szCs w:val="21"/>
              </w:rPr>
              <w:t>达标</w:t>
            </w:r>
          </w:p>
          <w:p w14:paraId="0AD4803E">
            <w:pPr>
              <w:pStyle w:val="22"/>
              <w:spacing w:line="300" w:lineRule="exact"/>
              <w:rPr>
                <w:rFonts w:eastAsia="黑体" w:cs="Times New Roman"/>
                <w:bCs w:val="0"/>
                <w:sz w:val="21"/>
                <w:szCs w:val="21"/>
              </w:rPr>
            </w:pPr>
            <w:r>
              <w:rPr>
                <w:rFonts w:eastAsia="黑体" w:cs="Times New Roman"/>
                <w:bCs w:val="0"/>
                <w:sz w:val="21"/>
                <w:szCs w:val="21"/>
              </w:rPr>
              <w:t>情况</w:t>
            </w:r>
          </w:p>
        </w:tc>
        <w:tc>
          <w:tcPr>
            <w:tcW w:w="3352" w:type="dxa"/>
            <w:gridSpan w:val="3"/>
            <w:tcBorders>
              <w:left w:val="single" w:color="000000" w:sz="4" w:space="0"/>
            </w:tcBorders>
            <w:noWrap/>
            <w:vAlign w:val="center"/>
          </w:tcPr>
          <w:p w14:paraId="12FC30BC">
            <w:pPr>
              <w:pStyle w:val="22"/>
              <w:spacing w:line="300" w:lineRule="exact"/>
              <w:rPr>
                <w:rFonts w:eastAsia="黑体" w:cs="Times New Roman"/>
                <w:bCs w:val="0"/>
                <w:sz w:val="21"/>
                <w:szCs w:val="21"/>
              </w:rPr>
            </w:pPr>
            <w:r>
              <w:rPr>
                <w:rFonts w:eastAsia="黑体" w:cs="Times New Roman"/>
                <w:bCs w:val="0"/>
                <w:sz w:val="21"/>
                <w:szCs w:val="21"/>
              </w:rPr>
              <w:t>规划目标值</w:t>
            </w:r>
          </w:p>
        </w:tc>
      </w:tr>
      <w:tr w14:paraId="0183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503" w:type="dxa"/>
            <w:vMerge w:val="continue"/>
            <w:noWrap/>
            <w:vAlign w:val="center"/>
          </w:tcPr>
          <w:p w14:paraId="48162994">
            <w:pPr>
              <w:pStyle w:val="22"/>
              <w:spacing w:line="300" w:lineRule="exact"/>
              <w:rPr>
                <w:rFonts w:eastAsia="黑体" w:cs="Times New Roman"/>
                <w:bCs w:val="0"/>
                <w:sz w:val="21"/>
                <w:szCs w:val="21"/>
              </w:rPr>
            </w:pPr>
          </w:p>
        </w:tc>
        <w:tc>
          <w:tcPr>
            <w:tcW w:w="828" w:type="dxa"/>
            <w:vMerge w:val="continue"/>
            <w:noWrap/>
            <w:vAlign w:val="center"/>
          </w:tcPr>
          <w:p w14:paraId="7FB41DC7">
            <w:pPr>
              <w:pStyle w:val="22"/>
              <w:spacing w:line="300" w:lineRule="exact"/>
              <w:rPr>
                <w:rFonts w:eastAsia="黑体" w:cs="Times New Roman"/>
                <w:bCs w:val="0"/>
                <w:sz w:val="21"/>
                <w:szCs w:val="21"/>
              </w:rPr>
            </w:pPr>
          </w:p>
        </w:tc>
        <w:tc>
          <w:tcPr>
            <w:tcW w:w="440" w:type="dxa"/>
            <w:vMerge w:val="continue"/>
            <w:noWrap/>
            <w:vAlign w:val="center"/>
          </w:tcPr>
          <w:p w14:paraId="211B2A05">
            <w:pPr>
              <w:pStyle w:val="22"/>
              <w:spacing w:line="300" w:lineRule="exact"/>
              <w:rPr>
                <w:rFonts w:eastAsia="黑体" w:cs="Times New Roman"/>
                <w:bCs w:val="0"/>
                <w:sz w:val="21"/>
                <w:szCs w:val="21"/>
              </w:rPr>
            </w:pPr>
          </w:p>
        </w:tc>
        <w:tc>
          <w:tcPr>
            <w:tcW w:w="2723" w:type="dxa"/>
            <w:vMerge w:val="continue"/>
            <w:noWrap/>
            <w:vAlign w:val="center"/>
          </w:tcPr>
          <w:p w14:paraId="0C023E55">
            <w:pPr>
              <w:pStyle w:val="22"/>
              <w:spacing w:line="300" w:lineRule="exact"/>
              <w:jc w:val="both"/>
              <w:rPr>
                <w:rFonts w:eastAsia="黑体" w:cs="Times New Roman"/>
                <w:bCs w:val="0"/>
                <w:sz w:val="21"/>
                <w:szCs w:val="21"/>
              </w:rPr>
            </w:pPr>
          </w:p>
        </w:tc>
        <w:tc>
          <w:tcPr>
            <w:tcW w:w="622" w:type="dxa"/>
            <w:vMerge w:val="continue"/>
            <w:noWrap/>
            <w:vAlign w:val="center"/>
          </w:tcPr>
          <w:p w14:paraId="1403EEAC">
            <w:pPr>
              <w:pStyle w:val="22"/>
              <w:spacing w:line="300" w:lineRule="exact"/>
              <w:rPr>
                <w:rFonts w:eastAsia="黑体" w:cs="Times New Roman"/>
                <w:bCs w:val="0"/>
                <w:sz w:val="21"/>
                <w:szCs w:val="21"/>
              </w:rPr>
            </w:pPr>
          </w:p>
        </w:tc>
        <w:tc>
          <w:tcPr>
            <w:tcW w:w="1100" w:type="dxa"/>
            <w:noWrap/>
            <w:vAlign w:val="center"/>
          </w:tcPr>
          <w:p w14:paraId="03C88447">
            <w:pPr>
              <w:pStyle w:val="22"/>
              <w:spacing w:line="300" w:lineRule="exact"/>
              <w:rPr>
                <w:rFonts w:eastAsia="黑体" w:cs="Times New Roman"/>
                <w:bCs w:val="0"/>
                <w:sz w:val="21"/>
                <w:szCs w:val="21"/>
              </w:rPr>
            </w:pPr>
            <w:r>
              <w:rPr>
                <w:rFonts w:eastAsia="黑体" w:cs="Times New Roman"/>
                <w:bCs w:val="0"/>
                <w:sz w:val="21"/>
                <w:szCs w:val="21"/>
              </w:rPr>
              <w:t>省级</w:t>
            </w:r>
          </w:p>
        </w:tc>
        <w:tc>
          <w:tcPr>
            <w:tcW w:w="1100" w:type="dxa"/>
            <w:noWrap/>
            <w:vAlign w:val="center"/>
          </w:tcPr>
          <w:p w14:paraId="7AFC1FE7">
            <w:pPr>
              <w:pStyle w:val="22"/>
              <w:spacing w:line="300" w:lineRule="exact"/>
              <w:rPr>
                <w:rFonts w:eastAsia="黑体" w:cs="Times New Roman"/>
                <w:bCs w:val="0"/>
                <w:sz w:val="21"/>
                <w:szCs w:val="21"/>
              </w:rPr>
            </w:pPr>
            <w:r>
              <w:rPr>
                <w:rFonts w:eastAsia="黑体" w:cs="Times New Roman"/>
                <w:bCs w:val="0"/>
                <w:sz w:val="21"/>
                <w:szCs w:val="21"/>
              </w:rPr>
              <w:t>国家</w:t>
            </w:r>
          </w:p>
        </w:tc>
        <w:tc>
          <w:tcPr>
            <w:tcW w:w="1034" w:type="dxa"/>
            <w:vMerge w:val="continue"/>
            <w:noWrap/>
            <w:vAlign w:val="center"/>
          </w:tcPr>
          <w:p w14:paraId="7CEABAFB">
            <w:pPr>
              <w:pStyle w:val="22"/>
              <w:spacing w:line="300" w:lineRule="exact"/>
              <w:rPr>
                <w:rFonts w:eastAsia="黑体" w:cs="Times New Roman"/>
                <w:bCs w:val="0"/>
                <w:sz w:val="21"/>
                <w:szCs w:val="21"/>
              </w:rPr>
            </w:pPr>
          </w:p>
        </w:tc>
        <w:tc>
          <w:tcPr>
            <w:tcW w:w="1366" w:type="dxa"/>
            <w:noWrap/>
            <w:vAlign w:val="center"/>
          </w:tcPr>
          <w:p w14:paraId="13E84615">
            <w:pPr>
              <w:pStyle w:val="22"/>
              <w:spacing w:line="300" w:lineRule="exact"/>
              <w:rPr>
                <w:rFonts w:eastAsia="黑体" w:cs="Times New Roman"/>
                <w:bCs w:val="0"/>
                <w:sz w:val="21"/>
                <w:szCs w:val="21"/>
              </w:rPr>
            </w:pPr>
            <w:r>
              <w:rPr>
                <w:rFonts w:eastAsia="黑体" w:cs="Times New Roman"/>
                <w:bCs w:val="0"/>
                <w:sz w:val="21"/>
                <w:szCs w:val="21"/>
              </w:rPr>
              <w:t>2020年</w:t>
            </w:r>
          </w:p>
        </w:tc>
        <w:tc>
          <w:tcPr>
            <w:tcW w:w="853" w:type="dxa"/>
            <w:vMerge w:val="continue"/>
            <w:tcBorders>
              <w:right w:val="single" w:color="000000" w:sz="4" w:space="0"/>
            </w:tcBorders>
            <w:noWrap/>
            <w:vAlign w:val="center"/>
          </w:tcPr>
          <w:p w14:paraId="64F6C269">
            <w:pPr>
              <w:pStyle w:val="22"/>
              <w:spacing w:line="300" w:lineRule="exact"/>
              <w:rPr>
                <w:rFonts w:eastAsia="黑体" w:cs="Times New Roman"/>
                <w:bCs w:val="0"/>
                <w:sz w:val="21"/>
                <w:szCs w:val="21"/>
              </w:rPr>
            </w:pPr>
          </w:p>
        </w:tc>
        <w:tc>
          <w:tcPr>
            <w:tcW w:w="1110" w:type="dxa"/>
            <w:tcBorders>
              <w:left w:val="single" w:color="000000" w:sz="4" w:space="0"/>
            </w:tcBorders>
            <w:noWrap/>
            <w:vAlign w:val="center"/>
          </w:tcPr>
          <w:p w14:paraId="2C9E4F47">
            <w:pPr>
              <w:pStyle w:val="22"/>
              <w:spacing w:line="300" w:lineRule="exact"/>
              <w:rPr>
                <w:rFonts w:eastAsia="黑体" w:cs="Times New Roman"/>
                <w:bCs w:val="0"/>
                <w:sz w:val="21"/>
                <w:szCs w:val="21"/>
              </w:rPr>
            </w:pPr>
            <w:r>
              <w:rPr>
                <w:rFonts w:eastAsia="黑体" w:cs="Times New Roman"/>
                <w:bCs w:val="0"/>
                <w:sz w:val="21"/>
                <w:szCs w:val="21"/>
              </w:rPr>
              <w:t>2022年</w:t>
            </w:r>
          </w:p>
        </w:tc>
        <w:tc>
          <w:tcPr>
            <w:tcW w:w="1080" w:type="dxa"/>
            <w:noWrap/>
            <w:vAlign w:val="center"/>
          </w:tcPr>
          <w:p w14:paraId="0F0A6F42">
            <w:pPr>
              <w:pStyle w:val="22"/>
              <w:spacing w:line="300" w:lineRule="exact"/>
              <w:rPr>
                <w:rFonts w:eastAsia="黑体" w:cs="Times New Roman"/>
                <w:bCs w:val="0"/>
                <w:sz w:val="21"/>
                <w:szCs w:val="21"/>
              </w:rPr>
            </w:pPr>
            <w:r>
              <w:rPr>
                <w:rFonts w:eastAsia="黑体" w:cs="Times New Roman"/>
                <w:bCs w:val="0"/>
                <w:sz w:val="21"/>
                <w:szCs w:val="21"/>
              </w:rPr>
              <w:t>2025年</w:t>
            </w:r>
          </w:p>
        </w:tc>
        <w:tc>
          <w:tcPr>
            <w:tcW w:w="1162" w:type="dxa"/>
            <w:noWrap/>
            <w:vAlign w:val="center"/>
          </w:tcPr>
          <w:p w14:paraId="7EF54C7F">
            <w:pPr>
              <w:pStyle w:val="22"/>
              <w:spacing w:line="300" w:lineRule="exact"/>
              <w:rPr>
                <w:rFonts w:eastAsia="黑体" w:cs="Times New Roman"/>
                <w:bCs w:val="0"/>
                <w:sz w:val="21"/>
                <w:szCs w:val="21"/>
              </w:rPr>
            </w:pPr>
            <w:r>
              <w:rPr>
                <w:rFonts w:eastAsia="黑体" w:cs="Times New Roman"/>
                <w:bCs w:val="0"/>
                <w:sz w:val="21"/>
                <w:szCs w:val="21"/>
              </w:rPr>
              <w:t>2030年</w:t>
            </w:r>
          </w:p>
        </w:tc>
      </w:tr>
      <w:tr w14:paraId="11EC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restart"/>
            <w:noWrap/>
            <w:vAlign w:val="center"/>
          </w:tcPr>
          <w:p w14:paraId="3C71D7AF">
            <w:pPr>
              <w:pStyle w:val="22"/>
              <w:spacing w:line="300" w:lineRule="exact"/>
              <w:rPr>
                <w:rFonts w:cs="Times New Roman"/>
                <w:sz w:val="21"/>
                <w:szCs w:val="21"/>
              </w:rPr>
            </w:pPr>
            <w:r>
              <w:rPr>
                <w:rFonts w:cs="Times New Roman"/>
                <w:sz w:val="21"/>
                <w:szCs w:val="21"/>
              </w:rPr>
              <w:t>生</w:t>
            </w:r>
          </w:p>
          <w:p w14:paraId="0F95C3EF">
            <w:pPr>
              <w:pStyle w:val="22"/>
              <w:spacing w:line="300" w:lineRule="exact"/>
              <w:rPr>
                <w:rFonts w:cs="Times New Roman"/>
                <w:sz w:val="21"/>
                <w:szCs w:val="21"/>
              </w:rPr>
            </w:pPr>
            <w:r>
              <w:rPr>
                <w:rFonts w:cs="Times New Roman"/>
                <w:sz w:val="21"/>
                <w:szCs w:val="21"/>
              </w:rPr>
              <w:t>态</w:t>
            </w:r>
          </w:p>
          <w:p w14:paraId="7AF423DE">
            <w:pPr>
              <w:pStyle w:val="22"/>
              <w:spacing w:line="300" w:lineRule="exact"/>
              <w:rPr>
                <w:rFonts w:cs="Times New Roman"/>
                <w:sz w:val="21"/>
                <w:szCs w:val="21"/>
              </w:rPr>
            </w:pPr>
            <w:r>
              <w:rPr>
                <w:rFonts w:cs="Times New Roman"/>
                <w:sz w:val="21"/>
                <w:szCs w:val="21"/>
              </w:rPr>
              <w:t>制</w:t>
            </w:r>
          </w:p>
          <w:p w14:paraId="657E1004">
            <w:pPr>
              <w:pStyle w:val="22"/>
              <w:spacing w:line="300" w:lineRule="exact"/>
              <w:rPr>
                <w:rFonts w:cs="Times New Roman"/>
                <w:sz w:val="21"/>
                <w:szCs w:val="21"/>
              </w:rPr>
            </w:pPr>
            <w:r>
              <w:rPr>
                <w:rFonts w:cs="Times New Roman"/>
                <w:sz w:val="21"/>
                <w:szCs w:val="21"/>
              </w:rPr>
              <w:t>度</w:t>
            </w:r>
          </w:p>
        </w:tc>
        <w:tc>
          <w:tcPr>
            <w:tcW w:w="828" w:type="dxa"/>
            <w:vMerge w:val="restart"/>
            <w:noWrap/>
            <w:vAlign w:val="center"/>
          </w:tcPr>
          <w:p w14:paraId="7C006592">
            <w:pPr>
              <w:pStyle w:val="22"/>
              <w:spacing w:line="300" w:lineRule="exact"/>
              <w:rPr>
                <w:rFonts w:cs="Times New Roman"/>
                <w:sz w:val="21"/>
                <w:szCs w:val="21"/>
              </w:rPr>
            </w:pPr>
            <w:r>
              <w:rPr>
                <w:rFonts w:cs="Times New Roman"/>
                <w:sz w:val="21"/>
                <w:szCs w:val="21"/>
              </w:rPr>
              <w:t>（一）</w:t>
            </w:r>
          </w:p>
          <w:p w14:paraId="33A48B54">
            <w:pPr>
              <w:pStyle w:val="22"/>
              <w:spacing w:line="300" w:lineRule="exact"/>
              <w:rPr>
                <w:rFonts w:cs="Times New Roman"/>
                <w:sz w:val="21"/>
                <w:szCs w:val="21"/>
              </w:rPr>
            </w:pPr>
            <w:r>
              <w:rPr>
                <w:rFonts w:cs="Times New Roman"/>
                <w:sz w:val="21"/>
                <w:szCs w:val="21"/>
              </w:rPr>
              <w:t>制度与保障机制完善</w:t>
            </w:r>
          </w:p>
        </w:tc>
        <w:tc>
          <w:tcPr>
            <w:tcW w:w="440" w:type="dxa"/>
            <w:noWrap/>
            <w:vAlign w:val="center"/>
          </w:tcPr>
          <w:p w14:paraId="47F9321E">
            <w:pPr>
              <w:pStyle w:val="22"/>
              <w:spacing w:line="300" w:lineRule="exact"/>
              <w:rPr>
                <w:rFonts w:cs="Times New Roman"/>
                <w:sz w:val="21"/>
                <w:szCs w:val="21"/>
              </w:rPr>
            </w:pPr>
            <w:r>
              <w:rPr>
                <w:rFonts w:cs="Times New Roman"/>
                <w:sz w:val="21"/>
                <w:szCs w:val="21"/>
              </w:rPr>
              <w:t>1</w:t>
            </w:r>
          </w:p>
        </w:tc>
        <w:tc>
          <w:tcPr>
            <w:tcW w:w="2723" w:type="dxa"/>
            <w:noWrap/>
            <w:vAlign w:val="center"/>
          </w:tcPr>
          <w:p w14:paraId="5D751367">
            <w:pPr>
              <w:pStyle w:val="22"/>
              <w:spacing w:line="300" w:lineRule="exact"/>
              <w:jc w:val="both"/>
              <w:rPr>
                <w:rFonts w:cs="Times New Roman"/>
                <w:sz w:val="21"/>
                <w:szCs w:val="21"/>
              </w:rPr>
            </w:pPr>
            <w:r>
              <w:rPr>
                <w:rFonts w:cs="Times New Roman"/>
                <w:sz w:val="21"/>
                <w:szCs w:val="21"/>
              </w:rPr>
              <w:t>生态文明建设规划</w:t>
            </w:r>
          </w:p>
        </w:tc>
        <w:tc>
          <w:tcPr>
            <w:tcW w:w="622" w:type="dxa"/>
            <w:noWrap/>
            <w:vAlign w:val="center"/>
          </w:tcPr>
          <w:p w14:paraId="25EDA5AD">
            <w:pPr>
              <w:pStyle w:val="22"/>
              <w:spacing w:line="300" w:lineRule="exact"/>
              <w:rPr>
                <w:rFonts w:cs="Times New Roman"/>
                <w:sz w:val="21"/>
                <w:szCs w:val="21"/>
              </w:rPr>
            </w:pPr>
            <w:r>
              <w:rPr>
                <w:rFonts w:cs="Times New Roman"/>
                <w:sz w:val="21"/>
                <w:szCs w:val="21"/>
              </w:rPr>
              <w:t>—</w:t>
            </w:r>
          </w:p>
        </w:tc>
        <w:tc>
          <w:tcPr>
            <w:tcW w:w="1100" w:type="dxa"/>
            <w:noWrap/>
            <w:vAlign w:val="center"/>
          </w:tcPr>
          <w:p w14:paraId="17E6DD96">
            <w:pPr>
              <w:pStyle w:val="22"/>
              <w:spacing w:line="300" w:lineRule="exact"/>
              <w:rPr>
                <w:rFonts w:cs="Times New Roman"/>
                <w:sz w:val="21"/>
                <w:szCs w:val="21"/>
              </w:rPr>
            </w:pPr>
            <w:r>
              <w:rPr>
                <w:rFonts w:cs="Times New Roman"/>
                <w:sz w:val="21"/>
                <w:szCs w:val="21"/>
              </w:rPr>
              <w:t>制定实施</w:t>
            </w:r>
          </w:p>
        </w:tc>
        <w:tc>
          <w:tcPr>
            <w:tcW w:w="1100" w:type="dxa"/>
            <w:noWrap/>
            <w:vAlign w:val="center"/>
          </w:tcPr>
          <w:p w14:paraId="5AC1112D">
            <w:pPr>
              <w:pStyle w:val="22"/>
              <w:spacing w:line="300" w:lineRule="exact"/>
              <w:rPr>
                <w:rFonts w:cs="Times New Roman"/>
                <w:sz w:val="21"/>
                <w:szCs w:val="21"/>
              </w:rPr>
            </w:pPr>
            <w:r>
              <w:rPr>
                <w:rFonts w:cs="Times New Roman"/>
                <w:sz w:val="21"/>
                <w:szCs w:val="21"/>
              </w:rPr>
              <w:t>制定实施</w:t>
            </w:r>
          </w:p>
        </w:tc>
        <w:tc>
          <w:tcPr>
            <w:tcW w:w="1034" w:type="dxa"/>
            <w:noWrap/>
            <w:vAlign w:val="center"/>
          </w:tcPr>
          <w:p w14:paraId="33820E80">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26FBBE14">
            <w:pPr>
              <w:pStyle w:val="22"/>
              <w:spacing w:line="300" w:lineRule="exact"/>
              <w:rPr>
                <w:rFonts w:cs="Times New Roman"/>
                <w:sz w:val="21"/>
                <w:szCs w:val="21"/>
              </w:rPr>
            </w:pPr>
            <w:r>
              <w:rPr>
                <w:rFonts w:cs="Times New Roman"/>
                <w:sz w:val="21"/>
                <w:szCs w:val="21"/>
              </w:rPr>
              <w:t>未制定实施</w:t>
            </w:r>
          </w:p>
        </w:tc>
        <w:tc>
          <w:tcPr>
            <w:tcW w:w="853" w:type="dxa"/>
            <w:noWrap/>
            <w:vAlign w:val="center"/>
          </w:tcPr>
          <w:p w14:paraId="7D5230CE">
            <w:pPr>
              <w:pStyle w:val="22"/>
              <w:spacing w:line="300" w:lineRule="exact"/>
              <w:rPr>
                <w:rFonts w:cs="Times New Roman"/>
                <w:sz w:val="21"/>
                <w:szCs w:val="21"/>
              </w:rPr>
            </w:pPr>
            <w:r>
              <w:rPr>
                <w:rFonts w:cs="Times New Roman"/>
                <w:sz w:val="21"/>
                <w:szCs w:val="21"/>
              </w:rPr>
              <w:t>未达标</w:t>
            </w:r>
          </w:p>
        </w:tc>
        <w:tc>
          <w:tcPr>
            <w:tcW w:w="1110" w:type="dxa"/>
            <w:noWrap/>
            <w:vAlign w:val="center"/>
          </w:tcPr>
          <w:p w14:paraId="09EFA400">
            <w:pPr>
              <w:pStyle w:val="22"/>
              <w:spacing w:line="300" w:lineRule="exact"/>
              <w:rPr>
                <w:rFonts w:cs="Times New Roman"/>
                <w:sz w:val="21"/>
                <w:szCs w:val="21"/>
              </w:rPr>
            </w:pPr>
            <w:r>
              <w:rPr>
                <w:rFonts w:cs="Times New Roman"/>
                <w:sz w:val="21"/>
                <w:szCs w:val="21"/>
              </w:rPr>
              <w:t>制定实施</w:t>
            </w:r>
          </w:p>
        </w:tc>
        <w:tc>
          <w:tcPr>
            <w:tcW w:w="1080" w:type="dxa"/>
            <w:noWrap/>
            <w:vAlign w:val="center"/>
          </w:tcPr>
          <w:p w14:paraId="0449ECAB">
            <w:pPr>
              <w:pStyle w:val="22"/>
              <w:spacing w:line="300" w:lineRule="exact"/>
              <w:rPr>
                <w:rFonts w:cs="Times New Roman"/>
                <w:sz w:val="21"/>
                <w:szCs w:val="21"/>
              </w:rPr>
            </w:pPr>
            <w:r>
              <w:rPr>
                <w:rFonts w:cs="Times New Roman"/>
                <w:sz w:val="21"/>
                <w:szCs w:val="21"/>
              </w:rPr>
              <w:t>制定实施</w:t>
            </w:r>
          </w:p>
        </w:tc>
        <w:tc>
          <w:tcPr>
            <w:tcW w:w="1162" w:type="dxa"/>
            <w:noWrap/>
            <w:vAlign w:val="center"/>
          </w:tcPr>
          <w:p w14:paraId="3B2D967D">
            <w:pPr>
              <w:pStyle w:val="22"/>
              <w:spacing w:line="300" w:lineRule="exact"/>
              <w:rPr>
                <w:rFonts w:cs="Times New Roman"/>
                <w:sz w:val="21"/>
                <w:szCs w:val="21"/>
              </w:rPr>
            </w:pPr>
            <w:r>
              <w:rPr>
                <w:rFonts w:cs="Times New Roman"/>
                <w:sz w:val="21"/>
                <w:szCs w:val="21"/>
              </w:rPr>
              <w:t>制定实施</w:t>
            </w:r>
          </w:p>
        </w:tc>
      </w:tr>
      <w:tr w14:paraId="4525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08BF9B70">
            <w:pPr>
              <w:pStyle w:val="22"/>
              <w:spacing w:line="300" w:lineRule="exact"/>
              <w:rPr>
                <w:rFonts w:cs="Times New Roman"/>
                <w:sz w:val="21"/>
                <w:szCs w:val="21"/>
              </w:rPr>
            </w:pPr>
          </w:p>
        </w:tc>
        <w:tc>
          <w:tcPr>
            <w:tcW w:w="828" w:type="dxa"/>
            <w:vMerge w:val="continue"/>
            <w:noWrap/>
            <w:vAlign w:val="center"/>
          </w:tcPr>
          <w:p w14:paraId="3B8A3198">
            <w:pPr>
              <w:pStyle w:val="22"/>
              <w:spacing w:line="300" w:lineRule="exact"/>
              <w:rPr>
                <w:rFonts w:cs="Times New Roman"/>
                <w:sz w:val="21"/>
                <w:szCs w:val="21"/>
              </w:rPr>
            </w:pPr>
          </w:p>
        </w:tc>
        <w:tc>
          <w:tcPr>
            <w:tcW w:w="440" w:type="dxa"/>
            <w:noWrap/>
            <w:vAlign w:val="center"/>
          </w:tcPr>
          <w:p w14:paraId="64416BD7">
            <w:pPr>
              <w:pStyle w:val="22"/>
              <w:spacing w:line="300" w:lineRule="exact"/>
              <w:rPr>
                <w:rFonts w:cs="Times New Roman"/>
                <w:sz w:val="21"/>
                <w:szCs w:val="21"/>
              </w:rPr>
            </w:pPr>
            <w:r>
              <w:rPr>
                <w:rFonts w:cs="Times New Roman"/>
                <w:sz w:val="21"/>
                <w:szCs w:val="21"/>
              </w:rPr>
              <w:t>2</w:t>
            </w:r>
          </w:p>
        </w:tc>
        <w:tc>
          <w:tcPr>
            <w:tcW w:w="2723" w:type="dxa"/>
            <w:noWrap/>
            <w:vAlign w:val="center"/>
          </w:tcPr>
          <w:p w14:paraId="5B261B4C">
            <w:pPr>
              <w:pStyle w:val="22"/>
              <w:spacing w:line="300" w:lineRule="exact"/>
              <w:jc w:val="both"/>
              <w:rPr>
                <w:rFonts w:cs="Times New Roman"/>
                <w:sz w:val="21"/>
                <w:szCs w:val="21"/>
              </w:rPr>
            </w:pPr>
            <w:r>
              <w:rPr>
                <w:rFonts w:cs="Times New Roman"/>
                <w:sz w:val="21"/>
                <w:szCs w:val="21"/>
              </w:rPr>
              <w:t>党委政府对生态文明建设重大目标任务部署情况</w:t>
            </w:r>
          </w:p>
        </w:tc>
        <w:tc>
          <w:tcPr>
            <w:tcW w:w="622" w:type="dxa"/>
            <w:noWrap/>
            <w:vAlign w:val="center"/>
          </w:tcPr>
          <w:p w14:paraId="0CBE359A">
            <w:pPr>
              <w:pStyle w:val="22"/>
              <w:spacing w:line="300" w:lineRule="exact"/>
              <w:rPr>
                <w:rFonts w:cs="Times New Roman"/>
                <w:sz w:val="21"/>
                <w:szCs w:val="21"/>
              </w:rPr>
            </w:pPr>
            <w:r>
              <w:rPr>
                <w:rFonts w:cs="Times New Roman"/>
                <w:sz w:val="21"/>
                <w:szCs w:val="21"/>
              </w:rPr>
              <w:t>—</w:t>
            </w:r>
          </w:p>
        </w:tc>
        <w:tc>
          <w:tcPr>
            <w:tcW w:w="1100" w:type="dxa"/>
            <w:noWrap/>
            <w:vAlign w:val="center"/>
          </w:tcPr>
          <w:p w14:paraId="4D497328">
            <w:pPr>
              <w:pStyle w:val="22"/>
              <w:spacing w:line="300" w:lineRule="exact"/>
              <w:rPr>
                <w:rFonts w:cs="Times New Roman"/>
                <w:sz w:val="21"/>
                <w:szCs w:val="21"/>
              </w:rPr>
            </w:pPr>
            <w:r>
              <w:rPr>
                <w:rFonts w:cs="Times New Roman"/>
                <w:sz w:val="21"/>
                <w:szCs w:val="21"/>
              </w:rPr>
              <w:t>有效开展</w:t>
            </w:r>
          </w:p>
        </w:tc>
        <w:tc>
          <w:tcPr>
            <w:tcW w:w="1100" w:type="dxa"/>
            <w:noWrap/>
            <w:vAlign w:val="center"/>
          </w:tcPr>
          <w:p w14:paraId="7435D0A8">
            <w:pPr>
              <w:pStyle w:val="22"/>
              <w:spacing w:line="300" w:lineRule="exact"/>
              <w:rPr>
                <w:rFonts w:cs="Times New Roman"/>
                <w:sz w:val="21"/>
                <w:szCs w:val="21"/>
              </w:rPr>
            </w:pPr>
            <w:r>
              <w:rPr>
                <w:rFonts w:cs="Times New Roman"/>
                <w:sz w:val="21"/>
                <w:szCs w:val="21"/>
              </w:rPr>
              <w:t>有效开展</w:t>
            </w:r>
          </w:p>
        </w:tc>
        <w:tc>
          <w:tcPr>
            <w:tcW w:w="1034" w:type="dxa"/>
            <w:noWrap/>
            <w:vAlign w:val="center"/>
          </w:tcPr>
          <w:p w14:paraId="4EFFDFD5">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23D2859E">
            <w:pPr>
              <w:pStyle w:val="22"/>
              <w:spacing w:line="300" w:lineRule="exact"/>
              <w:rPr>
                <w:rFonts w:cs="Times New Roman"/>
                <w:sz w:val="21"/>
                <w:szCs w:val="21"/>
              </w:rPr>
            </w:pPr>
            <w:r>
              <w:rPr>
                <w:rFonts w:cs="Times New Roman"/>
                <w:sz w:val="21"/>
                <w:szCs w:val="21"/>
              </w:rPr>
              <w:t>有效开展</w:t>
            </w:r>
          </w:p>
        </w:tc>
        <w:tc>
          <w:tcPr>
            <w:tcW w:w="853" w:type="dxa"/>
            <w:noWrap/>
            <w:vAlign w:val="center"/>
          </w:tcPr>
          <w:p w14:paraId="49C2C696">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057485C3">
            <w:pPr>
              <w:pStyle w:val="22"/>
              <w:spacing w:line="300" w:lineRule="exact"/>
              <w:rPr>
                <w:rFonts w:cs="Times New Roman"/>
                <w:sz w:val="21"/>
                <w:szCs w:val="21"/>
              </w:rPr>
            </w:pPr>
            <w:r>
              <w:rPr>
                <w:rFonts w:cs="Times New Roman"/>
                <w:sz w:val="21"/>
                <w:szCs w:val="21"/>
              </w:rPr>
              <w:t>有效开展</w:t>
            </w:r>
          </w:p>
        </w:tc>
        <w:tc>
          <w:tcPr>
            <w:tcW w:w="1080" w:type="dxa"/>
            <w:noWrap/>
            <w:vAlign w:val="center"/>
          </w:tcPr>
          <w:p w14:paraId="1B752AF3">
            <w:pPr>
              <w:pStyle w:val="22"/>
              <w:spacing w:line="300" w:lineRule="exact"/>
              <w:rPr>
                <w:rFonts w:cs="Times New Roman"/>
                <w:sz w:val="21"/>
                <w:szCs w:val="21"/>
              </w:rPr>
            </w:pPr>
            <w:r>
              <w:rPr>
                <w:rFonts w:cs="Times New Roman"/>
                <w:sz w:val="21"/>
                <w:szCs w:val="21"/>
              </w:rPr>
              <w:t>有效开展</w:t>
            </w:r>
          </w:p>
        </w:tc>
        <w:tc>
          <w:tcPr>
            <w:tcW w:w="1162" w:type="dxa"/>
            <w:noWrap/>
            <w:vAlign w:val="center"/>
          </w:tcPr>
          <w:p w14:paraId="4D006EB2">
            <w:pPr>
              <w:pStyle w:val="22"/>
              <w:spacing w:line="300" w:lineRule="exact"/>
              <w:rPr>
                <w:rFonts w:cs="Times New Roman"/>
                <w:sz w:val="21"/>
                <w:szCs w:val="21"/>
              </w:rPr>
            </w:pPr>
            <w:r>
              <w:rPr>
                <w:rFonts w:cs="Times New Roman"/>
                <w:sz w:val="21"/>
                <w:szCs w:val="21"/>
              </w:rPr>
              <w:t>有效开展</w:t>
            </w:r>
          </w:p>
        </w:tc>
      </w:tr>
      <w:tr w14:paraId="7095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30FAA435">
            <w:pPr>
              <w:pStyle w:val="22"/>
              <w:spacing w:line="300" w:lineRule="exact"/>
              <w:rPr>
                <w:rFonts w:cs="Times New Roman"/>
                <w:sz w:val="21"/>
                <w:szCs w:val="21"/>
              </w:rPr>
            </w:pPr>
          </w:p>
        </w:tc>
        <w:tc>
          <w:tcPr>
            <w:tcW w:w="828" w:type="dxa"/>
            <w:vMerge w:val="continue"/>
            <w:noWrap/>
            <w:vAlign w:val="center"/>
          </w:tcPr>
          <w:p w14:paraId="522556C1">
            <w:pPr>
              <w:pStyle w:val="22"/>
              <w:spacing w:line="300" w:lineRule="exact"/>
              <w:rPr>
                <w:rFonts w:cs="Times New Roman"/>
                <w:sz w:val="21"/>
                <w:szCs w:val="21"/>
              </w:rPr>
            </w:pPr>
          </w:p>
        </w:tc>
        <w:tc>
          <w:tcPr>
            <w:tcW w:w="440" w:type="dxa"/>
            <w:noWrap/>
            <w:vAlign w:val="center"/>
          </w:tcPr>
          <w:p w14:paraId="0EB2F389">
            <w:pPr>
              <w:pStyle w:val="22"/>
              <w:spacing w:line="300" w:lineRule="exact"/>
              <w:rPr>
                <w:rFonts w:cs="Times New Roman"/>
                <w:sz w:val="21"/>
                <w:szCs w:val="21"/>
              </w:rPr>
            </w:pPr>
            <w:r>
              <w:rPr>
                <w:rFonts w:cs="Times New Roman"/>
                <w:sz w:val="21"/>
                <w:szCs w:val="21"/>
              </w:rPr>
              <w:t>3</w:t>
            </w:r>
          </w:p>
        </w:tc>
        <w:tc>
          <w:tcPr>
            <w:tcW w:w="2723" w:type="dxa"/>
            <w:noWrap/>
            <w:vAlign w:val="center"/>
          </w:tcPr>
          <w:p w14:paraId="6C59CA4A">
            <w:pPr>
              <w:pStyle w:val="22"/>
              <w:spacing w:line="300" w:lineRule="exact"/>
              <w:jc w:val="both"/>
              <w:rPr>
                <w:rFonts w:cs="Times New Roman"/>
                <w:sz w:val="21"/>
                <w:szCs w:val="21"/>
              </w:rPr>
            </w:pPr>
            <w:r>
              <w:rPr>
                <w:rFonts w:cs="Times New Roman"/>
                <w:sz w:val="21"/>
                <w:szCs w:val="21"/>
              </w:rPr>
              <w:t>生态文明建设工作占党政实绩考核的比例</w:t>
            </w:r>
          </w:p>
        </w:tc>
        <w:tc>
          <w:tcPr>
            <w:tcW w:w="622" w:type="dxa"/>
            <w:noWrap/>
            <w:vAlign w:val="center"/>
          </w:tcPr>
          <w:p w14:paraId="2E681D60">
            <w:pPr>
              <w:pStyle w:val="22"/>
              <w:spacing w:line="300" w:lineRule="exact"/>
              <w:rPr>
                <w:rFonts w:cs="Times New Roman"/>
                <w:sz w:val="21"/>
                <w:szCs w:val="21"/>
              </w:rPr>
            </w:pPr>
            <w:r>
              <w:rPr>
                <w:rFonts w:cs="Times New Roman"/>
                <w:sz w:val="21"/>
                <w:szCs w:val="21"/>
              </w:rPr>
              <w:t>%</w:t>
            </w:r>
          </w:p>
        </w:tc>
        <w:tc>
          <w:tcPr>
            <w:tcW w:w="1100" w:type="dxa"/>
            <w:noWrap/>
            <w:vAlign w:val="center"/>
          </w:tcPr>
          <w:p w14:paraId="37949904">
            <w:pPr>
              <w:pStyle w:val="22"/>
              <w:spacing w:line="300" w:lineRule="exact"/>
              <w:rPr>
                <w:rFonts w:cs="Times New Roman"/>
                <w:sz w:val="21"/>
                <w:szCs w:val="21"/>
              </w:rPr>
            </w:pPr>
            <w:r>
              <w:rPr>
                <w:rFonts w:cs="Times New Roman"/>
                <w:sz w:val="21"/>
                <w:szCs w:val="21"/>
              </w:rPr>
              <w:t>≥20</w:t>
            </w:r>
          </w:p>
        </w:tc>
        <w:tc>
          <w:tcPr>
            <w:tcW w:w="1100" w:type="dxa"/>
            <w:noWrap/>
            <w:vAlign w:val="center"/>
          </w:tcPr>
          <w:p w14:paraId="0D000C4F">
            <w:pPr>
              <w:pStyle w:val="22"/>
              <w:spacing w:line="300" w:lineRule="exact"/>
              <w:rPr>
                <w:rFonts w:cs="Times New Roman"/>
                <w:sz w:val="21"/>
                <w:szCs w:val="21"/>
              </w:rPr>
            </w:pPr>
            <w:r>
              <w:rPr>
                <w:rFonts w:cs="Times New Roman"/>
                <w:sz w:val="21"/>
                <w:szCs w:val="21"/>
              </w:rPr>
              <w:t>≥20</w:t>
            </w:r>
          </w:p>
        </w:tc>
        <w:tc>
          <w:tcPr>
            <w:tcW w:w="1034" w:type="dxa"/>
            <w:noWrap/>
            <w:vAlign w:val="center"/>
          </w:tcPr>
          <w:p w14:paraId="640E4328">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61A719F1">
            <w:pPr>
              <w:pStyle w:val="22"/>
              <w:spacing w:line="300" w:lineRule="exact"/>
              <w:rPr>
                <w:rFonts w:cs="Times New Roman"/>
                <w:sz w:val="21"/>
                <w:szCs w:val="21"/>
              </w:rPr>
            </w:pPr>
            <w:r>
              <w:rPr>
                <w:rFonts w:cs="Times New Roman"/>
                <w:sz w:val="21"/>
                <w:szCs w:val="21"/>
              </w:rPr>
              <w:t>20.5</w:t>
            </w:r>
          </w:p>
        </w:tc>
        <w:tc>
          <w:tcPr>
            <w:tcW w:w="853" w:type="dxa"/>
            <w:noWrap/>
            <w:vAlign w:val="center"/>
          </w:tcPr>
          <w:p w14:paraId="1FCD0ED2">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1E82EF14">
            <w:pPr>
              <w:pStyle w:val="22"/>
              <w:spacing w:line="300" w:lineRule="exact"/>
              <w:rPr>
                <w:rFonts w:cs="Times New Roman"/>
                <w:sz w:val="21"/>
                <w:szCs w:val="21"/>
              </w:rPr>
            </w:pPr>
            <w:r>
              <w:rPr>
                <w:rFonts w:cs="Times New Roman"/>
                <w:sz w:val="21"/>
                <w:szCs w:val="21"/>
              </w:rPr>
              <w:t>20.7</w:t>
            </w:r>
          </w:p>
        </w:tc>
        <w:tc>
          <w:tcPr>
            <w:tcW w:w="1080" w:type="dxa"/>
            <w:noWrap/>
            <w:vAlign w:val="center"/>
          </w:tcPr>
          <w:p w14:paraId="394861DA">
            <w:pPr>
              <w:pStyle w:val="22"/>
              <w:spacing w:line="300" w:lineRule="exact"/>
              <w:rPr>
                <w:rFonts w:cs="Times New Roman"/>
                <w:sz w:val="21"/>
                <w:szCs w:val="21"/>
              </w:rPr>
            </w:pPr>
            <w:r>
              <w:rPr>
                <w:rFonts w:cs="Times New Roman"/>
                <w:sz w:val="21"/>
                <w:szCs w:val="21"/>
              </w:rPr>
              <w:t>21.0</w:t>
            </w:r>
          </w:p>
        </w:tc>
        <w:tc>
          <w:tcPr>
            <w:tcW w:w="1162" w:type="dxa"/>
            <w:noWrap/>
            <w:vAlign w:val="center"/>
          </w:tcPr>
          <w:p w14:paraId="04FE69BC">
            <w:pPr>
              <w:pStyle w:val="22"/>
              <w:spacing w:line="300" w:lineRule="exact"/>
              <w:rPr>
                <w:rFonts w:cs="Times New Roman"/>
                <w:sz w:val="21"/>
                <w:szCs w:val="21"/>
              </w:rPr>
            </w:pPr>
            <w:r>
              <w:rPr>
                <w:rFonts w:cs="Times New Roman"/>
                <w:sz w:val="21"/>
                <w:szCs w:val="21"/>
              </w:rPr>
              <w:t>21.2</w:t>
            </w:r>
          </w:p>
        </w:tc>
      </w:tr>
      <w:tr w14:paraId="5E27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4828156B">
            <w:pPr>
              <w:pStyle w:val="22"/>
              <w:spacing w:line="300" w:lineRule="exact"/>
              <w:rPr>
                <w:rFonts w:cs="Times New Roman"/>
                <w:sz w:val="21"/>
                <w:szCs w:val="21"/>
              </w:rPr>
            </w:pPr>
          </w:p>
        </w:tc>
        <w:tc>
          <w:tcPr>
            <w:tcW w:w="828" w:type="dxa"/>
            <w:vMerge w:val="continue"/>
            <w:noWrap/>
            <w:vAlign w:val="center"/>
          </w:tcPr>
          <w:p w14:paraId="1BFD8FC1">
            <w:pPr>
              <w:pStyle w:val="22"/>
              <w:spacing w:line="300" w:lineRule="exact"/>
              <w:rPr>
                <w:rFonts w:cs="Times New Roman"/>
                <w:sz w:val="21"/>
                <w:szCs w:val="21"/>
              </w:rPr>
            </w:pPr>
          </w:p>
        </w:tc>
        <w:tc>
          <w:tcPr>
            <w:tcW w:w="440" w:type="dxa"/>
            <w:noWrap/>
            <w:vAlign w:val="center"/>
          </w:tcPr>
          <w:p w14:paraId="03C0DE38">
            <w:pPr>
              <w:pStyle w:val="22"/>
              <w:spacing w:line="300" w:lineRule="exact"/>
              <w:rPr>
                <w:rFonts w:cs="Times New Roman"/>
                <w:sz w:val="21"/>
                <w:szCs w:val="21"/>
              </w:rPr>
            </w:pPr>
            <w:r>
              <w:rPr>
                <w:rFonts w:cs="Times New Roman"/>
                <w:sz w:val="21"/>
                <w:szCs w:val="21"/>
              </w:rPr>
              <w:t>4</w:t>
            </w:r>
          </w:p>
        </w:tc>
        <w:tc>
          <w:tcPr>
            <w:tcW w:w="2723" w:type="dxa"/>
            <w:noWrap/>
            <w:vAlign w:val="center"/>
          </w:tcPr>
          <w:p w14:paraId="15D4F1DD">
            <w:pPr>
              <w:pStyle w:val="22"/>
              <w:spacing w:line="300" w:lineRule="exact"/>
              <w:jc w:val="both"/>
              <w:rPr>
                <w:rFonts w:cs="Times New Roman"/>
                <w:sz w:val="21"/>
                <w:szCs w:val="21"/>
              </w:rPr>
            </w:pPr>
            <w:r>
              <w:rPr>
                <w:rFonts w:cs="Times New Roman"/>
                <w:sz w:val="21"/>
                <w:szCs w:val="21"/>
              </w:rPr>
              <w:t>河长制</w:t>
            </w:r>
          </w:p>
        </w:tc>
        <w:tc>
          <w:tcPr>
            <w:tcW w:w="622" w:type="dxa"/>
            <w:noWrap/>
            <w:vAlign w:val="center"/>
          </w:tcPr>
          <w:p w14:paraId="42983074">
            <w:pPr>
              <w:pStyle w:val="22"/>
              <w:spacing w:line="300" w:lineRule="exact"/>
              <w:rPr>
                <w:rFonts w:cs="Times New Roman"/>
                <w:sz w:val="21"/>
                <w:szCs w:val="21"/>
              </w:rPr>
            </w:pPr>
            <w:r>
              <w:rPr>
                <w:rFonts w:cs="Times New Roman"/>
                <w:sz w:val="21"/>
                <w:szCs w:val="21"/>
              </w:rPr>
              <w:t>—</w:t>
            </w:r>
          </w:p>
        </w:tc>
        <w:tc>
          <w:tcPr>
            <w:tcW w:w="1100" w:type="dxa"/>
            <w:noWrap/>
            <w:vAlign w:val="center"/>
          </w:tcPr>
          <w:p w14:paraId="6E8F9C0A">
            <w:pPr>
              <w:pStyle w:val="22"/>
              <w:spacing w:line="300" w:lineRule="exact"/>
              <w:rPr>
                <w:rFonts w:cs="Times New Roman"/>
                <w:sz w:val="21"/>
                <w:szCs w:val="21"/>
              </w:rPr>
            </w:pPr>
            <w:r>
              <w:rPr>
                <w:rFonts w:cs="Times New Roman"/>
                <w:sz w:val="21"/>
                <w:szCs w:val="21"/>
              </w:rPr>
              <w:t>全面实施</w:t>
            </w:r>
          </w:p>
        </w:tc>
        <w:tc>
          <w:tcPr>
            <w:tcW w:w="1100" w:type="dxa"/>
            <w:noWrap/>
            <w:vAlign w:val="center"/>
          </w:tcPr>
          <w:p w14:paraId="44522C25">
            <w:pPr>
              <w:pStyle w:val="22"/>
              <w:spacing w:line="300" w:lineRule="exact"/>
              <w:rPr>
                <w:rFonts w:cs="Times New Roman"/>
                <w:sz w:val="21"/>
                <w:szCs w:val="21"/>
              </w:rPr>
            </w:pPr>
            <w:r>
              <w:rPr>
                <w:rFonts w:cs="Times New Roman"/>
                <w:sz w:val="21"/>
                <w:szCs w:val="21"/>
              </w:rPr>
              <w:t>全面实施</w:t>
            </w:r>
          </w:p>
        </w:tc>
        <w:tc>
          <w:tcPr>
            <w:tcW w:w="1034" w:type="dxa"/>
            <w:noWrap/>
            <w:vAlign w:val="center"/>
          </w:tcPr>
          <w:p w14:paraId="17A1B26C">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67901C0F">
            <w:pPr>
              <w:pStyle w:val="22"/>
              <w:spacing w:line="300" w:lineRule="exact"/>
              <w:rPr>
                <w:rFonts w:cs="Times New Roman"/>
                <w:sz w:val="21"/>
                <w:szCs w:val="21"/>
              </w:rPr>
            </w:pPr>
            <w:r>
              <w:rPr>
                <w:rFonts w:cs="Times New Roman"/>
                <w:sz w:val="21"/>
                <w:szCs w:val="21"/>
              </w:rPr>
              <w:t>全面实施</w:t>
            </w:r>
          </w:p>
        </w:tc>
        <w:tc>
          <w:tcPr>
            <w:tcW w:w="853" w:type="dxa"/>
            <w:noWrap/>
            <w:vAlign w:val="center"/>
          </w:tcPr>
          <w:p w14:paraId="1CBEDBF8">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756C1E04">
            <w:pPr>
              <w:pStyle w:val="22"/>
              <w:spacing w:line="300" w:lineRule="exact"/>
              <w:rPr>
                <w:rFonts w:cs="Times New Roman"/>
                <w:sz w:val="21"/>
                <w:szCs w:val="21"/>
              </w:rPr>
            </w:pPr>
            <w:r>
              <w:rPr>
                <w:rFonts w:cs="Times New Roman"/>
                <w:sz w:val="21"/>
                <w:szCs w:val="21"/>
              </w:rPr>
              <w:t>全面实施</w:t>
            </w:r>
          </w:p>
        </w:tc>
        <w:tc>
          <w:tcPr>
            <w:tcW w:w="1080" w:type="dxa"/>
            <w:noWrap/>
            <w:vAlign w:val="center"/>
          </w:tcPr>
          <w:p w14:paraId="1443D2CB">
            <w:pPr>
              <w:pStyle w:val="22"/>
              <w:spacing w:line="300" w:lineRule="exact"/>
              <w:rPr>
                <w:rFonts w:cs="Times New Roman"/>
                <w:sz w:val="21"/>
                <w:szCs w:val="21"/>
              </w:rPr>
            </w:pPr>
            <w:r>
              <w:rPr>
                <w:rFonts w:cs="Times New Roman"/>
                <w:sz w:val="21"/>
                <w:szCs w:val="21"/>
              </w:rPr>
              <w:t>全面实施</w:t>
            </w:r>
          </w:p>
        </w:tc>
        <w:tc>
          <w:tcPr>
            <w:tcW w:w="1162" w:type="dxa"/>
            <w:noWrap/>
            <w:vAlign w:val="center"/>
          </w:tcPr>
          <w:p w14:paraId="2C41ADB7">
            <w:pPr>
              <w:pStyle w:val="22"/>
              <w:spacing w:line="300" w:lineRule="exact"/>
              <w:rPr>
                <w:rFonts w:cs="Times New Roman"/>
                <w:sz w:val="21"/>
                <w:szCs w:val="21"/>
              </w:rPr>
            </w:pPr>
            <w:r>
              <w:rPr>
                <w:rFonts w:cs="Times New Roman"/>
                <w:sz w:val="21"/>
                <w:szCs w:val="21"/>
              </w:rPr>
              <w:t>全面实施</w:t>
            </w:r>
          </w:p>
        </w:tc>
      </w:tr>
      <w:tr w14:paraId="2EE5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607F1A2F">
            <w:pPr>
              <w:pStyle w:val="22"/>
              <w:spacing w:line="300" w:lineRule="exact"/>
              <w:rPr>
                <w:rFonts w:cs="Times New Roman"/>
                <w:sz w:val="21"/>
                <w:szCs w:val="21"/>
              </w:rPr>
            </w:pPr>
          </w:p>
        </w:tc>
        <w:tc>
          <w:tcPr>
            <w:tcW w:w="828" w:type="dxa"/>
            <w:vMerge w:val="continue"/>
            <w:noWrap/>
            <w:vAlign w:val="center"/>
          </w:tcPr>
          <w:p w14:paraId="57BBEE06">
            <w:pPr>
              <w:pStyle w:val="22"/>
              <w:spacing w:line="300" w:lineRule="exact"/>
              <w:rPr>
                <w:rFonts w:cs="Times New Roman"/>
                <w:sz w:val="21"/>
                <w:szCs w:val="21"/>
              </w:rPr>
            </w:pPr>
          </w:p>
        </w:tc>
        <w:tc>
          <w:tcPr>
            <w:tcW w:w="440" w:type="dxa"/>
            <w:noWrap/>
            <w:vAlign w:val="center"/>
          </w:tcPr>
          <w:p w14:paraId="080CA5C2">
            <w:pPr>
              <w:pStyle w:val="22"/>
              <w:spacing w:line="300" w:lineRule="exact"/>
              <w:rPr>
                <w:rFonts w:cs="Times New Roman"/>
                <w:sz w:val="21"/>
                <w:szCs w:val="21"/>
              </w:rPr>
            </w:pPr>
            <w:r>
              <w:rPr>
                <w:rFonts w:cs="Times New Roman"/>
                <w:sz w:val="21"/>
                <w:szCs w:val="21"/>
              </w:rPr>
              <w:t>5</w:t>
            </w:r>
          </w:p>
        </w:tc>
        <w:tc>
          <w:tcPr>
            <w:tcW w:w="2723" w:type="dxa"/>
            <w:noWrap/>
            <w:vAlign w:val="center"/>
          </w:tcPr>
          <w:p w14:paraId="1AA1A81F">
            <w:pPr>
              <w:pStyle w:val="22"/>
              <w:spacing w:line="300" w:lineRule="exact"/>
              <w:jc w:val="both"/>
              <w:rPr>
                <w:rFonts w:cs="Times New Roman"/>
                <w:sz w:val="21"/>
                <w:szCs w:val="21"/>
              </w:rPr>
            </w:pPr>
            <w:r>
              <w:rPr>
                <w:rFonts w:cs="Times New Roman"/>
                <w:sz w:val="21"/>
                <w:szCs w:val="21"/>
              </w:rPr>
              <w:t>生态环境信息公开率</w:t>
            </w:r>
          </w:p>
        </w:tc>
        <w:tc>
          <w:tcPr>
            <w:tcW w:w="622" w:type="dxa"/>
            <w:noWrap/>
            <w:vAlign w:val="center"/>
          </w:tcPr>
          <w:p w14:paraId="10BF993D">
            <w:pPr>
              <w:pStyle w:val="22"/>
              <w:spacing w:line="300" w:lineRule="exact"/>
              <w:rPr>
                <w:rFonts w:cs="Times New Roman"/>
                <w:sz w:val="21"/>
                <w:szCs w:val="21"/>
              </w:rPr>
            </w:pPr>
            <w:r>
              <w:rPr>
                <w:rFonts w:cs="Times New Roman"/>
                <w:sz w:val="21"/>
                <w:szCs w:val="21"/>
              </w:rPr>
              <w:t>%</w:t>
            </w:r>
          </w:p>
        </w:tc>
        <w:tc>
          <w:tcPr>
            <w:tcW w:w="1100" w:type="dxa"/>
            <w:noWrap/>
            <w:vAlign w:val="center"/>
          </w:tcPr>
          <w:p w14:paraId="255CF642">
            <w:pPr>
              <w:pStyle w:val="22"/>
              <w:spacing w:line="300" w:lineRule="exact"/>
              <w:rPr>
                <w:rFonts w:cs="Times New Roman"/>
                <w:sz w:val="21"/>
                <w:szCs w:val="21"/>
              </w:rPr>
            </w:pPr>
            <w:r>
              <w:rPr>
                <w:rFonts w:cs="Times New Roman"/>
                <w:sz w:val="21"/>
                <w:szCs w:val="21"/>
              </w:rPr>
              <w:t>100</w:t>
            </w:r>
          </w:p>
        </w:tc>
        <w:tc>
          <w:tcPr>
            <w:tcW w:w="1100" w:type="dxa"/>
            <w:noWrap/>
            <w:vAlign w:val="center"/>
          </w:tcPr>
          <w:p w14:paraId="75DF5A93">
            <w:pPr>
              <w:pStyle w:val="22"/>
              <w:spacing w:line="300" w:lineRule="exact"/>
              <w:rPr>
                <w:rFonts w:cs="Times New Roman"/>
                <w:sz w:val="21"/>
                <w:szCs w:val="21"/>
              </w:rPr>
            </w:pPr>
            <w:r>
              <w:rPr>
                <w:rFonts w:cs="Times New Roman"/>
                <w:sz w:val="21"/>
                <w:szCs w:val="21"/>
              </w:rPr>
              <w:t>100</w:t>
            </w:r>
          </w:p>
        </w:tc>
        <w:tc>
          <w:tcPr>
            <w:tcW w:w="1034" w:type="dxa"/>
            <w:noWrap/>
            <w:vAlign w:val="center"/>
          </w:tcPr>
          <w:p w14:paraId="08836706">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302F01AA">
            <w:pPr>
              <w:pStyle w:val="22"/>
              <w:spacing w:line="300" w:lineRule="exact"/>
              <w:rPr>
                <w:rFonts w:cs="Times New Roman"/>
                <w:sz w:val="21"/>
                <w:szCs w:val="21"/>
              </w:rPr>
            </w:pPr>
            <w:r>
              <w:rPr>
                <w:rFonts w:cs="Times New Roman"/>
                <w:sz w:val="21"/>
                <w:szCs w:val="21"/>
              </w:rPr>
              <w:t>100</w:t>
            </w:r>
          </w:p>
        </w:tc>
        <w:tc>
          <w:tcPr>
            <w:tcW w:w="853" w:type="dxa"/>
            <w:noWrap/>
            <w:vAlign w:val="center"/>
          </w:tcPr>
          <w:p w14:paraId="75F83754">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1BDE7746">
            <w:pPr>
              <w:pStyle w:val="22"/>
              <w:spacing w:line="300" w:lineRule="exact"/>
              <w:rPr>
                <w:rFonts w:cs="Times New Roman"/>
                <w:sz w:val="21"/>
                <w:szCs w:val="21"/>
              </w:rPr>
            </w:pPr>
            <w:r>
              <w:rPr>
                <w:rFonts w:cs="Times New Roman"/>
                <w:sz w:val="21"/>
                <w:szCs w:val="21"/>
              </w:rPr>
              <w:t>100</w:t>
            </w:r>
          </w:p>
        </w:tc>
        <w:tc>
          <w:tcPr>
            <w:tcW w:w="1080" w:type="dxa"/>
            <w:noWrap/>
            <w:vAlign w:val="center"/>
          </w:tcPr>
          <w:p w14:paraId="083AB82C">
            <w:pPr>
              <w:pStyle w:val="22"/>
              <w:spacing w:line="300" w:lineRule="exact"/>
              <w:rPr>
                <w:rFonts w:cs="Times New Roman"/>
                <w:sz w:val="21"/>
                <w:szCs w:val="21"/>
              </w:rPr>
            </w:pPr>
            <w:r>
              <w:rPr>
                <w:rFonts w:cs="Times New Roman"/>
                <w:sz w:val="21"/>
                <w:szCs w:val="21"/>
              </w:rPr>
              <w:t>100</w:t>
            </w:r>
          </w:p>
        </w:tc>
        <w:tc>
          <w:tcPr>
            <w:tcW w:w="1162" w:type="dxa"/>
            <w:noWrap/>
            <w:vAlign w:val="center"/>
          </w:tcPr>
          <w:p w14:paraId="3DC8396E">
            <w:pPr>
              <w:pStyle w:val="22"/>
              <w:spacing w:line="300" w:lineRule="exact"/>
              <w:rPr>
                <w:rFonts w:cs="Times New Roman"/>
                <w:sz w:val="21"/>
                <w:szCs w:val="21"/>
              </w:rPr>
            </w:pPr>
            <w:r>
              <w:rPr>
                <w:rFonts w:cs="Times New Roman"/>
                <w:sz w:val="21"/>
                <w:szCs w:val="21"/>
              </w:rPr>
              <w:t>100</w:t>
            </w:r>
          </w:p>
        </w:tc>
      </w:tr>
      <w:tr w14:paraId="2E59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524BB095">
            <w:pPr>
              <w:pStyle w:val="22"/>
              <w:spacing w:line="300" w:lineRule="exact"/>
              <w:rPr>
                <w:rFonts w:cs="Times New Roman"/>
                <w:sz w:val="21"/>
                <w:szCs w:val="21"/>
              </w:rPr>
            </w:pPr>
          </w:p>
        </w:tc>
        <w:tc>
          <w:tcPr>
            <w:tcW w:w="828" w:type="dxa"/>
            <w:vMerge w:val="continue"/>
            <w:noWrap/>
            <w:vAlign w:val="center"/>
          </w:tcPr>
          <w:p w14:paraId="5168CCA3">
            <w:pPr>
              <w:pStyle w:val="22"/>
              <w:spacing w:line="300" w:lineRule="exact"/>
              <w:rPr>
                <w:rFonts w:cs="Times New Roman"/>
                <w:sz w:val="21"/>
                <w:szCs w:val="21"/>
              </w:rPr>
            </w:pPr>
          </w:p>
        </w:tc>
        <w:tc>
          <w:tcPr>
            <w:tcW w:w="440" w:type="dxa"/>
            <w:noWrap/>
            <w:vAlign w:val="center"/>
          </w:tcPr>
          <w:p w14:paraId="2921C4C9">
            <w:pPr>
              <w:pStyle w:val="22"/>
              <w:spacing w:line="300" w:lineRule="exact"/>
              <w:rPr>
                <w:rFonts w:cs="Times New Roman"/>
                <w:sz w:val="21"/>
                <w:szCs w:val="21"/>
              </w:rPr>
            </w:pPr>
            <w:r>
              <w:rPr>
                <w:rFonts w:cs="Times New Roman"/>
                <w:sz w:val="21"/>
                <w:szCs w:val="21"/>
              </w:rPr>
              <w:t>6</w:t>
            </w:r>
          </w:p>
        </w:tc>
        <w:tc>
          <w:tcPr>
            <w:tcW w:w="2723" w:type="dxa"/>
            <w:noWrap/>
            <w:vAlign w:val="center"/>
          </w:tcPr>
          <w:p w14:paraId="0885D42C">
            <w:pPr>
              <w:pStyle w:val="22"/>
              <w:spacing w:line="300" w:lineRule="exact"/>
              <w:jc w:val="both"/>
              <w:rPr>
                <w:rFonts w:cs="Times New Roman"/>
                <w:sz w:val="21"/>
                <w:szCs w:val="21"/>
              </w:rPr>
            </w:pPr>
            <w:r>
              <w:rPr>
                <w:rFonts w:cs="Times New Roman"/>
                <w:sz w:val="21"/>
                <w:szCs w:val="21"/>
              </w:rPr>
              <w:t>依法开展规划环境影响评价</w:t>
            </w:r>
          </w:p>
        </w:tc>
        <w:tc>
          <w:tcPr>
            <w:tcW w:w="622" w:type="dxa"/>
            <w:noWrap/>
            <w:vAlign w:val="center"/>
          </w:tcPr>
          <w:p w14:paraId="09130CE4">
            <w:pPr>
              <w:pStyle w:val="22"/>
              <w:spacing w:line="300" w:lineRule="exact"/>
              <w:rPr>
                <w:rFonts w:cs="Times New Roman"/>
                <w:sz w:val="21"/>
                <w:szCs w:val="21"/>
              </w:rPr>
            </w:pPr>
            <w:r>
              <w:rPr>
                <w:rFonts w:cs="Times New Roman"/>
                <w:sz w:val="21"/>
                <w:szCs w:val="21"/>
              </w:rPr>
              <w:t>—</w:t>
            </w:r>
          </w:p>
        </w:tc>
        <w:tc>
          <w:tcPr>
            <w:tcW w:w="1100" w:type="dxa"/>
            <w:noWrap/>
            <w:vAlign w:val="center"/>
          </w:tcPr>
          <w:p w14:paraId="21F8B159">
            <w:pPr>
              <w:pStyle w:val="22"/>
              <w:spacing w:line="300" w:lineRule="exact"/>
              <w:rPr>
                <w:rFonts w:cs="Times New Roman"/>
                <w:sz w:val="21"/>
                <w:szCs w:val="21"/>
              </w:rPr>
            </w:pPr>
            <w:r>
              <w:rPr>
                <w:rFonts w:cs="Times New Roman"/>
                <w:sz w:val="21"/>
                <w:szCs w:val="21"/>
              </w:rPr>
              <w:t>开展</w:t>
            </w:r>
          </w:p>
        </w:tc>
        <w:tc>
          <w:tcPr>
            <w:tcW w:w="1100" w:type="dxa"/>
            <w:noWrap/>
            <w:vAlign w:val="center"/>
          </w:tcPr>
          <w:p w14:paraId="5A07733F">
            <w:pPr>
              <w:pStyle w:val="22"/>
              <w:spacing w:line="300" w:lineRule="exact"/>
              <w:rPr>
                <w:rFonts w:cs="Times New Roman"/>
                <w:sz w:val="21"/>
                <w:szCs w:val="21"/>
              </w:rPr>
            </w:pPr>
            <w:r>
              <w:rPr>
                <w:rFonts w:cs="Times New Roman"/>
                <w:sz w:val="21"/>
                <w:szCs w:val="21"/>
              </w:rPr>
              <w:t>开展</w:t>
            </w:r>
          </w:p>
        </w:tc>
        <w:tc>
          <w:tcPr>
            <w:tcW w:w="1034" w:type="dxa"/>
            <w:noWrap/>
            <w:vAlign w:val="center"/>
          </w:tcPr>
          <w:p w14:paraId="5C741E32">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6E513DA8">
            <w:pPr>
              <w:pStyle w:val="22"/>
              <w:spacing w:line="300" w:lineRule="exact"/>
              <w:rPr>
                <w:rFonts w:cs="Times New Roman"/>
                <w:sz w:val="21"/>
                <w:szCs w:val="21"/>
              </w:rPr>
            </w:pPr>
            <w:r>
              <w:rPr>
                <w:rFonts w:cs="Times New Roman"/>
                <w:sz w:val="21"/>
                <w:szCs w:val="21"/>
              </w:rPr>
              <w:t>开展</w:t>
            </w:r>
          </w:p>
        </w:tc>
        <w:tc>
          <w:tcPr>
            <w:tcW w:w="853" w:type="dxa"/>
            <w:noWrap/>
            <w:vAlign w:val="center"/>
          </w:tcPr>
          <w:p w14:paraId="0B1C2F99">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7CA6A6F0">
            <w:pPr>
              <w:spacing w:line="300" w:lineRule="exact"/>
              <w:ind w:firstLine="0" w:firstLineChars="0"/>
              <w:jc w:val="center"/>
              <w:rPr>
                <w:rFonts w:cs="Times New Roman"/>
                <w:sz w:val="21"/>
                <w:szCs w:val="21"/>
              </w:rPr>
            </w:pPr>
            <w:r>
              <w:rPr>
                <w:rFonts w:cs="Times New Roman"/>
                <w:sz w:val="21"/>
                <w:szCs w:val="21"/>
              </w:rPr>
              <w:t>开展</w:t>
            </w:r>
          </w:p>
        </w:tc>
        <w:tc>
          <w:tcPr>
            <w:tcW w:w="1080" w:type="dxa"/>
            <w:noWrap/>
            <w:vAlign w:val="center"/>
          </w:tcPr>
          <w:p w14:paraId="455558E3">
            <w:pPr>
              <w:spacing w:line="300" w:lineRule="exact"/>
              <w:ind w:firstLine="0" w:firstLineChars="0"/>
              <w:jc w:val="center"/>
              <w:rPr>
                <w:rFonts w:cs="Times New Roman"/>
                <w:sz w:val="21"/>
                <w:szCs w:val="21"/>
              </w:rPr>
            </w:pPr>
            <w:r>
              <w:rPr>
                <w:rFonts w:cs="Times New Roman"/>
                <w:sz w:val="21"/>
                <w:szCs w:val="21"/>
              </w:rPr>
              <w:t>开展</w:t>
            </w:r>
          </w:p>
        </w:tc>
        <w:tc>
          <w:tcPr>
            <w:tcW w:w="1162" w:type="dxa"/>
            <w:noWrap/>
            <w:vAlign w:val="center"/>
          </w:tcPr>
          <w:p w14:paraId="68A6803A">
            <w:pPr>
              <w:spacing w:line="300" w:lineRule="exact"/>
              <w:ind w:firstLine="0" w:firstLineChars="0"/>
              <w:jc w:val="center"/>
              <w:rPr>
                <w:rFonts w:cs="Times New Roman"/>
                <w:sz w:val="21"/>
                <w:szCs w:val="21"/>
              </w:rPr>
            </w:pPr>
            <w:r>
              <w:rPr>
                <w:rFonts w:cs="Times New Roman"/>
                <w:sz w:val="21"/>
                <w:szCs w:val="21"/>
              </w:rPr>
              <w:t>开展</w:t>
            </w:r>
          </w:p>
        </w:tc>
      </w:tr>
      <w:tr w14:paraId="1CF4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7474C1CA">
            <w:pPr>
              <w:pStyle w:val="22"/>
              <w:spacing w:line="300" w:lineRule="exact"/>
              <w:rPr>
                <w:rFonts w:cs="Times New Roman"/>
                <w:sz w:val="21"/>
                <w:szCs w:val="21"/>
              </w:rPr>
            </w:pPr>
          </w:p>
        </w:tc>
        <w:tc>
          <w:tcPr>
            <w:tcW w:w="828" w:type="dxa"/>
            <w:vMerge w:val="continue"/>
            <w:noWrap/>
            <w:vAlign w:val="center"/>
          </w:tcPr>
          <w:p w14:paraId="372CF56F">
            <w:pPr>
              <w:pStyle w:val="22"/>
              <w:spacing w:line="300" w:lineRule="exact"/>
              <w:rPr>
                <w:rFonts w:cs="Times New Roman"/>
                <w:sz w:val="21"/>
                <w:szCs w:val="21"/>
              </w:rPr>
            </w:pPr>
          </w:p>
        </w:tc>
        <w:tc>
          <w:tcPr>
            <w:tcW w:w="440" w:type="dxa"/>
            <w:noWrap/>
            <w:vAlign w:val="center"/>
          </w:tcPr>
          <w:p w14:paraId="61D879D9">
            <w:pPr>
              <w:pStyle w:val="22"/>
              <w:spacing w:line="300" w:lineRule="exact"/>
              <w:rPr>
                <w:rFonts w:cs="Times New Roman"/>
                <w:sz w:val="21"/>
                <w:szCs w:val="21"/>
              </w:rPr>
            </w:pPr>
            <w:r>
              <w:rPr>
                <w:rFonts w:cs="Times New Roman"/>
                <w:sz w:val="21"/>
                <w:szCs w:val="21"/>
              </w:rPr>
              <w:t>7</w:t>
            </w:r>
          </w:p>
        </w:tc>
        <w:tc>
          <w:tcPr>
            <w:tcW w:w="2723" w:type="dxa"/>
            <w:noWrap/>
            <w:vAlign w:val="center"/>
          </w:tcPr>
          <w:p w14:paraId="799EA8E3">
            <w:pPr>
              <w:pStyle w:val="22"/>
              <w:spacing w:line="300" w:lineRule="exact"/>
              <w:jc w:val="both"/>
              <w:rPr>
                <w:rFonts w:cs="Times New Roman"/>
                <w:sz w:val="21"/>
                <w:szCs w:val="21"/>
              </w:rPr>
            </w:pPr>
            <w:r>
              <w:rPr>
                <w:rFonts w:cs="Times New Roman"/>
                <w:sz w:val="21"/>
                <w:szCs w:val="21"/>
              </w:rPr>
              <w:t>生态文明建设示范镇村创建</w:t>
            </w:r>
          </w:p>
        </w:tc>
        <w:tc>
          <w:tcPr>
            <w:tcW w:w="622" w:type="dxa"/>
            <w:noWrap/>
            <w:vAlign w:val="center"/>
          </w:tcPr>
          <w:p w14:paraId="0549DDB0">
            <w:pPr>
              <w:pStyle w:val="22"/>
              <w:spacing w:line="300" w:lineRule="exact"/>
              <w:rPr>
                <w:rFonts w:cs="Times New Roman"/>
                <w:sz w:val="21"/>
                <w:szCs w:val="21"/>
              </w:rPr>
            </w:pPr>
            <w:r>
              <w:rPr>
                <w:rFonts w:cs="Times New Roman"/>
                <w:sz w:val="21"/>
                <w:szCs w:val="21"/>
              </w:rPr>
              <w:t>—</w:t>
            </w:r>
          </w:p>
        </w:tc>
        <w:tc>
          <w:tcPr>
            <w:tcW w:w="1100" w:type="dxa"/>
            <w:noWrap/>
            <w:vAlign w:val="center"/>
          </w:tcPr>
          <w:p w14:paraId="2B4DEBCA">
            <w:pPr>
              <w:pStyle w:val="22"/>
              <w:spacing w:line="300" w:lineRule="exact"/>
              <w:rPr>
                <w:rFonts w:cs="Times New Roman"/>
                <w:sz w:val="21"/>
                <w:szCs w:val="21"/>
              </w:rPr>
            </w:pPr>
            <w:r>
              <w:rPr>
                <w:rFonts w:cs="Times New Roman"/>
                <w:sz w:val="21"/>
                <w:szCs w:val="21"/>
              </w:rPr>
              <w:t>开展</w:t>
            </w:r>
          </w:p>
        </w:tc>
        <w:tc>
          <w:tcPr>
            <w:tcW w:w="1100" w:type="dxa"/>
            <w:noWrap/>
            <w:vAlign w:val="center"/>
          </w:tcPr>
          <w:p w14:paraId="198AA35B">
            <w:pPr>
              <w:pStyle w:val="22"/>
              <w:spacing w:line="300" w:lineRule="exact"/>
              <w:rPr>
                <w:rFonts w:cs="Times New Roman"/>
                <w:sz w:val="21"/>
                <w:szCs w:val="21"/>
              </w:rPr>
            </w:pPr>
            <w:r>
              <w:rPr>
                <w:rFonts w:cs="Times New Roman"/>
                <w:sz w:val="21"/>
                <w:szCs w:val="21"/>
              </w:rPr>
              <w:t>—</w:t>
            </w:r>
          </w:p>
        </w:tc>
        <w:tc>
          <w:tcPr>
            <w:tcW w:w="1034" w:type="dxa"/>
            <w:noWrap/>
            <w:vAlign w:val="center"/>
          </w:tcPr>
          <w:p w14:paraId="5E877AD7">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79035548">
            <w:pPr>
              <w:pStyle w:val="22"/>
              <w:spacing w:line="300" w:lineRule="exact"/>
              <w:rPr>
                <w:rFonts w:cs="Times New Roman"/>
                <w:sz w:val="21"/>
                <w:szCs w:val="21"/>
              </w:rPr>
            </w:pPr>
            <w:r>
              <w:rPr>
                <w:rFonts w:cs="Times New Roman"/>
                <w:sz w:val="21"/>
                <w:szCs w:val="21"/>
              </w:rPr>
              <w:t>未开展</w:t>
            </w:r>
          </w:p>
        </w:tc>
        <w:tc>
          <w:tcPr>
            <w:tcW w:w="853" w:type="dxa"/>
            <w:noWrap/>
            <w:vAlign w:val="center"/>
          </w:tcPr>
          <w:p w14:paraId="4981F1FC">
            <w:pPr>
              <w:pStyle w:val="22"/>
              <w:spacing w:line="300" w:lineRule="exact"/>
              <w:rPr>
                <w:rFonts w:cs="Times New Roman"/>
                <w:sz w:val="21"/>
                <w:szCs w:val="21"/>
              </w:rPr>
            </w:pPr>
            <w:r>
              <w:rPr>
                <w:rFonts w:cs="Times New Roman"/>
                <w:sz w:val="21"/>
                <w:szCs w:val="21"/>
              </w:rPr>
              <w:t>未达标</w:t>
            </w:r>
          </w:p>
        </w:tc>
        <w:tc>
          <w:tcPr>
            <w:tcW w:w="1110" w:type="dxa"/>
            <w:noWrap/>
            <w:vAlign w:val="center"/>
          </w:tcPr>
          <w:p w14:paraId="25A4C46D">
            <w:pPr>
              <w:spacing w:line="300" w:lineRule="exact"/>
              <w:ind w:firstLine="0" w:firstLineChars="0"/>
              <w:jc w:val="center"/>
              <w:rPr>
                <w:rFonts w:cs="Times New Roman"/>
                <w:sz w:val="21"/>
                <w:szCs w:val="21"/>
              </w:rPr>
            </w:pPr>
            <w:r>
              <w:rPr>
                <w:rFonts w:cs="Times New Roman"/>
                <w:sz w:val="21"/>
                <w:szCs w:val="21"/>
              </w:rPr>
              <w:t>开展</w:t>
            </w:r>
          </w:p>
        </w:tc>
        <w:tc>
          <w:tcPr>
            <w:tcW w:w="1080" w:type="dxa"/>
            <w:noWrap/>
            <w:vAlign w:val="center"/>
          </w:tcPr>
          <w:p w14:paraId="3CCAA652">
            <w:pPr>
              <w:spacing w:line="300" w:lineRule="exact"/>
              <w:ind w:firstLine="0" w:firstLineChars="0"/>
              <w:jc w:val="center"/>
              <w:rPr>
                <w:rFonts w:cs="Times New Roman"/>
                <w:sz w:val="21"/>
                <w:szCs w:val="21"/>
              </w:rPr>
            </w:pPr>
            <w:r>
              <w:rPr>
                <w:rFonts w:cs="Times New Roman"/>
                <w:sz w:val="21"/>
                <w:szCs w:val="21"/>
              </w:rPr>
              <w:t>开展</w:t>
            </w:r>
          </w:p>
        </w:tc>
        <w:tc>
          <w:tcPr>
            <w:tcW w:w="1162" w:type="dxa"/>
            <w:noWrap/>
            <w:vAlign w:val="center"/>
          </w:tcPr>
          <w:p w14:paraId="008ECB04">
            <w:pPr>
              <w:spacing w:line="300" w:lineRule="exact"/>
              <w:ind w:firstLine="0" w:firstLineChars="0"/>
              <w:jc w:val="center"/>
              <w:rPr>
                <w:rFonts w:cs="Times New Roman"/>
                <w:sz w:val="21"/>
                <w:szCs w:val="21"/>
              </w:rPr>
            </w:pPr>
            <w:r>
              <w:rPr>
                <w:rFonts w:cs="Times New Roman"/>
                <w:sz w:val="21"/>
                <w:szCs w:val="21"/>
              </w:rPr>
              <w:t>开展</w:t>
            </w:r>
          </w:p>
        </w:tc>
      </w:tr>
      <w:tr w14:paraId="16FF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noWrap/>
            <w:vAlign w:val="center"/>
          </w:tcPr>
          <w:p w14:paraId="5F512DEC">
            <w:pPr>
              <w:pStyle w:val="22"/>
              <w:spacing w:line="300" w:lineRule="exact"/>
              <w:rPr>
                <w:rFonts w:cs="Times New Roman"/>
                <w:sz w:val="21"/>
                <w:szCs w:val="21"/>
              </w:rPr>
            </w:pPr>
            <w:r>
              <w:rPr>
                <w:rFonts w:cs="Times New Roman"/>
                <w:sz w:val="21"/>
                <w:szCs w:val="21"/>
              </w:rPr>
              <w:t>生态安全</w:t>
            </w:r>
          </w:p>
        </w:tc>
        <w:tc>
          <w:tcPr>
            <w:tcW w:w="828" w:type="dxa"/>
            <w:noWrap/>
            <w:vAlign w:val="center"/>
          </w:tcPr>
          <w:p w14:paraId="376216CF">
            <w:pPr>
              <w:pStyle w:val="22"/>
              <w:spacing w:line="300" w:lineRule="exact"/>
              <w:rPr>
                <w:rFonts w:cs="Times New Roman"/>
                <w:sz w:val="21"/>
                <w:szCs w:val="21"/>
              </w:rPr>
            </w:pPr>
            <w:r>
              <w:rPr>
                <w:rFonts w:cs="Times New Roman"/>
                <w:sz w:val="21"/>
                <w:szCs w:val="21"/>
              </w:rPr>
              <w:t>（二）</w:t>
            </w:r>
          </w:p>
          <w:p w14:paraId="660D9CA6">
            <w:pPr>
              <w:pStyle w:val="22"/>
              <w:spacing w:line="300" w:lineRule="exact"/>
              <w:rPr>
                <w:rFonts w:cs="Times New Roman"/>
                <w:sz w:val="21"/>
                <w:szCs w:val="21"/>
              </w:rPr>
            </w:pPr>
            <w:r>
              <w:rPr>
                <w:rFonts w:cs="Times New Roman"/>
                <w:sz w:val="21"/>
                <w:szCs w:val="21"/>
              </w:rPr>
              <w:t>生态环境质量改善</w:t>
            </w:r>
          </w:p>
        </w:tc>
        <w:tc>
          <w:tcPr>
            <w:tcW w:w="440" w:type="dxa"/>
            <w:noWrap/>
            <w:vAlign w:val="center"/>
          </w:tcPr>
          <w:p w14:paraId="4C5B539A">
            <w:pPr>
              <w:pStyle w:val="22"/>
              <w:spacing w:line="300" w:lineRule="exact"/>
              <w:rPr>
                <w:rFonts w:cs="Times New Roman"/>
                <w:sz w:val="21"/>
                <w:szCs w:val="21"/>
              </w:rPr>
            </w:pPr>
            <w:r>
              <w:rPr>
                <w:rFonts w:cs="Times New Roman"/>
                <w:sz w:val="21"/>
                <w:szCs w:val="21"/>
              </w:rPr>
              <w:t>8</w:t>
            </w:r>
          </w:p>
        </w:tc>
        <w:tc>
          <w:tcPr>
            <w:tcW w:w="2723" w:type="dxa"/>
            <w:noWrap/>
            <w:vAlign w:val="center"/>
          </w:tcPr>
          <w:p w14:paraId="79602A18">
            <w:pPr>
              <w:pStyle w:val="22"/>
              <w:spacing w:line="300" w:lineRule="exact"/>
              <w:jc w:val="both"/>
              <w:rPr>
                <w:rFonts w:cs="Times New Roman"/>
                <w:sz w:val="21"/>
                <w:szCs w:val="21"/>
              </w:rPr>
            </w:pPr>
            <w:r>
              <w:rPr>
                <w:rFonts w:cs="Times New Roman"/>
                <w:sz w:val="21"/>
                <w:szCs w:val="21"/>
              </w:rPr>
              <w:t>环境空气质量</w:t>
            </w:r>
          </w:p>
          <w:p w14:paraId="1B8FEBA8">
            <w:pPr>
              <w:pStyle w:val="22"/>
              <w:spacing w:line="300" w:lineRule="exact"/>
              <w:jc w:val="both"/>
              <w:rPr>
                <w:rFonts w:cs="Times New Roman"/>
                <w:sz w:val="21"/>
                <w:szCs w:val="21"/>
              </w:rPr>
            </w:pPr>
            <w:r>
              <w:rPr>
                <w:rFonts w:cs="Times New Roman"/>
                <w:sz w:val="21"/>
                <w:szCs w:val="21"/>
              </w:rPr>
              <w:t>优良天数比例</w:t>
            </w:r>
          </w:p>
          <w:p w14:paraId="5C695C70">
            <w:pPr>
              <w:pStyle w:val="22"/>
              <w:spacing w:line="300" w:lineRule="exact"/>
              <w:jc w:val="both"/>
              <w:rPr>
                <w:rFonts w:cs="Times New Roman"/>
                <w:sz w:val="21"/>
                <w:szCs w:val="21"/>
              </w:rPr>
            </w:pPr>
            <w:r>
              <w:rPr>
                <w:rFonts w:cs="Times New Roman"/>
                <w:sz w:val="21"/>
                <w:szCs w:val="21"/>
              </w:rPr>
              <w:t>PM</w:t>
            </w:r>
            <w:r>
              <w:rPr>
                <w:rFonts w:cs="Times New Roman"/>
                <w:sz w:val="21"/>
                <w:szCs w:val="21"/>
                <w:vertAlign w:val="subscript"/>
              </w:rPr>
              <w:t>2.5</w:t>
            </w:r>
            <w:r>
              <w:rPr>
                <w:rFonts w:cs="Times New Roman"/>
                <w:sz w:val="21"/>
                <w:szCs w:val="21"/>
              </w:rPr>
              <w:t>浓度下降幅度</w:t>
            </w:r>
          </w:p>
        </w:tc>
        <w:tc>
          <w:tcPr>
            <w:tcW w:w="622" w:type="dxa"/>
            <w:noWrap/>
            <w:vAlign w:val="center"/>
          </w:tcPr>
          <w:p w14:paraId="2B676AC1">
            <w:pPr>
              <w:pStyle w:val="22"/>
              <w:spacing w:line="300" w:lineRule="exact"/>
              <w:rPr>
                <w:rFonts w:cs="Times New Roman"/>
                <w:sz w:val="21"/>
                <w:szCs w:val="21"/>
              </w:rPr>
            </w:pPr>
            <w:r>
              <w:rPr>
                <w:rFonts w:cs="Times New Roman"/>
                <w:sz w:val="21"/>
                <w:szCs w:val="21"/>
              </w:rPr>
              <w:t>%</w:t>
            </w:r>
          </w:p>
        </w:tc>
        <w:tc>
          <w:tcPr>
            <w:tcW w:w="1100" w:type="dxa"/>
            <w:noWrap/>
            <w:vAlign w:val="center"/>
          </w:tcPr>
          <w:p w14:paraId="5B1941CD">
            <w:pPr>
              <w:pStyle w:val="22"/>
              <w:spacing w:line="300" w:lineRule="exact"/>
              <w:rPr>
                <w:rFonts w:cs="Times New Roman"/>
                <w:sz w:val="21"/>
                <w:szCs w:val="21"/>
              </w:rPr>
            </w:pPr>
            <w:r>
              <w:rPr>
                <w:rFonts w:cs="Times New Roman"/>
                <w:sz w:val="21"/>
                <w:szCs w:val="21"/>
              </w:rPr>
              <w:t>完成上级规定的考核任务；保持稳定或持续改善</w:t>
            </w:r>
          </w:p>
        </w:tc>
        <w:tc>
          <w:tcPr>
            <w:tcW w:w="1100" w:type="dxa"/>
            <w:noWrap/>
            <w:vAlign w:val="center"/>
          </w:tcPr>
          <w:p w14:paraId="79B71E95">
            <w:pPr>
              <w:pStyle w:val="22"/>
              <w:spacing w:line="300" w:lineRule="exact"/>
              <w:rPr>
                <w:rFonts w:cs="Times New Roman"/>
                <w:sz w:val="21"/>
                <w:szCs w:val="21"/>
              </w:rPr>
            </w:pPr>
            <w:r>
              <w:rPr>
                <w:rFonts w:cs="Times New Roman"/>
                <w:sz w:val="21"/>
                <w:szCs w:val="21"/>
              </w:rPr>
              <w:t>完成上级规定的考核任务；保持稳定或持续改善</w:t>
            </w:r>
          </w:p>
        </w:tc>
        <w:tc>
          <w:tcPr>
            <w:tcW w:w="1034" w:type="dxa"/>
            <w:noWrap/>
            <w:vAlign w:val="center"/>
          </w:tcPr>
          <w:p w14:paraId="120BE913">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2306746D">
            <w:pPr>
              <w:pStyle w:val="22"/>
              <w:spacing w:line="300" w:lineRule="exact"/>
              <w:rPr>
                <w:rFonts w:cs="Times New Roman"/>
                <w:sz w:val="21"/>
                <w:szCs w:val="21"/>
              </w:rPr>
            </w:pPr>
            <w:r>
              <w:rPr>
                <w:rFonts w:cs="Times New Roman"/>
                <w:sz w:val="21"/>
                <w:szCs w:val="21"/>
              </w:rPr>
              <w:t>97.8</w:t>
            </w:r>
          </w:p>
          <w:p w14:paraId="27C28FCB">
            <w:pPr>
              <w:pStyle w:val="22"/>
              <w:spacing w:line="300" w:lineRule="exact"/>
              <w:rPr>
                <w:rFonts w:cs="Times New Roman"/>
                <w:sz w:val="21"/>
                <w:szCs w:val="21"/>
              </w:rPr>
            </w:pPr>
            <w:r>
              <w:rPr>
                <w:rFonts w:cs="Times New Roman"/>
                <w:sz w:val="21"/>
                <w:szCs w:val="21"/>
              </w:rPr>
              <w:t>42.9</w:t>
            </w:r>
          </w:p>
        </w:tc>
        <w:tc>
          <w:tcPr>
            <w:tcW w:w="853" w:type="dxa"/>
            <w:noWrap/>
            <w:vAlign w:val="center"/>
          </w:tcPr>
          <w:p w14:paraId="7C52C323">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4D6074B9">
            <w:pPr>
              <w:pStyle w:val="22"/>
              <w:spacing w:line="300" w:lineRule="exact"/>
              <w:rPr>
                <w:rFonts w:cs="Times New Roman"/>
                <w:sz w:val="21"/>
                <w:szCs w:val="21"/>
              </w:rPr>
            </w:pPr>
            <w:r>
              <w:rPr>
                <w:rFonts w:cs="Times New Roman"/>
                <w:sz w:val="21"/>
                <w:szCs w:val="21"/>
              </w:rPr>
              <w:t>完成上级规定的考核任务；保持稳定或持续改善</w:t>
            </w:r>
          </w:p>
        </w:tc>
        <w:tc>
          <w:tcPr>
            <w:tcW w:w="1080" w:type="dxa"/>
            <w:noWrap/>
            <w:vAlign w:val="center"/>
          </w:tcPr>
          <w:p w14:paraId="3924F895">
            <w:pPr>
              <w:pStyle w:val="22"/>
              <w:spacing w:line="300" w:lineRule="exact"/>
              <w:rPr>
                <w:rFonts w:cs="Times New Roman"/>
                <w:sz w:val="21"/>
                <w:szCs w:val="21"/>
              </w:rPr>
            </w:pPr>
            <w:r>
              <w:rPr>
                <w:rFonts w:cs="Times New Roman"/>
                <w:sz w:val="21"/>
                <w:szCs w:val="21"/>
              </w:rPr>
              <w:t>完成上级规定的考核任务；保持稳定或持续改善</w:t>
            </w:r>
          </w:p>
        </w:tc>
        <w:tc>
          <w:tcPr>
            <w:tcW w:w="1162" w:type="dxa"/>
            <w:noWrap/>
            <w:vAlign w:val="center"/>
          </w:tcPr>
          <w:p w14:paraId="3BE98FD0">
            <w:pPr>
              <w:pStyle w:val="22"/>
              <w:spacing w:line="300" w:lineRule="exact"/>
              <w:rPr>
                <w:rFonts w:cs="Times New Roman"/>
                <w:sz w:val="21"/>
                <w:szCs w:val="21"/>
              </w:rPr>
            </w:pPr>
            <w:r>
              <w:rPr>
                <w:rFonts w:cs="Times New Roman"/>
                <w:sz w:val="21"/>
                <w:szCs w:val="21"/>
              </w:rPr>
              <w:t>完成上级规定的考核任务；保持稳定或持续改善</w:t>
            </w:r>
          </w:p>
        </w:tc>
      </w:tr>
      <w:tr w14:paraId="537D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36" w:hRule="atLeast"/>
          <w:jc w:val="center"/>
        </w:trPr>
        <w:tc>
          <w:tcPr>
            <w:tcW w:w="503" w:type="dxa"/>
            <w:vMerge w:val="restart"/>
            <w:noWrap/>
            <w:vAlign w:val="center"/>
          </w:tcPr>
          <w:p w14:paraId="682E2284">
            <w:pPr>
              <w:pStyle w:val="22"/>
              <w:spacing w:line="300" w:lineRule="exact"/>
              <w:rPr>
                <w:rFonts w:cs="Times New Roman"/>
                <w:sz w:val="21"/>
                <w:szCs w:val="21"/>
              </w:rPr>
            </w:pPr>
            <w:r>
              <w:rPr>
                <w:rFonts w:cs="Times New Roman"/>
                <w:sz w:val="21"/>
                <w:szCs w:val="21"/>
              </w:rPr>
              <w:t>生态安全</w:t>
            </w:r>
          </w:p>
        </w:tc>
        <w:tc>
          <w:tcPr>
            <w:tcW w:w="828" w:type="dxa"/>
            <w:noWrap/>
            <w:vAlign w:val="center"/>
          </w:tcPr>
          <w:p w14:paraId="6CD6030D">
            <w:pPr>
              <w:pStyle w:val="22"/>
              <w:spacing w:line="300" w:lineRule="exact"/>
              <w:rPr>
                <w:rFonts w:cs="Times New Roman"/>
                <w:sz w:val="21"/>
                <w:szCs w:val="21"/>
              </w:rPr>
            </w:pPr>
            <w:r>
              <w:rPr>
                <w:rFonts w:cs="Times New Roman"/>
                <w:sz w:val="21"/>
                <w:szCs w:val="21"/>
              </w:rPr>
              <w:t>（二）</w:t>
            </w:r>
          </w:p>
          <w:p w14:paraId="0DD19005">
            <w:pPr>
              <w:pStyle w:val="22"/>
              <w:spacing w:line="300" w:lineRule="exact"/>
              <w:rPr>
                <w:rFonts w:cs="Times New Roman"/>
                <w:sz w:val="21"/>
                <w:szCs w:val="21"/>
              </w:rPr>
            </w:pPr>
            <w:r>
              <w:rPr>
                <w:rFonts w:cs="Times New Roman"/>
                <w:sz w:val="21"/>
                <w:szCs w:val="21"/>
              </w:rPr>
              <w:t>生态环境质量改善</w:t>
            </w:r>
          </w:p>
        </w:tc>
        <w:tc>
          <w:tcPr>
            <w:tcW w:w="440" w:type="dxa"/>
            <w:noWrap/>
            <w:vAlign w:val="center"/>
          </w:tcPr>
          <w:p w14:paraId="5914BC82">
            <w:pPr>
              <w:pStyle w:val="22"/>
              <w:spacing w:line="300" w:lineRule="exact"/>
              <w:rPr>
                <w:rFonts w:cs="Times New Roman"/>
                <w:sz w:val="21"/>
                <w:szCs w:val="21"/>
              </w:rPr>
            </w:pPr>
            <w:r>
              <w:rPr>
                <w:rFonts w:cs="Times New Roman"/>
                <w:sz w:val="21"/>
                <w:szCs w:val="21"/>
              </w:rPr>
              <w:t>9</w:t>
            </w:r>
          </w:p>
        </w:tc>
        <w:tc>
          <w:tcPr>
            <w:tcW w:w="2723" w:type="dxa"/>
            <w:noWrap/>
            <w:vAlign w:val="center"/>
          </w:tcPr>
          <w:p w14:paraId="66C5E324">
            <w:pPr>
              <w:pStyle w:val="22"/>
              <w:spacing w:line="300" w:lineRule="exact"/>
              <w:jc w:val="both"/>
              <w:rPr>
                <w:rFonts w:cs="Times New Roman"/>
                <w:sz w:val="21"/>
                <w:szCs w:val="21"/>
              </w:rPr>
            </w:pPr>
            <w:r>
              <w:rPr>
                <w:rFonts w:cs="Times New Roman"/>
                <w:sz w:val="21"/>
                <w:szCs w:val="21"/>
              </w:rPr>
              <w:t>水环境质量</w:t>
            </w:r>
          </w:p>
          <w:p w14:paraId="3BAE516D">
            <w:pPr>
              <w:pStyle w:val="22"/>
              <w:spacing w:line="300" w:lineRule="exact"/>
              <w:jc w:val="both"/>
              <w:rPr>
                <w:rFonts w:cs="Times New Roman"/>
                <w:sz w:val="21"/>
                <w:szCs w:val="21"/>
              </w:rPr>
            </w:pPr>
            <w:r>
              <w:rPr>
                <w:rFonts w:cs="Times New Roman"/>
                <w:sz w:val="21"/>
                <w:szCs w:val="21"/>
              </w:rPr>
              <w:t>水质达到或优于</w:t>
            </w:r>
            <w:r>
              <w:rPr>
                <w:rFonts w:ascii="宋体" w:eastAsia="宋体" w:cs="Times New Roman"/>
                <w:sz w:val="21"/>
                <w:szCs w:val="21"/>
              </w:rPr>
              <w:t>Ⅲ</w:t>
            </w:r>
            <w:r>
              <w:rPr>
                <w:rFonts w:cs="Times New Roman"/>
                <w:sz w:val="21"/>
                <w:szCs w:val="21"/>
              </w:rPr>
              <w:t>类比例提高幅度</w:t>
            </w:r>
          </w:p>
          <w:p w14:paraId="37281846">
            <w:pPr>
              <w:pStyle w:val="22"/>
              <w:spacing w:line="300" w:lineRule="exact"/>
              <w:jc w:val="both"/>
              <w:rPr>
                <w:rFonts w:cs="Times New Roman"/>
                <w:sz w:val="21"/>
                <w:szCs w:val="21"/>
              </w:rPr>
            </w:pPr>
            <w:r>
              <w:rPr>
                <w:rFonts w:cs="Times New Roman"/>
                <w:sz w:val="21"/>
                <w:szCs w:val="21"/>
              </w:rPr>
              <w:t>劣V类水体比例下降幅度</w:t>
            </w:r>
          </w:p>
          <w:p w14:paraId="2DB57E1A">
            <w:pPr>
              <w:pStyle w:val="22"/>
              <w:spacing w:line="300" w:lineRule="exact"/>
              <w:jc w:val="both"/>
              <w:rPr>
                <w:rFonts w:cs="Times New Roman"/>
                <w:sz w:val="21"/>
                <w:szCs w:val="21"/>
              </w:rPr>
            </w:pPr>
            <w:r>
              <w:rPr>
                <w:rFonts w:cs="Times New Roman"/>
                <w:sz w:val="21"/>
                <w:szCs w:val="21"/>
              </w:rPr>
              <w:t>黑臭水体消除比例</w:t>
            </w:r>
          </w:p>
        </w:tc>
        <w:tc>
          <w:tcPr>
            <w:tcW w:w="622" w:type="dxa"/>
            <w:noWrap/>
            <w:vAlign w:val="center"/>
          </w:tcPr>
          <w:p w14:paraId="69E6FF44">
            <w:pPr>
              <w:pStyle w:val="22"/>
              <w:spacing w:line="300" w:lineRule="exact"/>
              <w:rPr>
                <w:rFonts w:cs="Times New Roman"/>
                <w:sz w:val="21"/>
                <w:szCs w:val="21"/>
              </w:rPr>
            </w:pPr>
            <w:r>
              <w:rPr>
                <w:rFonts w:cs="Times New Roman"/>
                <w:sz w:val="21"/>
                <w:szCs w:val="21"/>
              </w:rPr>
              <w:t>%</w:t>
            </w:r>
          </w:p>
        </w:tc>
        <w:tc>
          <w:tcPr>
            <w:tcW w:w="1100" w:type="dxa"/>
            <w:noWrap/>
            <w:vAlign w:val="center"/>
          </w:tcPr>
          <w:p w14:paraId="21C8E622">
            <w:pPr>
              <w:pStyle w:val="22"/>
              <w:spacing w:line="300" w:lineRule="exact"/>
              <w:rPr>
                <w:rFonts w:cs="Times New Roman"/>
                <w:sz w:val="21"/>
                <w:szCs w:val="21"/>
              </w:rPr>
            </w:pPr>
            <w:r>
              <w:rPr>
                <w:rFonts w:cs="Times New Roman"/>
                <w:sz w:val="21"/>
                <w:szCs w:val="21"/>
              </w:rPr>
              <w:t>完成上级规定的考核任务；保持稳定或持续改善</w:t>
            </w:r>
          </w:p>
        </w:tc>
        <w:tc>
          <w:tcPr>
            <w:tcW w:w="1100" w:type="dxa"/>
            <w:noWrap/>
            <w:vAlign w:val="center"/>
          </w:tcPr>
          <w:p w14:paraId="6E0C3768">
            <w:pPr>
              <w:pStyle w:val="22"/>
              <w:spacing w:line="300" w:lineRule="exact"/>
              <w:rPr>
                <w:rFonts w:cs="Times New Roman"/>
                <w:sz w:val="21"/>
                <w:szCs w:val="21"/>
              </w:rPr>
            </w:pPr>
            <w:r>
              <w:rPr>
                <w:rFonts w:cs="Times New Roman"/>
                <w:sz w:val="21"/>
                <w:szCs w:val="21"/>
              </w:rPr>
              <w:t>完成上级规定的考核任务；保持稳定或持续改善</w:t>
            </w:r>
          </w:p>
        </w:tc>
        <w:tc>
          <w:tcPr>
            <w:tcW w:w="1034" w:type="dxa"/>
            <w:noWrap/>
            <w:vAlign w:val="center"/>
          </w:tcPr>
          <w:p w14:paraId="233399E0">
            <w:pPr>
              <w:pStyle w:val="22"/>
              <w:spacing w:line="300" w:lineRule="exact"/>
              <w:rPr>
                <w:rFonts w:cs="Times New Roman"/>
                <w:sz w:val="21"/>
                <w:szCs w:val="21"/>
              </w:rPr>
            </w:pPr>
            <w:r>
              <w:rPr>
                <w:rFonts w:cs="Times New Roman"/>
                <w:sz w:val="21"/>
                <w:szCs w:val="21"/>
              </w:rPr>
              <w:t>约束性</w:t>
            </w:r>
          </w:p>
        </w:tc>
        <w:tc>
          <w:tcPr>
            <w:tcW w:w="1366" w:type="dxa"/>
            <w:noWrap/>
          </w:tcPr>
          <w:p w14:paraId="1F44DABB">
            <w:pPr>
              <w:pStyle w:val="22"/>
              <w:spacing w:line="300" w:lineRule="exact"/>
              <w:jc w:val="both"/>
              <w:rPr>
                <w:rFonts w:cs="Times New Roman"/>
                <w:sz w:val="21"/>
                <w:szCs w:val="21"/>
              </w:rPr>
            </w:pPr>
            <w:r>
              <w:rPr>
                <w:rFonts w:cs="Times New Roman"/>
                <w:sz w:val="21"/>
                <w:szCs w:val="21"/>
              </w:rPr>
              <w:t>0，水环境质量</w:t>
            </w:r>
            <w:r>
              <w:rPr>
                <w:rFonts w:cs="Times New Roman"/>
                <w:spacing w:val="-6"/>
                <w:sz w:val="21"/>
                <w:szCs w:val="21"/>
              </w:rPr>
              <w:t>完成上级规定的考核任务，保持稳定；100，无劣V类水体</w:t>
            </w:r>
            <w:r>
              <w:rPr>
                <w:rFonts w:cs="Times New Roman"/>
                <w:sz w:val="21"/>
                <w:szCs w:val="21"/>
              </w:rPr>
              <w:t>，完成上级规定的考核任务</w:t>
            </w:r>
          </w:p>
        </w:tc>
        <w:tc>
          <w:tcPr>
            <w:tcW w:w="853" w:type="dxa"/>
            <w:noWrap/>
            <w:vAlign w:val="center"/>
          </w:tcPr>
          <w:p w14:paraId="4715303C">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617AB071">
            <w:pPr>
              <w:pStyle w:val="22"/>
              <w:spacing w:line="300" w:lineRule="exact"/>
              <w:rPr>
                <w:rFonts w:cs="Times New Roman"/>
                <w:sz w:val="21"/>
                <w:szCs w:val="21"/>
              </w:rPr>
            </w:pPr>
            <w:r>
              <w:rPr>
                <w:rFonts w:cs="Times New Roman"/>
                <w:sz w:val="21"/>
                <w:szCs w:val="21"/>
              </w:rPr>
              <w:t>完成上级规定的考核任务；保持稳定或持续改善</w:t>
            </w:r>
          </w:p>
        </w:tc>
        <w:tc>
          <w:tcPr>
            <w:tcW w:w="1080" w:type="dxa"/>
            <w:noWrap/>
            <w:vAlign w:val="center"/>
          </w:tcPr>
          <w:p w14:paraId="6C9FF6AB">
            <w:pPr>
              <w:pStyle w:val="22"/>
              <w:spacing w:line="300" w:lineRule="exact"/>
              <w:rPr>
                <w:rFonts w:cs="Times New Roman"/>
                <w:sz w:val="21"/>
                <w:szCs w:val="21"/>
              </w:rPr>
            </w:pPr>
            <w:r>
              <w:rPr>
                <w:rFonts w:cs="Times New Roman"/>
                <w:sz w:val="21"/>
                <w:szCs w:val="21"/>
              </w:rPr>
              <w:t>完成上级规定的考核任务；保持稳定或持续改善</w:t>
            </w:r>
          </w:p>
        </w:tc>
        <w:tc>
          <w:tcPr>
            <w:tcW w:w="1162" w:type="dxa"/>
            <w:noWrap/>
            <w:vAlign w:val="center"/>
          </w:tcPr>
          <w:p w14:paraId="03617155">
            <w:pPr>
              <w:pStyle w:val="22"/>
              <w:spacing w:line="300" w:lineRule="exact"/>
              <w:rPr>
                <w:rFonts w:cs="Times New Roman"/>
                <w:sz w:val="21"/>
                <w:szCs w:val="21"/>
              </w:rPr>
            </w:pPr>
            <w:r>
              <w:rPr>
                <w:rFonts w:cs="Times New Roman"/>
                <w:sz w:val="21"/>
                <w:szCs w:val="21"/>
              </w:rPr>
              <w:t>完成上级规定的考核任务；保持稳定或持续改善</w:t>
            </w:r>
          </w:p>
        </w:tc>
      </w:tr>
      <w:tr w14:paraId="7492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0059EB9E">
            <w:pPr>
              <w:pStyle w:val="22"/>
              <w:spacing w:line="300" w:lineRule="exact"/>
              <w:rPr>
                <w:rFonts w:cs="Times New Roman"/>
                <w:sz w:val="21"/>
                <w:szCs w:val="21"/>
              </w:rPr>
            </w:pPr>
          </w:p>
        </w:tc>
        <w:tc>
          <w:tcPr>
            <w:tcW w:w="828" w:type="dxa"/>
            <w:vMerge w:val="restart"/>
            <w:noWrap/>
            <w:vAlign w:val="center"/>
          </w:tcPr>
          <w:p w14:paraId="6F8536B2">
            <w:pPr>
              <w:pStyle w:val="22"/>
              <w:spacing w:line="300" w:lineRule="exact"/>
              <w:rPr>
                <w:rFonts w:cs="Times New Roman"/>
                <w:sz w:val="21"/>
                <w:szCs w:val="21"/>
              </w:rPr>
            </w:pPr>
            <w:r>
              <w:rPr>
                <w:rFonts w:cs="Times New Roman"/>
                <w:sz w:val="21"/>
                <w:szCs w:val="21"/>
              </w:rPr>
              <w:t>（三）</w:t>
            </w:r>
          </w:p>
          <w:p w14:paraId="0C8C8870">
            <w:pPr>
              <w:pStyle w:val="22"/>
              <w:spacing w:line="300" w:lineRule="exact"/>
              <w:rPr>
                <w:rFonts w:cs="Times New Roman"/>
                <w:sz w:val="21"/>
                <w:szCs w:val="21"/>
              </w:rPr>
            </w:pPr>
            <w:r>
              <w:rPr>
                <w:rFonts w:cs="Times New Roman"/>
                <w:sz w:val="21"/>
                <w:szCs w:val="21"/>
              </w:rPr>
              <w:t>生态系统保护</w:t>
            </w:r>
          </w:p>
        </w:tc>
        <w:tc>
          <w:tcPr>
            <w:tcW w:w="440" w:type="dxa"/>
            <w:noWrap/>
            <w:vAlign w:val="center"/>
          </w:tcPr>
          <w:p w14:paraId="620F3DF7">
            <w:pPr>
              <w:pStyle w:val="22"/>
              <w:spacing w:line="300" w:lineRule="exact"/>
              <w:rPr>
                <w:rFonts w:cs="Times New Roman"/>
                <w:sz w:val="21"/>
                <w:szCs w:val="21"/>
              </w:rPr>
            </w:pPr>
            <w:r>
              <w:rPr>
                <w:rFonts w:cs="Times New Roman"/>
                <w:sz w:val="21"/>
                <w:szCs w:val="21"/>
              </w:rPr>
              <w:t>10</w:t>
            </w:r>
          </w:p>
        </w:tc>
        <w:tc>
          <w:tcPr>
            <w:tcW w:w="2723" w:type="dxa"/>
            <w:noWrap/>
            <w:vAlign w:val="center"/>
          </w:tcPr>
          <w:p w14:paraId="1BF267E7">
            <w:pPr>
              <w:pStyle w:val="22"/>
              <w:spacing w:line="300" w:lineRule="exact"/>
              <w:jc w:val="both"/>
              <w:rPr>
                <w:rFonts w:cs="Times New Roman"/>
                <w:sz w:val="21"/>
                <w:szCs w:val="21"/>
              </w:rPr>
            </w:pPr>
            <w:r>
              <w:rPr>
                <w:rFonts w:cs="Times New Roman"/>
                <w:sz w:val="21"/>
                <w:szCs w:val="21"/>
              </w:rPr>
              <w:t>生态环境状况指数</w:t>
            </w:r>
          </w:p>
          <w:p w14:paraId="4C07C5B9">
            <w:pPr>
              <w:pStyle w:val="22"/>
              <w:spacing w:line="300" w:lineRule="exact"/>
              <w:jc w:val="both"/>
              <w:rPr>
                <w:rFonts w:cs="Times New Roman"/>
                <w:sz w:val="21"/>
                <w:szCs w:val="21"/>
              </w:rPr>
            </w:pPr>
            <w:r>
              <w:rPr>
                <w:rFonts w:cs="Times New Roman"/>
                <w:sz w:val="21"/>
                <w:szCs w:val="21"/>
              </w:rPr>
              <w:t>（湿润地区）</w:t>
            </w:r>
          </w:p>
        </w:tc>
        <w:tc>
          <w:tcPr>
            <w:tcW w:w="622" w:type="dxa"/>
            <w:noWrap/>
            <w:vAlign w:val="center"/>
          </w:tcPr>
          <w:p w14:paraId="724532C6">
            <w:pPr>
              <w:pStyle w:val="22"/>
              <w:spacing w:line="300" w:lineRule="exact"/>
              <w:rPr>
                <w:rFonts w:cs="Times New Roman"/>
                <w:sz w:val="21"/>
                <w:szCs w:val="21"/>
              </w:rPr>
            </w:pPr>
            <w:r>
              <w:rPr>
                <w:rFonts w:cs="Times New Roman"/>
                <w:sz w:val="21"/>
                <w:szCs w:val="21"/>
              </w:rPr>
              <w:t>%</w:t>
            </w:r>
          </w:p>
        </w:tc>
        <w:tc>
          <w:tcPr>
            <w:tcW w:w="1100" w:type="dxa"/>
            <w:noWrap/>
            <w:vAlign w:val="center"/>
          </w:tcPr>
          <w:p w14:paraId="1B7CEBF3">
            <w:pPr>
              <w:pStyle w:val="22"/>
              <w:spacing w:line="300" w:lineRule="exact"/>
              <w:rPr>
                <w:rFonts w:cs="Times New Roman"/>
                <w:sz w:val="21"/>
                <w:szCs w:val="21"/>
              </w:rPr>
            </w:pPr>
            <w:r>
              <w:rPr>
                <w:rFonts w:cs="Times New Roman"/>
                <w:sz w:val="21"/>
                <w:szCs w:val="21"/>
              </w:rPr>
              <w:t>≥60</w:t>
            </w:r>
          </w:p>
        </w:tc>
        <w:tc>
          <w:tcPr>
            <w:tcW w:w="1100" w:type="dxa"/>
            <w:noWrap/>
            <w:vAlign w:val="center"/>
          </w:tcPr>
          <w:p w14:paraId="2BF89AE4">
            <w:pPr>
              <w:pStyle w:val="22"/>
              <w:spacing w:line="300" w:lineRule="exact"/>
              <w:rPr>
                <w:rFonts w:cs="Times New Roman"/>
                <w:sz w:val="21"/>
                <w:szCs w:val="21"/>
              </w:rPr>
            </w:pPr>
            <w:r>
              <w:rPr>
                <w:rFonts w:cs="Times New Roman"/>
                <w:sz w:val="21"/>
                <w:szCs w:val="21"/>
              </w:rPr>
              <w:t>≥60</w:t>
            </w:r>
          </w:p>
        </w:tc>
        <w:tc>
          <w:tcPr>
            <w:tcW w:w="1034" w:type="dxa"/>
            <w:noWrap/>
            <w:vAlign w:val="center"/>
          </w:tcPr>
          <w:p w14:paraId="2D1A496C">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0174AC2B">
            <w:pPr>
              <w:pStyle w:val="22"/>
              <w:spacing w:line="300" w:lineRule="exact"/>
              <w:rPr>
                <w:rFonts w:cs="Times New Roman"/>
                <w:sz w:val="21"/>
                <w:szCs w:val="21"/>
              </w:rPr>
            </w:pPr>
            <w:r>
              <w:rPr>
                <w:rFonts w:cs="Times New Roman"/>
                <w:sz w:val="21"/>
                <w:szCs w:val="21"/>
              </w:rPr>
              <w:t>78.57</w:t>
            </w:r>
          </w:p>
          <w:p w14:paraId="5E077E9B">
            <w:pPr>
              <w:pStyle w:val="22"/>
              <w:spacing w:line="300" w:lineRule="exact"/>
              <w:rPr>
                <w:rFonts w:cs="Times New Roman"/>
                <w:sz w:val="21"/>
                <w:szCs w:val="21"/>
              </w:rPr>
            </w:pPr>
            <w:r>
              <w:rPr>
                <w:rFonts w:cs="Times New Roman"/>
                <w:sz w:val="21"/>
                <w:szCs w:val="21"/>
              </w:rPr>
              <w:t>（2019年）</w:t>
            </w:r>
          </w:p>
        </w:tc>
        <w:tc>
          <w:tcPr>
            <w:tcW w:w="853" w:type="dxa"/>
            <w:noWrap/>
            <w:vAlign w:val="center"/>
          </w:tcPr>
          <w:p w14:paraId="4F16719C">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6CFCAF69">
            <w:pPr>
              <w:spacing w:line="300" w:lineRule="exact"/>
              <w:ind w:firstLine="0" w:firstLineChars="0"/>
              <w:jc w:val="center"/>
              <w:rPr>
                <w:rFonts w:cs="Times New Roman"/>
                <w:sz w:val="21"/>
                <w:szCs w:val="21"/>
              </w:rPr>
            </w:pPr>
            <w:r>
              <w:rPr>
                <w:rFonts w:cs="Times New Roman"/>
                <w:sz w:val="21"/>
                <w:szCs w:val="21"/>
              </w:rPr>
              <w:t>保持稳定</w:t>
            </w:r>
          </w:p>
        </w:tc>
        <w:tc>
          <w:tcPr>
            <w:tcW w:w="1080" w:type="dxa"/>
            <w:noWrap/>
            <w:vAlign w:val="center"/>
          </w:tcPr>
          <w:p w14:paraId="679E8273">
            <w:pPr>
              <w:spacing w:line="300" w:lineRule="exact"/>
              <w:ind w:firstLine="0" w:firstLineChars="0"/>
              <w:jc w:val="center"/>
              <w:rPr>
                <w:rFonts w:cs="Times New Roman"/>
                <w:sz w:val="21"/>
                <w:szCs w:val="21"/>
              </w:rPr>
            </w:pPr>
            <w:r>
              <w:rPr>
                <w:rFonts w:cs="Times New Roman"/>
                <w:sz w:val="21"/>
                <w:szCs w:val="21"/>
              </w:rPr>
              <w:t>保持稳定</w:t>
            </w:r>
          </w:p>
        </w:tc>
        <w:tc>
          <w:tcPr>
            <w:tcW w:w="1162" w:type="dxa"/>
            <w:noWrap/>
            <w:vAlign w:val="center"/>
          </w:tcPr>
          <w:p w14:paraId="6D021F54">
            <w:pPr>
              <w:spacing w:line="300" w:lineRule="exact"/>
              <w:ind w:firstLine="0" w:firstLineChars="0"/>
              <w:jc w:val="center"/>
              <w:rPr>
                <w:rFonts w:cs="Times New Roman"/>
                <w:sz w:val="21"/>
                <w:szCs w:val="21"/>
              </w:rPr>
            </w:pPr>
            <w:r>
              <w:rPr>
                <w:rFonts w:cs="Times New Roman"/>
                <w:sz w:val="21"/>
                <w:szCs w:val="21"/>
              </w:rPr>
              <w:t>保持稳定</w:t>
            </w:r>
          </w:p>
        </w:tc>
      </w:tr>
      <w:tr w14:paraId="047B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60D6C0C2">
            <w:pPr>
              <w:pStyle w:val="22"/>
              <w:spacing w:line="300" w:lineRule="exact"/>
              <w:rPr>
                <w:rFonts w:cs="Times New Roman"/>
                <w:sz w:val="21"/>
                <w:szCs w:val="21"/>
              </w:rPr>
            </w:pPr>
          </w:p>
        </w:tc>
        <w:tc>
          <w:tcPr>
            <w:tcW w:w="828" w:type="dxa"/>
            <w:vMerge w:val="continue"/>
            <w:noWrap/>
            <w:vAlign w:val="center"/>
          </w:tcPr>
          <w:p w14:paraId="453C071D">
            <w:pPr>
              <w:pStyle w:val="22"/>
              <w:spacing w:line="300" w:lineRule="exact"/>
              <w:rPr>
                <w:rFonts w:cs="Times New Roman"/>
                <w:sz w:val="21"/>
                <w:szCs w:val="21"/>
              </w:rPr>
            </w:pPr>
          </w:p>
        </w:tc>
        <w:tc>
          <w:tcPr>
            <w:tcW w:w="440" w:type="dxa"/>
            <w:noWrap/>
            <w:vAlign w:val="center"/>
          </w:tcPr>
          <w:p w14:paraId="5C12926F">
            <w:pPr>
              <w:pStyle w:val="22"/>
              <w:spacing w:line="300" w:lineRule="exact"/>
              <w:rPr>
                <w:rFonts w:cs="Times New Roman"/>
                <w:sz w:val="21"/>
                <w:szCs w:val="21"/>
              </w:rPr>
            </w:pPr>
            <w:r>
              <w:rPr>
                <w:rFonts w:cs="Times New Roman"/>
                <w:sz w:val="21"/>
                <w:szCs w:val="21"/>
              </w:rPr>
              <w:t>11</w:t>
            </w:r>
          </w:p>
        </w:tc>
        <w:tc>
          <w:tcPr>
            <w:tcW w:w="2723" w:type="dxa"/>
            <w:noWrap/>
            <w:vAlign w:val="center"/>
          </w:tcPr>
          <w:p w14:paraId="635E68E0">
            <w:pPr>
              <w:pStyle w:val="22"/>
              <w:spacing w:line="300" w:lineRule="exact"/>
              <w:jc w:val="both"/>
              <w:rPr>
                <w:rFonts w:cs="Times New Roman"/>
                <w:sz w:val="21"/>
                <w:szCs w:val="21"/>
              </w:rPr>
            </w:pPr>
            <w:r>
              <w:rPr>
                <w:rFonts w:cs="Times New Roman"/>
                <w:sz w:val="21"/>
                <w:szCs w:val="21"/>
              </w:rPr>
              <w:t>林草覆盖率</w:t>
            </w:r>
          </w:p>
          <w:p w14:paraId="7FA6E1EE">
            <w:pPr>
              <w:pStyle w:val="22"/>
              <w:spacing w:line="300" w:lineRule="exact"/>
              <w:jc w:val="both"/>
              <w:rPr>
                <w:rFonts w:cs="Times New Roman"/>
                <w:sz w:val="21"/>
                <w:szCs w:val="21"/>
              </w:rPr>
            </w:pPr>
            <w:r>
              <w:rPr>
                <w:rFonts w:cs="Times New Roman"/>
                <w:sz w:val="21"/>
                <w:szCs w:val="21"/>
              </w:rPr>
              <w:t>（丘陵地区）</w:t>
            </w:r>
          </w:p>
        </w:tc>
        <w:tc>
          <w:tcPr>
            <w:tcW w:w="622" w:type="dxa"/>
            <w:noWrap/>
            <w:vAlign w:val="center"/>
          </w:tcPr>
          <w:p w14:paraId="0DEDDE61">
            <w:pPr>
              <w:pStyle w:val="22"/>
              <w:spacing w:line="300" w:lineRule="exact"/>
              <w:rPr>
                <w:rFonts w:cs="Times New Roman"/>
                <w:sz w:val="21"/>
                <w:szCs w:val="21"/>
              </w:rPr>
            </w:pPr>
            <w:r>
              <w:rPr>
                <w:rFonts w:cs="Times New Roman"/>
                <w:sz w:val="21"/>
                <w:szCs w:val="21"/>
              </w:rPr>
              <w:t>%</w:t>
            </w:r>
          </w:p>
        </w:tc>
        <w:tc>
          <w:tcPr>
            <w:tcW w:w="1100" w:type="dxa"/>
            <w:noWrap/>
            <w:vAlign w:val="center"/>
          </w:tcPr>
          <w:p w14:paraId="03B7F0EB">
            <w:pPr>
              <w:pStyle w:val="22"/>
              <w:spacing w:line="300" w:lineRule="exact"/>
              <w:rPr>
                <w:rFonts w:cs="Times New Roman"/>
                <w:sz w:val="21"/>
                <w:szCs w:val="21"/>
              </w:rPr>
            </w:pPr>
            <w:r>
              <w:rPr>
                <w:rFonts w:cs="Times New Roman"/>
                <w:sz w:val="21"/>
                <w:szCs w:val="21"/>
              </w:rPr>
              <w:t>≥40</w:t>
            </w:r>
          </w:p>
        </w:tc>
        <w:tc>
          <w:tcPr>
            <w:tcW w:w="1100" w:type="dxa"/>
            <w:noWrap/>
            <w:vAlign w:val="center"/>
          </w:tcPr>
          <w:p w14:paraId="08A8ADF1">
            <w:pPr>
              <w:pStyle w:val="22"/>
              <w:spacing w:line="300" w:lineRule="exact"/>
              <w:rPr>
                <w:rFonts w:cs="Times New Roman"/>
                <w:sz w:val="21"/>
                <w:szCs w:val="21"/>
              </w:rPr>
            </w:pPr>
            <w:r>
              <w:rPr>
                <w:rFonts w:cs="Times New Roman"/>
                <w:sz w:val="21"/>
                <w:szCs w:val="21"/>
              </w:rPr>
              <w:t>≥40</w:t>
            </w:r>
          </w:p>
        </w:tc>
        <w:tc>
          <w:tcPr>
            <w:tcW w:w="1034" w:type="dxa"/>
            <w:noWrap/>
            <w:vAlign w:val="center"/>
          </w:tcPr>
          <w:p w14:paraId="313E9A46">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3448CA3A">
            <w:pPr>
              <w:pStyle w:val="22"/>
              <w:spacing w:line="300" w:lineRule="exact"/>
              <w:rPr>
                <w:rFonts w:cs="Times New Roman"/>
                <w:sz w:val="21"/>
                <w:szCs w:val="21"/>
              </w:rPr>
            </w:pPr>
            <w:r>
              <w:rPr>
                <w:rFonts w:cs="Times New Roman"/>
                <w:sz w:val="21"/>
                <w:szCs w:val="21"/>
              </w:rPr>
              <w:t>56.8</w:t>
            </w:r>
          </w:p>
        </w:tc>
        <w:tc>
          <w:tcPr>
            <w:tcW w:w="853" w:type="dxa"/>
            <w:noWrap/>
            <w:vAlign w:val="center"/>
          </w:tcPr>
          <w:p w14:paraId="59651FE9">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344DF062">
            <w:pPr>
              <w:spacing w:line="300" w:lineRule="exact"/>
              <w:ind w:firstLine="0" w:firstLineChars="0"/>
              <w:jc w:val="center"/>
              <w:rPr>
                <w:rFonts w:cs="Times New Roman"/>
                <w:sz w:val="21"/>
                <w:szCs w:val="21"/>
              </w:rPr>
            </w:pPr>
            <w:r>
              <w:rPr>
                <w:rFonts w:cs="Times New Roman"/>
                <w:sz w:val="21"/>
                <w:szCs w:val="21"/>
              </w:rPr>
              <w:t>保持稳定</w:t>
            </w:r>
          </w:p>
        </w:tc>
        <w:tc>
          <w:tcPr>
            <w:tcW w:w="1080" w:type="dxa"/>
            <w:noWrap/>
            <w:vAlign w:val="center"/>
          </w:tcPr>
          <w:p w14:paraId="1D8C6ABA">
            <w:pPr>
              <w:spacing w:line="300" w:lineRule="exact"/>
              <w:ind w:firstLine="0" w:firstLineChars="0"/>
              <w:jc w:val="center"/>
              <w:rPr>
                <w:rFonts w:cs="Times New Roman"/>
                <w:sz w:val="21"/>
                <w:szCs w:val="21"/>
              </w:rPr>
            </w:pPr>
            <w:r>
              <w:rPr>
                <w:rFonts w:cs="Times New Roman"/>
                <w:sz w:val="21"/>
                <w:szCs w:val="21"/>
              </w:rPr>
              <w:t>保持稳定</w:t>
            </w:r>
          </w:p>
        </w:tc>
        <w:tc>
          <w:tcPr>
            <w:tcW w:w="1162" w:type="dxa"/>
            <w:noWrap/>
            <w:vAlign w:val="center"/>
          </w:tcPr>
          <w:p w14:paraId="20ED7BCA">
            <w:pPr>
              <w:spacing w:line="300" w:lineRule="exact"/>
              <w:ind w:firstLine="0" w:firstLineChars="0"/>
              <w:jc w:val="center"/>
              <w:rPr>
                <w:rFonts w:cs="Times New Roman"/>
                <w:sz w:val="21"/>
                <w:szCs w:val="21"/>
              </w:rPr>
            </w:pPr>
            <w:r>
              <w:rPr>
                <w:rFonts w:cs="Times New Roman"/>
                <w:sz w:val="21"/>
                <w:szCs w:val="21"/>
              </w:rPr>
              <w:t>保持稳定</w:t>
            </w:r>
          </w:p>
        </w:tc>
      </w:tr>
      <w:tr w14:paraId="30DE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1" w:hRule="atLeast"/>
          <w:jc w:val="center"/>
        </w:trPr>
        <w:tc>
          <w:tcPr>
            <w:tcW w:w="503" w:type="dxa"/>
            <w:vMerge w:val="continue"/>
            <w:noWrap/>
            <w:vAlign w:val="center"/>
          </w:tcPr>
          <w:p w14:paraId="43778F30">
            <w:pPr>
              <w:pStyle w:val="22"/>
              <w:spacing w:line="300" w:lineRule="exact"/>
              <w:rPr>
                <w:rFonts w:cs="Times New Roman"/>
                <w:sz w:val="21"/>
                <w:szCs w:val="21"/>
              </w:rPr>
            </w:pPr>
          </w:p>
        </w:tc>
        <w:tc>
          <w:tcPr>
            <w:tcW w:w="828" w:type="dxa"/>
            <w:vMerge w:val="continue"/>
            <w:noWrap/>
            <w:vAlign w:val="center"/>
          </w:tcPr>
          <w:p w14:paraId="1F680087">
            <w:pPr>
              <w:pStyle w:val="22"/>
              <w:spacing w:line="300" w:lineRule="exact"/>
              <w:rPr>
                <w:rFonts w:cs="Times New Roman"/>
                <w:sz w:val="21"/>
                <w:szCs w:val="21"/>
              </w:rPr>
            </w:pPr>
          </w:p>
        </w:tc>
        <w:tc>
          <w:tcPr>
            <w:tcW w:w="440" w:type="dxa"/>
            <w:noWrap/>
            <w:vAlign w:val="center"/>
          </w:tcPr>
          <w:p w14:paraId="3A7EE8D7">
            <w:pPr>
              <w:pStyle w:val="22"/>
              <w:spacing w:line="300" w:lineRule="exact"/>
              <w:rPr>
                <w:rFonts w:cs="Times New Roman"/>
                <w:sz w:val="21"/>
                <w:szCs w:val="21"/>
              </w:rPr>
            </w:pPr>
            <w:r>
              <w:rPr>
                <w:rFonts w:cs="Times New Roman"/>
                <w:sz w:val="21"/>
                <w:szCs w:val="21"/>
              </w:rPr>
              <w:t>12</w:t>
            </w:r>
          </w:p>
        </w:tc>
        <w:tc>
          <w:tcPr>
            <w:tcW w:w="2723" w:type="dxa"/>
            <w:noWrap/>
            <w:vAlign w:val="center"/>
          </w:tcPr>
          <w:p w14:paraId="089FE7E9">
            <w:pPr>
              <w:pStyle w:val="22"/>
              <w:spacing w:line="300" w:lineRule="exact"/>
              <w:jc w:val="both"/>
              <w:rPr>
                <w:rFonts w:cs="Times New Roman"/>
                <w:sz w:val="21"/>
                <w:szCs w:val="21"/>
              </w:rPr>
            </w:pPr>
            <w:r>
              <w:rPr>
                <w:rFonts w:cs="Times New Roman"/>
                <w:sz w:val="21"/>
                <w:szCs w:val="21"/>
              </w:rPr>
              <w:t>生物多样性保护</w:t>
            </w:r>
          </w:p>
          <w:p w14:paraId="40C9D3DC">
            <w:pPr>
              <w:pStyle w:val="22"/>
              <w:spacing w:line="300" w:lineRule="exact"/>
              <w:jc w:val="both"/>
              <w:rPr>
                <w:rFonts w:cs="Times New Roman"/>
                <w:sz w:val="21"/>
                <w:szCs w:val="21"/>
              </w:rPr>
            </w:pPr>
            <w:r>
              <w:rPr>
                <w:rFonts w:cs="Times New Roman"/>
                <w:sz w:val="21"/>
                <w:szCs w:val="21"/>
              </w:rPr>
              <w:t>国家重点保护野生动植物保护率</w:t>
            </w:r>
          </w:p>
          <w:p w14:paraId="1FF8F716">
            <w:pPr>
              <w:pStyle w:val="22"/>
              <w:spacing w:line="300" w:lineRule="exact"/>
              <w:jc w:val="both"/>
              <w:rPr>
                <w:rFonts w:cs="Times New Roman"/>
                <w:sz w:val="21"/>
                <w:szCs w:val="21"/>
              </w:rPr>
            </w:pPr>
            <w:r>
              <w:rPr>
                <w:rFonts w:cs="Times New Roman"/>
                <w:sz w:val="21"/>
                <w:szCs w:val="21"/>
              </w:rPr>
              <w:t>外来物种入侵</w:t>
            </w:r>
          </w:p>
          <w:p w14:paraId="2E7BF8AD">
            <w:pPr>
              <w:pStyle w:val="22"/>
              <w:spacing w:line="300" w:lineRule="exact"/>
              <w:jc w:val="both"/>
              <w:rPr>
                <w:rFonts w:cs="Times New Roman"/>
                <w:sz w:val="21"/>
                <w:szCs w:val="21"/>
              </w:rPr>
            </w:pPr>
            <w:r>
              <w:rPr>
                <w:rFonts w:cs="Times New Roman"/>
                <w:sz w:val="21"/>
                <w:szCs w:val="21"/>
              </w:rPr>
              <w:t>特有性或指示性水生物种保持率</w:t>
            </w:r>
          </w:p>
        </w:tc>
        <w:tc>
          <w:tcPr>
            <w:tcW w:w="622" w:type="dxa"/>
            <w:noWrap/>
            <w:vAlign w:val="center"/>
          </w:tcPr>
          <w:p w14:paraId="35494F89">
            <w:pPr>
              <w:pStyle w:val="22"/>
              <w:spacing w:line="300" w:lineRule="exact"/>
              <w:rPr>
                <w:rFonts w:cs="Times New Roman"/>
                <w:sz w:val="21"/>
                <w:szCs w:val="21"/>
              </w:rPr>
            </w:pPr>
            <w:r>
              <w:rPr>
                <w:rFonts w:cs="Times New Roman"/>
                <w:sz w:val="21"/>
                <w:szCs w:val="21"/>
              </w:rPr>
              <w:t>%</w:t>
            </w:r>
          </w:p>
          <w:p w14:paraId="5998EDFB">
            <w:pPr>
              <w:pStyle w:val="22"/>
              <w:spacing w:line="300" w:lineRule="exact"/>
              <w:rPr>
                <w:rFonts w:cs="Times New Roman"/>
                <w:sz w:val="21"/>
                <w:szCs w:val="21"/>
              </w:rPr>
            </w:pPr>
            <w:r>
              <w:rPr>
                <w:rFonts w:cs="Times New Roman"/>
                <w:sz w:val="21"/>
                <w:szCs w:val="21"/>
              </w:rPr>
              <w:t>—</w:t>
            </w:r>
          </w:p>
          <w:p w14:paraId="262EE211">
            <w:pPr>
              <w:pStyle w:val="22"/>
              <w:spacing w:line="300" w:lineRule="exact"/>
              <w:rPr>
                <w:rFonts w:cs="Times New Roman"/>
                <w:sz w:val="21"/>
                <w:szCs w:val="21"/>
              </w:rPr>
            </w:pPr>
            <w:r>
              <w:rPr>
                <w:rFonts w:cs="Times New Roman"/>
                <w:sz w:val="21"/>
                <w:szCs w:val="21"/>
              </w:rPr>
              <w:t>%</w:t>
            </w:r>
          </w:p>
        </w:tc>
        <w:tc>
          <w:tcPr>
            <w:tcW w:w="1100" w:type="dxa"/>
            <w:noWrap/>
            <w:vAlign w:val="center"/>
          </w:tcPr>
          <w:p w14:paraId="6D70042F">
            <w:pPr>
              <w:pStyle w:val="22"/>
              <w:spacing w:line="300" w:lineRule="exact"/>
              <w:rPr>
                <w:rFonts w:cs="Times New Roman"/>
                <w:sz w:val="21"/>
                <w:szCs w:val="21"/>
              </w:rPr>
            </w:pPr>
            <w:r>
              <w:rPr>
                <w:rFonts w:cs="Times New Roman"/>
                <w:sz w:val="21"/>
                <w:szCs w:val="21"/>
              </w:rPr>
              <w:t>≥95</w:t>
            </w:r>
          </w:p>
          <w:p w14:paraId="39286647">
            <w:pPr>
              <w:pStyle w:val="22"/>
              <w:spacing w:line="300" w:lineRule="exact"/>
              <w:rPr>
                <w:rFonts w:cs="Times New Roman"/>
                <w:sz w:val="21"/>
                <w:szCs w:val="21"/>
              </w:rPr>
            </w:pPr>
            <w:r>
              <w:rPr>
                <w:rFonts w:cs="Times New Roman"/>
                <w:sz w:val="21"/>
                <w:szCs w:val="21"/>
              </w:rPr>
              <w:t>不明显</w:t>
            </w:r>
          </w:p>
          <w:p w14:paraId="4AECD13F">
            <w:pPr>
              <w:pStyle w:val="22"/>
              <w:spacing w:line="300" w:lineRule="exact"/>
              <w:rPr>
                <w:rFonts w:cs="Times New Roman"/>
                <w:sz w:val="21"/>
                <w:szCs w:val="21"/>
              </w:rPr>
            </w:pPr>
            <w:r>
              <w:rPr>
                <w:rFonts w:cs="Times New Roman"/>
                <w:sz w:val="21"/>
                <w:szCs w:val="21"/>
              </w:rPr>
              <w:t>不降低</w:t>
            </w:r>
          </w:p>
        </w:tc>
        <w:tc>
          <w:tcPr>
            <w:tcW w:w="1100" w:type="dxa"/>
            <w:noWrap/>
            <w:vAlign w:val="center"/>
          </w:tcPr>
          <w:p w14:paraId="46D08242">
            <w:pPr>
              <w:pStyle w:val="22"/>
              <w:spacing w:line="300" w:lineRule="exact"/>
              <w:rPr>
                <w:rFonts w:cs="Times New Roman"/>
                <w:sz w:val="21"/>
                <w:szCs w:val="21"/>
              </w:rPr>
            </w:pPr>
            <w:r>
              <w:rPr>
                <w:rFonts w:cs="Times New Roman"/>
                <w:sz w:val="21"/>
                <w:szCs w:val="21"/>
              </w:rPr>
              <w:t>≥95</w:t>
            </w:r>
          </w:p>
          <w:p w14:paraId="786A1172">
            <w:pPr>
              <w:pStyle w:val="22"/>
              <w:spacing w:line="300" w:lineRule="exact"/>
              <w:rPr>
                <w:rFonts w:cs="Times New Roman"/>
                <w:sz w:val="21"/>
                <w:szCs w:val="21"/>
              </w:rPr>
            </w:pPr>
            <w:r>
              <w:rPr>
                <w:rFonts w:cs="Times New Roman"/>
                <w:sz w:val="21"/>
                <w:szCs w:val="21"/>
              </w:rPr>
              <w:t>不明显</w:t>
            </w:r>
          </w:p>
          <w:p w14:paraId="4651225B">
            <w:pPr>
              <w:pStyle w:val="22"/>
              <w:spacing w:line="300" w:lineRule="exact"/>
              <w:rPr>
                <w:rFonts w:cs="Times New Roman"/>
                <w:sz w:val="21"/>
                <w:szCs w:val="21"/>
              </w:rPr>
            </w:pPr>
            <w:r>
              <w:rPr>
                <w:rFonts w:cs="Times New Roman"/>
                <w:sz w:val="21"/>
                <w:szCs w:val="21"/>
              </w:rPr>
              <w:t>不降低</w:t>
            </w:r>
          </w:p>
        </w:tc>
        <w:tc>
          <w:tcPr>
            <w:tcW w:w="1034" w:type="dxa"/>
            <w:noWrap/>
            <w:vAlign w:val="center"/>
          </w:tcPr>
          <w:p w14:paraId="6491EEFC">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322BF64C">
            <w:pPr>
              <w:pStyle w:val="22"/>
              <w:spacing w:line="300" w:lineRule="exact"/>
              <w:rPr>
                <w:rFonts w:cs="Times New Roman"/>
                <w:sz w:val="21"/>
                <w:szCs w:val="21"/>
              </w:rPr>
            </w:pPr>
            <w:r>
              <w:rPr>
                <w:rFonts w:cs="Times New Roman"/>
                <w:sz w:val="21"/>
                <w:szCs w:val="21"/>
              </w:rPr>
              <w:t>100</w:t>
            </w:r>
          </w:p>
          <w:p w14:paraId="3428DD8C">
            <w:pPr>
              <w:pStyle w:val="22"/>
              <w:spacing w:line="300" w:lineRule="exact"/>
              <w:rPr>
                <w:rFonts w:cs="Times New Roman"/>
                <w:sz w:val="21"/>
                <w:szCs w:val="21"/>
              </w:rPr>
            </w:pPr>
            <w:r>
              <w:rPr>
                <w:rFonts w:cs="Times New Roman"/>
                <w:sz w:val="21"/>
                <w:szCs w:val="21"/>
              </w:rPr>
              <w:t>不明显</w:t>
            </w:r>
          </w:p>
          <w:p w14:paraId="1D4DE602">
            <w:pPr>
              <w:pStyle w:val="22"/>
              <w:spacing w:line="300" w:lineRule="exact"/>
              <w:rPr>
                <w:rFonts w:cs="Times New Roman"/>
                <w:sz w:val="21"/>
                <w:szCs w:val="21"/>
              </w:rPr>
            </w:pPr>
            <w:r>
              <w:rPr>
                <w:rFonts w:cs="Times New Roman"/>
                <w:sz w:val="21"/>
                <w:szCs w:val="21"/>
              </w:rPr>
              <w:t>100，不降低</w:t>
            </w:r>
          </w:p>
        </w:tc>
        <w:tc>
          <w:tcPr>
            <w:tcW w:w="853" w:type="dxa"/>
            <w:noWrap/>
            <w:vAlign w:val="center"/>
          </w:tcPr>
          <w:p w14:paraId="2F42A83C">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088D3A08">
            <w:pPr>
              <w:pStyle w:val="22"/>
              <w:spacing w:line="300" w:lineRule="exact"/>
              <w:rPr>
                <w:rFonts w:cs="Times New Roman"/>
                <w:sz w:val="21"/>
                <w:szCs w:val="21"/>
              </w:rPr>
            </w:pPr>
            <w:r>
              <w:rPr>
                <w:rFonts w:cs="Times New Roman"/>
                <w:sz w:val="21"/>
                <w:szCs w:val="21"/>
              </w:rPr>
              <w:t>100</w:t>
            </w:r>
          </w:p>
          <w:p w14:paraId="75CAD198">
            <w:pPr>
              <w:pStyle w:val="22"/>
              <w:spacing w:line="300" w:lineRule="exact"/>
              <w:rPr>
                <w:rFonts w:cs="Times New Roman"/>
                <w:sz w:val="21"/>
                <w:szCs w:val="21"/>
              </w:rPr>
            </w:pPr>
            <w:r>
              <w:rPr>
                <w:rFonts w:cs="Times New Roman"/>
                <w:sz w:val="21"/>
                <w:szCs w:val="21"/>
              </w:rPr>
              <w:t>不明显</w:t>
            </w:r>
          </w:p>
          <w:p w14:paraId="7C5FCF95">
            <w:pPr>
              <w:pStyle w:val="22"/>
              <w:spacing w:line="300" w:lineRule="exact"/>
              <w:rPr>
                <w:rFonts w:cs="Times New Roman"/>
                <w:sz w:val="21"/>
                <w:szCs w:val="21"/>
              </w:rPr>
            </w:pPr>
            <w:r>
              <w:rPr>
                <w:rFonts w:cs="Times New Roman"/>
                <w:sz w:val="21"/>
                <w:szCs w:val="21"/>
              </w:rPr>
              <w:t>1</w:t>
            </w:r>
            <w:r>
              <w:rPr>
                <w:rFonts w:cs="Times New Roman"/>
                <w:spacing w:val="-10"/>
                <w:sz w:val="21"/>
                <w:szCs w:val="21"/>
              </w:rPr>
              <w:t>00，不降低</w:t>
            </w:r>
          </w:p>
        </w:tc>
        <w:tc>
          <w:tcPr>
            <w:tcW w:w="1080" w:type="dxa"/>
            <w:noWrap/>
            <w:vAlign w:val="center"/>
          </w:tcPr>
          <w:p w14:paraId="5E83661A">
            <w:pPr>
              <w:pStyle w:val="22"/>
              <w:spacing w:line="300" w:lineRule="exact"/>
              <w:rPr>
                <w:rFonts w:cs="Times New Roman"/>
                <w:sz w:val="21"/>
                <w:szCs w:val="21"/>
              </w:rPr>
            </w:pPr>
            <w:r>
              <w:rPr>
                <w:rFonts w:cs="Times New Roman"/>
                <w:sz w:val="21"/>
                <w:szCs w:val="21"/>
              </w:rPr>
              <w:t>100</w:t>
            </w:r>
          </w:p>
          <w:p w14:paraId="5E19FF74">
            <w:pPr>
              <w:pStyle w:val="22"/>
              <w:spacing w:line="300" w:lineRule="exact"/>
              <w:rPr>
                <w:rFonts w:cs="Times New Roman"/>
                <w:sz w:val="21"/>
                <w:szCs w:val="21"/>
              </w:rPr>
            </w:pPr>
            <w:r>
              <w:rPr>
                <w:rFonts w:cs="Times New Roman"/>
                <w:sz w:val="21"/>
                <w:szCs w:val="21"/>
              </w:rPr>
              <w:t>不明显</w:t>
            </w:r>
          </w:p>
          <w:p w14:paraId="16EC5990">
            <w:pPr>
              <w:pStyle w:val="22"/>
              <w:spacing w:line="300" w:lineRule="exact"/>
              <w:rPr>
                <w:rFonts w:cs="Times New Roman"/>
                <w:spacing w:val="-10"/>
                <w:sz w:val="21"/>
                <w:szCs w:val="21"/>
              </w:rPr>
            </w:pPr>
            <w:r>
              <w:rPr>
                <w:rFonts w:cs="Times New Roman"/>
                <w:spacing w:val="-10"/>
                <w:sz w:val="21"/>
                <w:szCs w:val="21"/>
              </w:rPr>
              <w:t>100，不降低</w:t>
            </w:r>
          </w:p>
        </w:tc>
        <w:tc>
          <w:tcPr>
            <w:tcW w:w="1162" w:type="dxa"/>
            <w:noWrap/>
            <w:vAlign w:val="center"/>
          </w:tcPr>
          <w:p w14:paraId="42CD5252">
            <w:pPr>
              <w:pStyle w:val="22"/>
              <w:spacing w:line="300" w:lineRule="exact"/>
              <w:rPr>
                <w:rFonts w:cs="Times New Roman"/>
                <w:sz w:val="21"/>
                <w:szCs w:val="21"/>
              </w:rPr>
            </w:pPr>
            <w:r>
              <w:rPr>
                <w:rFonts w:cs="Times New Roman"/>
                <w:sz w:val="21"/>
                <w:szCs w:val="21"/>
              </w:rPr>
              <w:t>100</w:t>
            </w:r>
          </w:p>
          <w:p w14:paraId="1F1CDF37">
            <w:pPr>
              <w:pStyle w:val="22"/>
              <w:spacing w:line="300" w:lineRule="exact"/>
              <w:rPr>
                <w:rFonts w:cs="Times New Roman"/>
                <w:sz w:val="21"/>
                <w:szCs w:val="21"/>
              </w:rPr>
            </w:pPr>
            <w:r>
              <w:rPr>
                <w:rFonts w:cs="Times New Roman"/>
                <w:sz w:val="21"/>
                <w:szCs w:val="21"/>
              </w:rPr>
              <w:t>不明显</w:t>
            </w:r>
          </w:p>
          <w:p w14:paraId="5456F6AE">
            <w:pPr>
              <w:pStyle w:val="22"/>
              <w:spacing w:line="300" w:lineRule="exact"/>
              <w:rPr>
                <w:rFonts w:cs="Times New Roman"/>
                <w:sz w:val="21"/>
                <w:szCs w:val="21"/>
              </w:rPr>
            </w:pPr>
            <w:r>
              <w:rPr>
                <w:rFonts w:cs="Times New Roman"/>
                <w:sz w:val="21"/>
                <w:szCs w:val="21"/>
              </w:rPr>
              <w:t>1</w:t>
            </w:r>
            <w:r>
              <w:rPr>
                <w:rFonts w:cs="Times New Roman"/>
                <w:spacing w:val="-10"/>
                <w:sz w:val="21"/>
                <w:szCs w:val="21"/>
              </w:rPr>
              <w:t>00，不降低</w:t>
            </w:r>
          </w:p>
        </w:tc>
      </w:tr>
      <w:tr w14:paraId="51E8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0311EA04">
            <w:pPr>
              <w:pStyle w:val="22"/>
              <w:spacing w:line="300" w:lineRule="exact"/>
              <w:rPr>
                <w:rFonts w:cs="Times New Roman"/>
                <w:sz w:val="21"/>
                <w:szCs w:val="21"/>
              </w:rPr>
            </w:pPr>
          </w:p>
        </w:tc>
        <w:tc>
          <w:tcPr>
            <w:tcW w:w="828" w:type="dxa"/>
            <w:vMerge w:val="restart"/>
            <w:noWrap/>
            <w:vAlign w:val="center"/>
          </w:tcPr>
          <w:p w14:paraId="2209272B">
            <w:pPr>
              <w:pStyle w:val="22"/>
              <w:spacing w:line="300" w:lineRule="exact"/>
              <w:rPr>
                <w:rFonts w:cs="Times New Roman"/>
                <w:sz w:val="21"/>
                <w:szCs w:val="21"/>
              </w:rPr>
            </w:pPr>
            <w:r>
              <w:rPr>
                <w:rFonts w:cs="Times New Roman"/>
                <w:sz w:val="21"/>
                <w:szCs w:val="21"/>
              </w:rPr>
              <w:t>（四）</w:t>
            </w:r>
          </w:p>
          <w:p w14:paraId="792991A7">
            <w:pPr>
              <w:pStyle w:val="22"/>
              <w:spacing w:line="300" w:lineRule="exact"/>
              <w:rPr>
                <w:rFonts w:cs="Times New Roman"/>
                <w:sz w:val="21"/>
                <w:szCs w:val="21"/>
              </w:rPr>
            </w:pPr>
            <w:r>
              <w:rPr>
                <w:rFonts w:cs="Times New Roman"/>
                <w:sz w:val="21"/>
                <w:szCs w:val="21"/>
              </w:rPr>
              <w:t>生态环境风险防范</w:t>
            </w:r>
          </w:p>
        </w:tc>
        <w:tc>
          <w:tcPr>
            <w:tcW w:w="440" w:type="dxa"/>
            <w:noWrap/>
            <w:vAlign w:val="center"/>
          </w:tcPr>
          <w:p w14:paraId="4F4992CB">
            <w:pPr>
              <w:pStyle w:val="22"/>
              <w:spacing w:line="300" w:lineRule="exact"/>
              <w:rPr>
                <w:rFonts w:cs="Times New Roman"/>
                <w:sz w:val="21"/>
                <w:szCs w:val="21"/>
              </w:rPr>
            </w:pPr>
            <w:r>
              <w:rPr>
                <w:rFonts w:cs="Times New Roman"/>
                <w:sz w:val="21"/>
                <w:szCs w:val="21"/>
              </w:rPr>
              <w:t>13</w:t>
            </w:r>
          </w:p>
        </w:tc>
        <w:tc>
          <w:tcPr>
            <w:tcW w:w="2723" w:type="dxa"/>
            <w:noWrap/>
            <w:vAlign w:val="center"/>
          </w:tcPr>
          <w:p w14:paraId="04546057">
            <w:pPr>
              <w:pStyle w:val="22"/>
              <w:spacing w:line="300" w:lineRule="exact"/>
              <w:jc w:val="both"/>
              <w:rPr>
                <w:rFonts w:cs="Times New Roman"/>
                <w:sz w:val="21"/>
                <w:szCs w:val="21"/>
              </w:rPr>
            </w:pPr>
            <w:r>
              <w:rPr>
                <w:rFonts w:cs="Times New Roman"/>
                <w:sz w:val="21"/>
                <w:szCs w:val="21"/>
              </w:rPr>
              <w:t>危险废物利用处置率</w:t>
            </w:r>
          </w:p>
        </w:tc>
        <w:tc>
          <w:tcPr>
            <w:tcW w:w="622" w:type="dxa"/>
            <w:noWrap/>
            <w:vAlign w:val="center"/>
          </w:tcPr>
          <w:p w14:paraId="5097BF1F">
            <w:pPr>
              <w:pStyle w:val="22"/>
              <w:spacing w:line="300" w:lineRule="exact"/>
              <w:rPr>
                <w:rFonts w:cs="Times New Roman"/>
                <w:sz w:val="21"/>
                <w:szCs w:val="21"/>
              </w:rPr>
            </w:pPr>
            <w:r>
              <w:rPr>
                <w:rFonts w:cs="Times New Roman"/>
                <w:sz w:val="21"/>
                <w:szCs w:val="21"/>
              </w:rPr>
              <w:t>%</w:t>
            </w:r>
          </w:p>
        </w:tc>
        <w:tc>
          <w:tcPr>
            <w:tcW w:w="1100" w:type="dxa"/>
            <w:noWrap/>
            <w:vAlign w:val="center"/>
          </w:tcPr>
          <w:p w14:paraId="64B821D9">
            <w:pPr>
              <w:pStyle w:val="22"/>
              <w:spacing w:line="300" w:lineRule="exact"/>
              <w:rPr>
                <w:rFonts w:cs="Times New Roman"/>
                <w:sz w:val="21"/>
                <w:szCs w:val="21"/>
              </w:rPr>
            </w:pPr>
            <w:r>
              <w:rPr>
                <w:rFonts w:cs="Times New Roman"/>
                <w:sz w:val="21"/>
                <w:szCs w:val="21"/>
              </w:rPr>
              <w:t>100</w:t>
            </w:r>
          </w:p>
        </w:tc>
        <w:tc>
          <w:tcPr>
            <w:tcW w:w="1100" w:type="dxa"/>
            <w:noWrap/>
            <w:vAlign w:val="center"/>
          </w:tcPr>
          <w:p w14:paraId="36B2776E">
            <w:pPr>
              <w:pStyle w:val="22"/>
              <w:spacing w:line="300" w:lineRule="exact"/>
              <w:rPr>
                <w:rFonts w:cs="Times New Roman"/>
                <w:sz w:val="21"/>
                <w:szCs w:val="21"/>
              </w:rPr>
            </w:pPr>
            <w:r>
              <w:rPr>
                <w:rFonts w:cs="Times New Roman"/>
                <w:sz w:val="21"/>
                <w:szCs w:val="21"/>
              </w:rPr>
              <w:t>100</w:t>
            </w:r>
          </w:p>
        </w:tc>
        <w:tc>
          <w:tcPr>
            <w:tcW w:w="1034" w:type="dxa"/>
            <w:noWrap/>
            <w:vAlign w:val="center"/>
          </w:tcPr>
          <w:p w14:paraId="4772E084">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1221CDAC">
            <w:pPr>
              <w:pStyle w:val="22"/>
              <w:spacing w:line="300" w:lineRule="exact"/>
              <w:rPr>
                <w:rFonts w:cs="Times New Roman"/>
                <w:sz w:val="21"/>
                <w:szCs w:val="21"/>
              </w:rPr>
            </w:pPr>
            <w:r>
              <w:rPr>
                <w:rFonts w:cs="Times New Roman"/>
                <w:sz w:val="21"/>
                <w:szCs w:val="21"/>
              </w:rPr>
              <w:t>100</w:t>
            </w:r>
          </w:p>
        </w:tc>
        <w:tc>
          <w:tcPr>
            <w:tcW w:w="853" w:type="dxa"/>
            <w:noWrap/>
            <w:vAlign w:val="center"/>
          </w:tcPr>
          <w:p w14:paraId="24D24B30">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6B4D7D6A">
            <w:pPr>
              <w:pStyle w:val="22"/>
              <w:spacing w:line="300" w:lineRule="exact"/>
              <w:rPr>
                <w:rFonts w:cs="Times New Roman"/>
                <w:sz w:val="21"/>
                <w:szCs w:val="21"/>
              </w:rPr>
            </w:pPr>
            <w:r>
              <w:rPr>
                <w:rFonts w:cs="Times New Roman"/>
                <w:sz w:val="21"/>
                <w:szCs w:val="21"/>
              </w:rPr>
              <w:t>100</w:t>
            </w:r>
          </w:p>
        </w:tc>
        <w:tc>
          <w:tcPr>
            <w:tcW w:w="1080" w:type="dxa"/>
            <w:noWrap/>
            <w:vAlign w:val="center"/>
          </w:tcPr>
          <w:p w14:paraId="63031039">
            <w:pPr>
              <w:pStyle w:val="22"/>
              <w:spacing w:line="300" w:lineRule="exact"/>
              <w:rPr>
                <w:rFonts w:cs="Times New Roman"/>
                <w:sz w:val="21"/>
                <w:szCs w:val="21"/>
              </w:rPr>
            </w:pPr>
            <w:r>
              <w:rPr>
                <w:rFonts w:cs="Times New Roman"/>
                <w:sz w:val="21"/>
                <w:szCs w:val="21"/>
              </w:rPr>
              <w:t>100</w:t>
            </w:r>
          </w:p>
        </w:tc>
        <w:tc>
          <w:tcPr>
            <w:tcW w:w="1162" w:type="dxa"/>
            <w:noWrap/>
            <w:vAlign w:val="center"/>
          </w:tcPr>
          <w:p w14:paraId="5A576BD6">
            <w:pPr>
              <w:pStyle w:val="22"/>
              <w:spacing w:line="300" w:lineRule="exact"/>
              <w:rPr>
                <w:rFonts w:cs="Times New Roman"/>
                <w:sz w:val="21"/>
                <w:szCs w:val="21"/>
              </w:rPr>
            </w:pPr>
            <w:r>
              <w:rPr>
                <w:rFonts w:cs="Times New Roman"/>
                <w:sz w:val="21"/>
                <w:szCs w:val="21"/>
              </w:rPr>
              <w:t>100</w:t>
            </w:r>
          </w:p>
        </w:tc>
      </w:tr>
      <w:tr w14:paraId="59F4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5B443383">
            <w:pPr>
              <w:pStyle w:val="22"/>
              <w:spacing w:line="300" w:lineRule="exact"/>
              <w:rPr>
                <w:rFonts w:cs="Times New Roman"/>
                <w:sz w:val="21"/>
                <w:szCs w:val="21"/>
              </w:rPr>
            </w:pPr>
          </w:p>
        </w:tc>
        <w:tc>
          <w:tcPr>
            <w:tcW w:w="828" w:type="dxa"/>
            <w:vMerge w:val="continue"/>
            <w:noWrap/>
            <w:vAlign w:val="center"/>
          </w:tcPr>
          <w:p w14:paraId="0C065F11">
            <w:pPr>
              <w:pStyle w:val="22"/>
              <w:spacing w:line="300" w:lineRule="exact"/>
              <w:rPr>
                <w:rFonts w:cs="Times New Roman"/>
                <w:sz w:val="21"/>
                <w:szCs w:val="21"/>
              </w:rPr>
            </w:pPr>
          </w:p>
        </w:tc>
        <w:tc>
          <w:tcPr>
            <w:tcW w:w="440" w:type="dxa"/>
            <w:noWrap/>
            <w:vAlign w:val="center"/>
          </w:tcPr>
          <w:p w14:paraId="6A89BFD3">
            <w:pPr>
              <w:pStyle w:val="22"/>
              <w:spacing w:line="300" w:lineRule="exact"/>
              <w:rPr>
                <w:rFonts w:cs="Times New Roman"/>
                <w:sz w:val="21"/>
                <w:szCs w:val="21"/>
              </w:rPr>
            </w:pPr>
            <w:r>
              <w:rPr>
                <w:rFonts w:cs="Times New Roman"/>
                <w:sz w:val="21"/>
                <w:szCs w:val="21"/>
              </w:rPr>
              <w:t>14</w:t>
            </w:r>
          </w:p>
        </w:tc>
        <w:tc>
          <w:tcPr>
            <w:tcW w:w="2723" w:type="dxa"/>
            <w:noWrap/>
            <w:vAlign w:val="center"/>
          </w:tcPr>
          <w:p w14:paraId="7A2DD9F9">
            <w:pPr>
              <w:pStyle w:val="22"/>
              <w:spacing w:line="300" w:lineRule="exact"/>
              <w:jc w:val="both"/>
              <w:rPr>
                <w:rFonts w:cs="Times New Roman"/>
                <w:sz w:val="21"/>
                <w:szCs w:val="21"/>
              </w:rPr>
            </w:pPr>
            <w:r>
              <w:rPr>
                <w:rFonts w:cs="Times New Roman"/>
                <w:sz w:val="21"/>
                <w:szCs w:val="21"/>
              </w:rPr>
              <w:t>建设用地土壤污染风险管控和修复名录制度</w:t>
            </w:r>
          </w:p>
        </w:tc>
        <w:tc>
          <w:tcPr>
            <w:tcW w:w="622" w:type="dxa"/>
            <w:noWrap/>
            <w:vAlign w:val="center"/>
          </w:tcPr>
          <w:p w14:paraId="28D59CB3">
            <w:pPr>
              <w:pStyle w:val="22"/>
              <w:spacing w:line="300" w:lineRule="exact"/>
              <w:rPr>
                <w:rFonts w:cs="Times New Roman"/>
                <w:sz w:val="21"/>
                <w:szCs w:val="21"/>
              </w:rPr>
            </w:pPr>
            <w:r>
              <w:rPr>
                <w:rFonts w:cs="Times New Roman"/>
                <w:sz w:val="21"/>
                <w:szCs w:val="21"/>
              </w:rPr>
              <w:t>—</w:t>
            </w:r>
          </w:p>
        </w:tc>
        <w:tc>
          <w:tcPr>
            <w:tcW w:w="1100" w:type="dxa"/>
            <w:noWrap/>
            <w:vAlign w:val="center"/>
          </w:tcPr>
          <w:p w14:paraId="77AAB55C">
            <w:pPr>
              <w:pStyle w:val="22"/>
              <w:spacing w:line="300" w:lineRule="exact"/>
              <w:rPr>
                <w:rFonts w:cs="Times New Roman"/>
                <w:sz w:val="21"/>
                <w:szCs w:val="21"/>
              </w:rPr>
            </w:pPr>
            <w:r>
              <w:rPr>
                <w:rFonts w:cs="Times New Roman"/>
                <w:sz w:val="21"/>
                <w:szCs w:val="21"/>
              </w:rPr>
              <w:t>建立</w:t>
            </w:r>
          </w:p>
        </w:tc>
        <w:tc>
          <w:tcPr>
            <w:tcW w:w="1100" w:type="dxa"/>
            <w:noWrap/>
            <w:vAlign w:val="center"/>
          </w:tcPr>
          <w:p w14:paraId="10C33F4C">
            <w:pPr>
              <w:pStyle w:val="22"/>
              <w:spacing w:line="300" w:lineRule="exact"/>
              <w:rPr>
                <w:rFonts w:cs="Times New Roman"/>
                <w:sz w:val="21"/>
                <w:szCs w:val="21"/>
              </w:rPr>
            </w:pPr>
            <w:r>
              <w:rPr>
                <w:rFonts w:cs="Times New Roman"/>
                <w:sz w:val="21"/>
                <w:szCs w:val="21"/>
              </w:rPr>
              <w:t>建立</w:t>
            </w:r>
          </w:p>
        </w:tc>
        <w:tc>
          <w:tcPr>
            <w:tcW w:w="1034" w:type="dxa"/>
            <w:noWrap/>
            <w:vAlign w:val="center"/>
          </w:tcPr>
          <w:p w14:paraId="2EABF4DA">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73762212">
            <w:pPr>
              <w:pStyle w:val="22"/>
              <w:spacing w:line="300" w:lineRule="exact"/>
              <w:rPr>
                <w:rFonts w:cs="Times New Roman"/>
                <w:sz w:val="21"/>
                <w:szCs w:val="21"/>
              </w:rPr>
            </w:pPr>
            <w:r>
              <w:rPr>
                <w:rFonts w:cs="Times New Roman"/>
                <w:sz w:val="21"/>
                <w:szCs w:val="21"/>
              </w:rPr>
              <w:t>建立</w:t>
            </w:r>
          </w:p>
        </w:tc>
        <w:tc>
          <w:tcPr>
            <w:tcW w:w="853" w:type="dxa"/>
            <w:noWrap/>
            <w:vAlign w:val="center"/>
          </w:tcPr>
          <w:p w14:paraId="11BB1A98">
            <w:pPr>
              <w:spacing w:line="300" w:lineRule="exact"/>
              <w:ind w:firstLine="0" w:firstLineChars="0"/>
              <w:jc w:val="center"/>
              <w:rPr>
                <w:rFonts w:cs="Times New Roman"/>
                <w:sz w:val="21"/>
                <w:szCs w:val="21"/>
              </w:rPr>
            </w:pPr>
            <w:r>
              <w:rPr>
                <w:rFonts w:cs="Times New Roman"/>
                <w:sz w:val="21"/>
                <w:szCs w:val="21"/>
              </w:rPr>
              <w:t>达标</w:t>
            </w:r>
          </w:p>
        </w:tc>
        <w:tc>
          <w:tcPr>
            <w:tcW w:w="1110" w:type="dxa"/>
            <w:noWrap/>
            <w:vAlign w:val="center"/>
          </w:tcPr>
          <w:p w14:paraId="20DD2730">
            <w:pPr>
              <w:pStyle w:val="22"/>
              <w:spacing w:line="300" w:lineRule="exact"/>
              <w:rPr>
                <w:rFonts w:cs="Times New Roman"/>
                <w:sz w:val="21"/>
                <w:szCs w:val="21"/>
              </w:rPr>
            </w:pPr>
            <w:r>
              <w:rPr>
                <w:rFonts w:cs="Times New Roman"/>
                <w:sz w:val="21"/>
                <w:szCs w:val="21"/>
              </w:rPr>
              <w:t>建立</w:t>
            </w:r>
          </w:p>
        </w:tc>
        <w:tc>
          <w:tcPr>
            <w:tcW w:w="1080" w:type="dxa"/>
            <w:noWrap/>
            <w:vAlign w:val="center"/>
          </w:tcPr>
          <w:p w14:paraId="12E42118">
            <w:pPr>
              <w:pStyle w:val="22"/>
              <w:spacing w:line="300" w:lineRule="exact"/>
              <w:rPr>
                <w:rFonts w:cs="Times New Roman"/>
                <w:sz w:val="21"/>
                <w:szCs w:val="21"/>
              </w:rPr>
            </w:pPr>
            <w:r>
              <w:rPr>
                <w:rFonts w:cs="Times New Roman"/>
                <w:sz w:val="21"/>
                <w:szCs w:val="21"/>
              </w:rPr>
              <w:t>建立</w:t>
            </w:r>
          </w:p>
        </w:tc>
        <w:tc>
          <w:tcPr>
            <w:tcW w:w="1162" w:type="dxa"/>
            <w:noWrap/>
            <w:vAlign w:val="center"/>
          </w:tcPr>
          <w:p w14:paraId="4BB4B340">
            <w:pPr>
              <w:pStyle w:val="22"/>
              <w:spacing w:line="300" w:lineRule="exact"/>
              <w:rPr>
                <w:rFonts w:cs="Times New Roman"/>
                <w:sz w:val="21"/>
                <w:szCs w:val="21"/>
              </w:rPr>
            </w:pPr>
            <w:r>
              <w:rPr>
                <w:rFonts w:cs="Times New Roman"/>
                <w:sz w:val="21"/>
                <w:szCs w:val="21"/>
              </w:rPr>
              <w:t>建立</w:t>
            </w:r>
          </w:p>
        </w:tc>
      </w:tr>
      <w:tr w14:paraId="1E06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357272BA">
            <w:pPr>
              <w:pStyle w:val="22"/>
              <w:spacing w:line="300" w:lineRule="exact"/>
              <w:rPr>
                <w:rFonts w:cs="Times New Roman"/>
                <w:sz w:val="21"/>
                <w:szCs w:val="21"/>
              </w:rPr>
            </w:pPr>
          </w:p>
        </w:tc>
        <w:tc>
          <w:tcPr>
            <w:tcW w:w="828" w:type="dxa"/>
            <w:vMerge w:val="continue"/>
            <w:noWrap/>
            <w:vAlign w:val="center"/>
          </w:tcPr>
          <w:p w14:paraId="727E85AA">
            <w:pPr>
              <w:pStyle w:val="22"/>
              <w:spacing w:line="300" w:lineRule="exact"/>
              <w:rPr>
                <w:rFonts w:cs="Times New Roman"/>
                <w:sz w:val="21"/>
                <w:szCs w:val="21"/>
              </w:rPr>
            </w:pPr>
          </w:p>
        </w:tc>
        <w:tc>
          <w:tcPr>
            <w:tcW w:w="440" w:type="dxa"/>
            <w:noWrap/>
            <w:vAlign w:val="center"/>
          </w:tcPr>
          <w:p w14:paraId="21E7AD85">
            <w:pPr>
              <w:pStyle w:val="22"/>
              <w:spacing w:line="300" w:lineRule="exact"/>
              <w:rPr>
                <w:rFonts w:cs="Times New Roman"/>
                <w:sz w:val="21"/>
                <w:szCs w:val="21"/>
              </w:rPr>
            </w:pPr>
            <w:r>
              <w:rPr>
                <w:rFonts w:cs="Times New Roman"/>
                <w:sz w:val="21"/>
                <w:szCs w:val="21"/>
              </w:rPr>
              <w:t>15</w:t>
            </w:r>
          </w:p>
        </w:tc>
        <w:tc>
          <w:tcPr>
            <w:tcW w:w="2723" w:type="dxa"/>
            <w:noWrap/>
            <w:vAlign w:val="center"/>
          </w:tcPr>
          <w:p w14:paraId="64E1B4FC">
            <w:pPr>
              <w:pStyle w:val="22"/>
              <w:spacing w:line="300" w:lineRule="exact"/>
              <w:jc w:val="both"/>
              <w:rPr>
                <w:rFonts w:cs="Times New Roman"/>
                <w:sz w:val="21"/>
                <w:szCs w:val="21"/>
              </w:rPr>
            </w:pPr>
            <w:r>
              <w:rPr>
                <w:rFonts w:cs="Times New Roman"/>
                <w:sz w:val="21"/>
                <w:szCs w:val="21"/>
              </w:rPr>
              <w:t>突发生态环境事件应急管理机制</w:t>
            </w:r>
          </w:p>
        </w:tc>
        <w:tc>
          <w:tcPr>
            <w:tcW w:w="622" w:type="dxa"/>
            <w:noWrap/>
            <w:vAlign w:val="center"/>
          </w:tcPr>
          <w:p w14:paraId="5DEB98E3">
            <w:pPr>
              <w:pStyle w:val="22"/>
              <w:spacing w:line="300" w:lineRule="exact"/>
              <w:rPr>
                <w:rFonts w:cs="Times New Roman"/>
                <w:sz w:val="21"/>
                <w:szCs w:val="21"/>
              </w:rPr>
            </w:pPr>
            <w:r>
              <w:rPr>
                <w:rFonts w:cs="Times New Roman"/>
                <w:sz w:val="21"/>
                <w:szCs w:val="21"/>
              </w:rPr>
              <w:t>—</w:t>
            </w:r>
          </w:p>
        </w:tc>
        <w:tc>
          <w:tcPr>
            <w:tcW w:w="1100" w:type="dxa"/>
            <w:noWrap/>
            <w:vAlign w:val="center"/>
          </w:tcPr>
          <w:p w14:paraId="56248D5F">
            <w:pPr>
              <w:pStyle w:val="22"/>
              <w:spacing w:line="300" w:lineRule="exact"/>
              <w:rPr>
                <w:rFonts w:cs="Times New Roman"/>
                <w:sz w:val="21"/>
                <w:szCs w:val="21"/>
              </w:rPr>
            </w:pPr>
            <w:r>
              <w:rPr>
                <w:rFonts w:cs="Times New Roman"/>
                <w:sz w:val="21"/>
                <w:szCs w:val="21"/>
              </w:rPr>
              <w:t>建立</w:t>
            </w:r>
          </w:p>
        </w:tc>
        <w:tc>
          <w:tcPr>
            <w:tcW w:w="1100" w:type="dxa"/>
            <w:noWrap/>
            <w:vAlign w:val="center"/>
          </w:tcPr>
          <w:p w14:paraId="5F159866">
            <w:pPr>
              <w:pStyle w:val="22"/>
              <w:spacing w:line="300" w:lineRule="exact"/>
              <w:rPr>
                <w:rFonts w:cs="Times New Roman"/>
                <w:sz w:val="21"/>
                <w:szCs w:val="21"/>
              </w:rPr>
            </w:pPr>
            <w:r>
              <w:rPr>
                <w:rFonts w:cs="Times New Roman"/>
                <w:sz w:val="21"/>
                <w:szCs w:val="21"/>
              </w:rPr>
              <w:t>建立</w:t>
            </w:r>
          </w:p>
        </w:tc>
        <w:tc>
          <w:tcPr>
            <w:tcW w:w="1034" w:type="dxa"/>
            <w:noWrap/>
            <w:vAlign w:val="center"/>
          </w:tcPr>
          <w:p w14:paraId="573FC431">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6D211F25">
            <w:pPr>
              <w:pStyle w:val="22"/>
              <w:spacing w:line="300" w:lineRule="exact"/>
              <w:rPr>
                <w:rFonts w:cs="Times New Roman"/>
                <w:sz w:val="21"/>
                <w:szCs w:val="21"/>
              </w:rPr>
            </w:pPr>
            <w:r>
              <w:rPr>
                <w:rFonts w:cs="Times New Roman"/>
                <w:sz w:val="21"/>
                <w:szCs w:val="21"/>
              </w:rPr>
              <w:t>建立</w:t>
            </w:r>
          </w:p>
        </w:tc>
        <w:tc>
          <w:tcPr>
            <w:tcW w:w="853" w:type="dxa"/>
            <w:noWrap/>
            <w:vAlign w:val="center"/>
          </w:tcPr>
          <w:p w14:paraId="21AE5E65">
            <w:pPr>
              <w:spacing w:line="300" w:lineRule="exact"/>
              <w:ind w:firstLine="0" w:firstLineChars="0"/>
              <w:jc w:val="center"/>
              <w:rPr>
                <w:rFonts w:cs="Times New Roman"/>
                <w:sz w:val="21"/>
                <w:szCs w:val="21"/>
              </w:rPr>
            </w:pPr>
            <w:r>
              <w:rPr>
                <w:rFonts w:cs="Times New Roman"/>
                <w:sz w:val="21"/>
                <w:szCs w:val="21"/>
              </w:rPr>
              <w:t>达标</w:t>
            </w:r>
          </w:p>
        </w:tc>
        <w:tc>
          <w:tcPr>
            <w:tcW w:w="1110" w:type="dxa"/>
            <w:noWrap/>
            <w:vAlign w:val="center"/>
          </w:tcPr>
          <w:p w14:paraId="3C67A00C">
            <w:pPr>
              <w:pStyle w:val="22"/>
              <w:spacing w:line="300" w:lineRule="exact"/>
              <w:rPr>
                <w:rFonts w:cs="Times New Roman"/>
                <w:sz w:val="21"/>
                <w:szCs w:val="21"/>
              </w:rPr>
            </w:pPr>
            <w:r>
              <w:rPr>
                <w:rFonts w:cs="Times New Roman"/>
                <w:sz w:val="21"/>
                <w:szCs w:val="21"/>
              </w:rPr>
              <w:t>建立</w:t>
            </w:r>
          </w:p>
        </w:tc>
        <w:tc>
          <w:tcPr>
            <w:tcW w:w="1080" w:type="dxa"/>
            <w:noWrap/>
            <w:vAlign w:val="center"/>
          </w:tcPr>
          <w:p w14:paraId="2B308571">
            <w:pPr>
              <w:pStyle w:val="22"/>
              <w:spacing w:line="300" w:lineRule="exact"/>
              <w:rPr>
                <w:rFonts w:cs="Times New Roman"/>
                <w:sz w:val="21"/>
                <w:szCs w:val="21"/>
              </w:rPr>
            </w:pPr>
            <w:r>
              <w:rPr>
                <w:rFonts w:cs="Times New Roman"/>
                <w:sz w:val="21"/>
                <w:szCs w:val="21"/>
              </w:rPr>
              <w:t>建立</w:t>
            </w:r>
          </w:p>
        </w:tc>
        <w:tc>
          <w:tcPr>
            <w:tcW w:w="1162" w:type="dxa"/>
            <w:noWrap/>
            <w:vAlign w:val="center"/>
          </w:tcPr>
          <w:p w14:paraId="4389EADD">
            <w:pPr>
              <w:pStyle w:val="22"/>
              <w:spacing w:line="300" w:lineRule="exact"/>
              <w:rPr>
                <w:rFonts w:cs="Times New Roman"/>
                <w:sz w:val="21"/>
                <w:szCs w:val="21"/>
              </w:rPr>
            </w:pPr>
            <w:r>
              <w:rPr>
                <w:rFonts w:cs="Times New Roman"/>
                <w:sz w:val="21"/>
                <w:szCs w:val="21"/>
              </w:rPr>
              <w:t>建立</w:t>
            </w:r>
          </w:p>
        </w:tc>
      </w:tr>
      <w:tr w14:paraId="3568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restart"/>
            <w:noWrap/>
            <w:vAlign w:val="center"/>
          </w:tcPr>
          <w:p w14:paraId="08D838AA">
            <w:pPr>
              <w:pStyle w:val="22"/>
              <w:spacing w:line="300" w:lineRule="exact"/>
              <w:rPr>
                <w:rFonts w:cs="Times New Roman"/>
                <w:sz w:val="21"/>
                <w:szCs w:val="21"/>
              </w:rPr>
            </w:pPr>
            <w:r>
              <w:rPr>
                <w:rFonts w:cs="Times New Roman"/>
                <w:sz w:val="21"/>
                <w:szCs w:val="21"/>
              </w:rPr>
              <w:t>生态空间</w:t>
            </w:r>
          </w:p>
        </w:tc>
        <w:tc>
          <w:tcPr>
            <w:tcW w:w="828" w:type="dxa"/>
            <w:vMerge w:val="restart"/>
            <w:noWrap/>
            <w:vAlign w:val="center"/>
          </w:tcPr>
          <w:p w14:paraId="0CA44329">
            <w:pPr>
              <w:pStyle w:val="22"/>
              <w:spacing w:line="300" w:lineRule="exact"/>
              <w:rPr>
                <w:rFonts w:cs="Times New Roman"/>
                <w:sz w:val="21"/>
                <w:szCs w:val="21"/>
              </w:rPr>
            </w:pPr>
            <w:r>
              <w:rPr>
                <w:rFonts w:cs="Times New Roman"/>
                <w:sz w:val="21"/>
                <w:szCs w:val="21"/>
              </w:rPr>
              <w:t>（五）</w:t>
            </w:r>
          </w:p>
          <w:p w14:paraId="24B2D880">
            <w:pPr>
              <w:pStyle w:val="22"/>
              <w:spacing w:line="300" w:lineRule="exact"/>
              <w:rPr>
                <w:rFonts w:cs="Times New Roman"/>
                <w:sz w:val="21"/>
                <w:szCs w:val="21"/>
              </w:rPr>
            </w:pPr>
            <w:r>
              <w:rPr>
                <w:rFonts w:cs="Times New Roman"/>
                <w:sz w:val="21"/>
                <w:szCs w:val="21"/>
              </w:rPr>
              <w:t>空间格局优化</w:t>
            </w:r>
          </w:p>
        </w:tc>
        <w:tc>
          <w:tcPr>
            <w:tcW w:w="440" w:type="dxa"/>
            <w:noWrap/>
            <w:vAlign w:val="center"/>
          </w:tcPr>
          <w:p w14:paraId="4C407EB6">
            <w:pPr>
              <w:pStyle w:val="22"/>
              <w:spacing w:line="300" w:lineRule="exact"/>
              <w:rPr>
                <w:rFonts w:cs="Times New Roman"/>
                <w:sz w:val="21"/>
                <w:szCs w:val="21"/>
              </w:rPr>
            </w:pPr>
            <w:r>
              <w:rPr>
                <w:rFonts w:cs="Times New Roman"/>
                <w:sz w:val="21"/>
                <w:szCs w:val="21"/>
              </w:rPr>
              <w:t>16</w:t>
            </w:r>
          </w:p>
        </w:tc>
        <w:tc>
          <w:tcPr>
            <w:tcW w:w="2723" w:type="dxa"/>
            <w:noWrap/>
            <w:vAlign w:val="center"/>
          </w:tcPr>
          <w:p w14:paraId="6CE5FF61">
            <w:pPr>
              <w:pStyle w:val="22"/>
              <w:spacing w:line="300" w:lineRule="exact"/>
              <w:jc w:val="both"/>
              <w:rPr>
                <w:rFonts w:cs="Times New Roman"/>
                <w:sz w:val="21"/>
                <w:szCs w:val="21"/>
              </w:rPr>
            </w:pPr>
            <w:r>
              <w:rPr>
                <w:rFonts w:cs="Times New Roman"/>
                <w:sz w:val="21"/>
                <w:szCs w:val="21"/>
              </w:rPr>
              <w:t>自然生态空间</w:t>
            </w:r>
          </w:p>
          <w:p w14:paraId="7153B9A3">
            <w:pPr>
              <w:pStyle w:val="22"/>
              <w:spacing w:line="300" w:lineRule="exact"/>
              <w:jc w:val="both"/>
              <w:rPr>
                <w:rFonts w:cs="Times New Roman"/>
                <w:sz w:val="21"/>
                <w:szCs w:val="21"/>
              </w:rPr>
            </w:pPr>
            <w:r>
              <w:rPr>
                <w:rFonts w:cs="Times New Roman"/>
                <w:sz w:val="21"/>
                <w:szCs w:val="21"/>
              </w:rPr>
              <w:t>生态保护红线</w:t>
            </w:r>
          </w:p>
          <w:p w14:paraId="630A2A0E">
            <w:pPr>
              <w:pStyle w:val="22"/>
              <w:spacing w:line="300" w:lineRule="exact"/>
              <w:jc w:val="both"/>
              <w:rPr>
                <w:rFonts w:cs="Times New Roman"/>
                <w:sz w:val="21"/>
                <w:szCs w:val="21"/>
              </w:rPr>
            </w:pPr>
            <w:r>
              <w:rPr>
                <w:rFonts w:cs="Times New Roman"/>
                <w:sz w:val="21"/>
                <w:szCs w:val="21"/>
              </w:rPr>
              <w:t>自然保护地</w:t>
            </w:r>
          </w:p>
        </w:tc>
        <w:tc>
          <w:tcPr>
            <w:tcW w:w="622" w:type="dxa"/>
            <w:noWrap/>
            <w:vAlign w:val="center"/>
          </w:tcPr>
          <w:p w14:paraId="4B0E6DF4">
            <w:pPr>
              <w:pStyle w:val="22"/>
              <w:spacing w:line="300" w:lineRule="exact"/>
              <w:rPr>
                <w:rFonts w:cs="Times New Roman"/>
                <w:sz w:val="21"/>
                <w:szCs w:val="21"/>
              </w:rPr>
            </w:pPr>
            <w:r>
              <w:rPr>
                <w:rFonts w:cs="Times New Roman"/>
                <w:sz w:val="21"/>
                <w:szCs w:val="21"/>
              </w:rPr>
              <w:t>—</w:t>
            </w:r>
          </w:p>
        </w:tc>
        <w:tc>
          <w:tcPr>
            <w:tcW w:w="1100" w:type="dxa"/>
            <w:noWrap/>
            <w:vAlign w:val="center"/>
          </w:tcPr>
          <w:p w14:paraId="10C6C43B">
            <w:pPr>
              <w:pStyle w:val="22"/>
              <w:spacing w:line="300" w:lineRule="exact"/>
              <w:rPr>
                <w:rFonts w:cs="Times New Roman"/>
                <w:sz w:val="21"/>
                <w:szCs w:val="21"/>
              </w:rPr>
            </w:pPr>
            <w:r>
              <w:rPr>
                <w:rFonts w:cs="Times New Roman"/>
                <w:sz w:val="21"/>
                <w:szCs w:val="21"/>
                <w:lang w:val="zh-CN"/>
              </w:rPr>
              <w:t>面积不减少，性质不改变，功能</w:t>
            </w:r>
            <w:r>
              <w:rPr>
                <w:rFonts w:cs="Times New Roman"/>
                <w:sz w:val="21"/>
                <w:szCs w:val="21"/>
              </w:rPr>
              <w:t>不降低</w:t>
            </w:r>
          </w:p>
        </w:tc>
        <w:tc>
          <w:tcPr>
            <w:tcW w:w="1100" w:type="dxa"/>
            <w:noWrap/>
            <w:vAlign w:val="center"/>
          </w:tcPr>
          <w:p w14:paraId="7549E2E7">
            <w:pPr>
              <w:pStyle w:val="22"/>
              <w:spacing w:line="300" w:lineRule="exact"/>
              <w:rPr>
                <w:rFonts w:cs="Times New Roman"/>
                <w:sz w:val="21"/>
                <w:szCs w:val="21"/>
              </w:rPr>
            </w:pPr>
            <w:r>
              <w:rPr>
                <w:rFonts w:cs="Times New Roman"/>
                <w:sz w:val="21"/>
                <w:szCs w:val="21"/>
                <w:lang w:val="zh-CN"/>
              </w:rPr>
              <w:t>面积不减少，性质不改变，功能</w:t>
            </w:r>
            <w:r>
              <w:rPr>
                <w:rFonts w:cs="Times New Roman"/>
                <w:sz w:val="21"/>
                <w:szCs w:val="21"/>
              </w:rPr>
              <w:t>不降低</w:t>
            </w:r>
          </w:p>
        </w:tc>
        <w:tc>
          <w:tcPr>
            <w:tcW w:w="1034" w:type="dxa"/>
            <w:noWrap/>
            <w:vAlign w:val="center"/>
          </w:tcPr>
          <w:p w14:paraId="738E004A">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344B5C2E">
            <w:pPr>
              <w:pStyle w:val="22"/>
              <w:spacing w:line="300" w:lineRule="exact"/>
              <w:rPr>
                <w:rFonts w:cs="Times New Roman"/>
                <w:sz w:val="21"/>
                <w:szCs w:val="21"/>
              </w:rPr>
            </w:pPr>
            <w:r>
              <w:rPr>
                <w:rFonts w:cs="Times New Roman"/>
                <w:sz w:val="21"/>
                <w:szCs w:val="21"/>
              </w:rPr>
              <w:t>生态保护</w:t>
            </w:r>
          </w:p>
          <w:p w14:paraId="2DEB3778">
            <w:pPr>
              <w:pStyle w:val="22"/>
              <w:spacing w:line="300" w:lineRule="exact"/>
              <w:rPr>
                <w:rFonts w:cs="Times New Roman"/>
                <w:sz w:val="21"/>
                <w:szCs w:val="21"/>
              </w:rPr>
            </w:pPr>
            <w:r>
              <w:rPr>
                <w:rFonts w:cs="Times New Roman"/>
                <w:sz w:val="21"/>
                <w:szCs w:val="21"/>
              </w:rPr>
              <w:t>红线范围2942.12公顷；</w:t>
            </w:r>
          </w:p>
          <w:p w14:paraId="46F7E590">
            <w:pPr>
              <w:pStyle w:val="22"/>
              <w:spacing w:line="300" w:lineRule="exact"/>
              <w:rPr>
                <w:rFonts w:cs="Times New Roman"/>
                <w:sz w:val="21"/>
                <w:szCs w:val="21"/>
              </w:rPr>
            </w:pPr>
            <w:r>
              <w:rPr>
                <w:rFonts w:cs="Times New Roman"/>
                <w:sz w:val="21"/>
                <w:szCs w:val="21"/>
              </w:rPr>
              <w:t>自然保护地面积为2422.24公顷</w:t>
            </w:r>
          </w:p>
        </w:tc>
        <w:tc>
          <w:tcPr>
            <w:tcW w:w="853" w:type="dxa"/>
            <w:noWrap/>
            <w:vAlign w:val="center"/>
          </w:tcPr>
          <w:p w14:paraId="27F45AEC">
            <w:pPr>
              <w:pStyle w:val="22"/>
              <w:spacing w:line="300" w:lineRule="exact"/>
              <w:rPr>
                <w:rFonts w:cs="Times New Roman"/>
                <w:sz w:val="21"/>
                <w:szCs w:val="21"/>
              </w:rPr>
            </w:pPr>
            <w:r>
              <w:rPr>
                <w:rFonts w:cs="Times New Roman"/>
                <w:sz w:val="21"/>
                <w:szCs w:val="21"/>
              </w:rPr>
              <w:t>达标</w:t>
            </w:r>
          </w:p>
          <w:p w14:paraId="0DFC9124">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5D3700F9">
            <w:pPr>
              <w:pStyle w:val="22"/>
              <w:spacing w:line="300" w:lineRule="exact"/>
              <w:rPr>
                <w:rFonts w:cs="Times New Roman"/>
                <w:sz w:val="21"/>
                <w:szCs w:val="21"/>
              </w:rPr>
            </w:pPr>
            <w:r>
              <w:rPr>
                <w:rFonts w:cs="Times New Roman"/>
                <w:sz w:val="21"/>
                <w:szCs w:val="21"/>
                <w:lang w:val="zh-CN"/>
              </w:rPr>
              <w:t>面积不减少，性质不改变，功能</w:t>
            </w:r>
            <w:r>
              <w:rPr>
                <w:rFonts w:cs="Times New Roman"/>
                <w:sz w:val="21"/>
                <w:szCs w:val="21"/>
              </w:rPr>
              <w:t>不降低</w:t>
            </w:r>
          </w:p>
        </w:tc>
        <w:tc>
          <w:tcPr>
            <w:tcW w:w="1080" w:type="dxa"/>
            <w:noWrap/>
            <w:vAlign w:val="center"/>
          </w:tcPr>
          <w:p w14:paraId="5AD20648">
            <w:pPr>
              <w:pStyle w:val="22"/>
              <w:spacing w:line="300" w:lineRule="exact"/>
              <w:rPr>
                <w:rFonts w:cs="Times New Roman"/>
                <w:sz w:val="21"/>
                <w:szCs w:val="21"/>
              </w:rPr>
            </w:pPr>
            <w:r>
              <w:rPr>
                <w:rFonts w:cs="Times New Roman"/>
                <w:sz w:val="21"/>
                <w:szCs w:val="21"/>
                <w:lang w:val="zh-CN"/>
              </w:rPr>
              <w:t>面积不减少，性质不改变，功能</w:t>
            </w:r>
            <w:r>
              <w:rPr>
                <w:rFonts w:cs="Times New Roman"/>
                <w:sz w:val="21"/>
                <w:szCs w:val="21"/>
              </w:rPr>
              <w:t>不降低</w:t>
            </w:r>
          </w:p>
        </w:tc>
        <w:tc>
          <w:tcPr>
            <w:tcW w:w="1162" w:type="dxa"/>
            <w:noWrap/>
            <w:vAlign w:val="center"/>
          </w:tcPr>
          <w:p w14:paraId="16D56375">
            <w:pPr>
              <w:pStyle w:val="22"/>
              <w:spacing w:line="300" w:lineRule="exact"/>
              <w:rPr>
                <w:rFonts w:cs="Times New Roman"/>
                <w:sz w:val="21"/>
                <w:szCs w:val="21"/>
              </w:rPr>
            </w:pPr>
            <w:r>
              <w:rPr>
                <w:rFonts w:cs="Times New Roman"/>
                <w:sz w:val="21"/>
                <w:szCs w:val="21"/>
                <w:lang w:val="zh-CN"/>
              </w:rPr>
              <w:t>面积不减少，性质不改变，功能</w:t>
            </w:r>
            <w:r>
              <w:rPr>
                <w:rFonts w:cs="Times New Roman"/>
                <w:sz w:val="21"/>
                <w:szCs w:val="21"/>
              </w:rPr>
              <w:t>不降低</w:t>
            </w:r>
          </w:p>
        </w:tc>
      </w:tr>
      <w:tr w14:paraId="6066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05770AA8">
            <w:pPr>
              <w:pStyle w:val="22"/>
              <w:spacing w:line="300" w:lineRule="exact"/>
              <w:rPr>
                <w:rFonts w:cs="Times New Roman"/>
                <w:sz w:val="21"/>
                <w:szCs w:val="21"/>
              </w:rPr>
            </w:pPr>
          </w:p>
        </w:tc>
        <w:tc>
          <w:tcPr>
            <w:tcW w:w="828" w:type="dxa"/>
            <w:vMerge w:val="continue"/>
            <w:noWrap/>
            <w:vAlign w:val="center"/>
          </w:tcPr>
          <w:p w14:paraId="33F07F3E">
            <w:pPr>
              <w:pStyle w:val="22"/>
              <w:spacing w:line="300" w:lineRule="exact"/>
              <w:rPr>
                <w:rFonts w:cs="Times New Roman"/>
                <w:sz w:val="21"/>
                <w:szCs w:val="21"/>
              </w:rPr>
            </w:pPr>
          </w:p>
        </w:tc>
        <w:tc>
          <w:tcPr>
            <w:tcW w:w="440" w:type="dxa"/>
            <w:noWrap/>
            <w:vAlign w:val="center"/>
          </w:tcPr>
          <w:p w14:paraId="26C00DCA">
            <w:pPr>
              <w:pStyle w:val="22"/>
              <w:spacing w:line="300" w:lineRule="exact"/>
              <w:rPr>
                <w:rFonts w:cs="Times New Roman"/>
                <w:sz w:val="21"/>
                <w:szCs w:val="21"/>
              </w:rPr>
            </w:pPr>
            <w:r>
              <w:rPr>
                <w:rFonts w:cs="Times New Roman"/>
                <w:sz w:val="21"/>
                <w:szCs w:val="21"/>
              </w:rPr>
              <w:t>17</w:t>
            </w:r>
          </w:p>
        </w:tc>
        <w:tc>
          <w:tcPr>
            <w:tcW w:w="2723" w:type="dxa"/>
            <w:noWrap/>
            <w:vAlign w:val="center"/>
          </w:tcPr>
          <w:p w14:paraId="6106E833">
            <w:pPr>
              <w:pStyle w:val="22"/>
              <w:spacing w:line="300" w:lineRule="exact"/>
              <w:jc w:val="both"/>
              <w:rPr>
                <w:rFonts w:cs="Times New Roman"/>
                <w:sz w:val="21"/>
                <w:szCs w:val="21"/>
              </w:rPr>
            </w:pPr>
            <w:r>
              <w:rPr>
                <w:rFonts w:cs="Times New Roman"/>
                <w:sz w:val="21"/>
                <w:szCs w:val="21"/>
              </w:rPr>
              <w:t>河湖岸线保护率</w:t>
            </w:r>
          </w:p>
        </w:tc>
        <w:tc>
          <w:tcPr>
            <w:tcW w:w="622" w:type="dxa"/>
            <w:noWrap/>
            <w:vAlign w:val="center"/>
          </w:tcPr>
          <w:p w14:paraId="398CE1BE">
            <w:pPr>
              <w:pStyle w:val="22"/>
              <w:spacing w:line="300" w:lineRule="exact"/>
              <w:rPr>
                <w:rFonts w:cs="Times New Roman"/>
                <w:sz w:val="21"/>
                <w:szCs w:val="21"/>
              </w:rPr>
            </w:pPr>
            <w:r>
              <w:rPr>
                <w:rFonts w:cs="Times New Roman"/>
                <w:sz w:val="21"/>
                <w:szCs w:val="21"/>
              </w:rPr>
              <w:t>—</w:t>
            </w:r>
          </w:p>
        </w:tc>
        <w:tc>
          <w:tcPr>
            <w:tcW w:w="1100" w:type="dxa"/>
            <w:noWrap/>
            <w:vAlign w:val="center"/>
          </w:tcPr>
          <w:p w14:paraId="0B0FC849">
            <w:pPr>
              <w:pStyle w:val="22"/>
              <w:spacing w:line="300" w:lineRule="exact"/>
              <w:rPr>
                <w:rFonts w:cs="Times New Roman"/>
                <w:sz w:val="21"/>
                <w:szCs w:val="21"/>
              </w:rPr>
            </w:pPr>
            <w:r>
              <w:rPr>
                <w:rFonts w:cs="Times New Roman"/>
                <w:sz w:val="21"/>
                <w:szCs w:val="21"/>
              </w:rPr>
              <w:t>完成上级管控目标</w:t>
            </w:r>
          </w:p>
        </w:tc>
        <w:tc>
          <w:tcPr>
            <w:tcW w:w="1100" w:type="dxa"/>
            <w:noWrap/>
            <w:vAlign w:val="center"/>
          </w:tcPr>
          <w:p w14:paraId="493F0D5E">
            <w:pPr>
              <w:pStyle w:val="22"/>
              <w:spacing w:line="300" w:lineRule="exact"/>
              <w:rPr>
                <w:rFonts w:cs="Times New Roman"/>
                <w:sz w:val="21"/>
                <w:szCs w:val="21"/>
              </w:rPr>
            </w:pPr>
            <w:r>
              <w:rPr>
                <w:rFonts w:cs="Times New Roman"/>
                <w:sz w:val="21"/>
                <w:szCs w:val="21"/>
              </w:rPr>
              <w:t>完成上级管控目标</w:t>
            </w:r>
          </w:p>
        </w:tc>
        <w:tc>
          <w:tcPr>
            <w:tcW w:w="1034" w:type="dxa"/>
            <w:noWrap/>
            <w:vAlign w:val="center"/>
          </w:tcPr>
          <w:p w14:paraId="0012EB33">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241E1C5D">
            <w:pPr>
              <w:pStyle w:val="22"/>
              <w:spacing w:line="300" w:lineRule="exact"/>
              <w:rPr>
                <w:rFonts w:cs="Times New Roman"/>
                <w:sz w:val="21"/>
                <w:szCs w:val="21"/>
              </w:rPr>
            </w:pPr>
            <w:r>
              <w:rPr>
                <w:rFonts w:cs="Times New Roman"/>
                <w:sz w:val="21"/>
                <w:szCs w:val="21"/>
              </w:rPr>
              <w:t>按上级要求开展相关工作</w:t>
            </w:r>
          </w:p>
        </w:tc>
        <w:tc>
          <w:tcPr>
            <w:tcW w:w="853" w:type="dxa"/>
            <w:noWrap/>
            <w:vAlign w:val="center"/>
          </w:tcPr>
          <w:p w14:paraId="662148BA">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3D56A9A1">
            <w:pPr>
              <w:pStyle w:val="22"/>
              <w:spacing w:line="300" w:lineRule="exact"/>
              <w:rPr>
                <w:rFonts w:cs="Times New Roman"/>
                <w:sz w:val="21"/>
                <w:szCs w:val="21"/>
              </w:rPr>
            </w:pPr>
            <w:r>
              <w:rPr>
                <w:rFonts w:cs="Times New Roman"/>
                <w:sz w:val="21"/>
                <w:szCs w:val="21"/>
              </w:rPr>
              <w:t>完成上级管控目标</w:t>
            </w:r>
          </w:p>
        </w:tc>
        <w:tc>
          <w:tcPr>
            <w:tcW w:w="1080" w:type="dxa"/>
            <w:noWrap/>
            <w:vAlign w:val="center"/>
          </w:tcPr>
          <w:p w14:paraId="68053470">
            <w:pPr>
              <w:pStyle w:val="22"/>
              <w:spacing w:line="300" w:lineRule="exact"/>
              <w:rPr>
                <w:rFonts w:cs="Times New Roman"/>
                <w:sz w:val="21"/>
                <w:szCs w:val="21"/>
              </w:rPr>
            </w:pPr>
            <w:r>
              <w:rPr>
                <w:rFonts w:cs="Times New Roman"/>
                <w:sz w:val="21"/>
                <w:szCs w:val="21"/>
              </w:rPr>
              <w:t>完成上级管控目标</w:t>
            </w:r>
          </w:p>
        </w:tc>
        <w:tc>
          <w:tcPr>
            <w:tcW w:w="1162" w:type="dxa"/>
            <w:noWrap/>
            <w:vAlign w:val="center"/>
          </w:tcPr>
          <w:p w14:paraId="4409E4FC">
            <w:pPr>
              <w:pStyle w:val="22"/>
              <w:spacing w:line="300" w:lineRule="exact"/>
              <w:rPr>
                <w:rFonts w:cs="Times New Roman"/>
                <w:sz w:val="21"/>
                <w:szCs w:val="21"/>
              </w:rPr>
            </w:pPr>
            <w:r>
              <w:rPr>
                <w:rFonts w:cs="Times New Roman"/>
                <w:sz w:val="21"/>
                <w:szCs w:val="21"/>
              </w:rPr>
              <w:t>完成上级管控目标</w:t>
            </w:r>
          </w:p>
        </w:tc>
      </w:tr>
      <w:tr w14:paraId="4CC8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restart"/>
            <w:noWrap/>
            <w:vAlign w:val="center"/>
          </w:tcPr>
          <w:p w14:paraId="590D484B">
            <w:pPr>
              <w:pStyle w:val="22"/>
              <w:spacing w:line="300" w:lineRule="exact"/>
              <w:rPr>
                <w:rFonts w:cs="Times New Roman"/>
                <w:sz w:val="21"/>
                <w:szCs w:val="21"/>
              </w:rPr>
            </w:pPr>
            <w:r>
              <w:rPr>
                <w:rFonts w:cs="Times New Roman"/>
                <w:sz w:val="21"/>
                <w:szCs w:val="21"/>
              </w:rPr>
              <w:t>生态经济</w:t>
            </w:r>
          </w:p>
        </w:tc>
        <w:tc>
          <w:tcPr>
            <w:tcW w:w="828" w:type="dxa"/>
            <w:vMerge w:val="restart"/>
            <w:noWrap/>
            <w:vAlign w:val="center"/>
          </w:tcPr>
          <w:p w14:paraId="5602D68B">
            <w:pPr>
              <w:pStyle w:val="22"/>
              <w:spacing w:line="300" w:lineRule="exact"/>
              <w:rPr>
                <w:rFonts w:cs="Times New Roman"/>
                <w:sz w:val="21"/>
                <w:szCs w:val="21"/>
              </w:rPr>
            </w:pPr>
            <w:r>
              <w:rPr>
                <w:rFonts w:cs="Times New Roman"/>
                <w:sz w:val="21"/>
                <w:szCs w:val="21"/>
              </w:rPr>
              <w:t>（六）</w:t>
            </w:r>
          </w:p>
          <w:p w14:paraId="6954FB6A">
            <w:pPr>
              <w:pStyle w:val="22"/>
              <w:spacing w:line="300" w:lineRule="exact"/>
              <w:rPr>
                <w:rFonts w:cs="Times New Roman"/>
                <w:sz w:val="21"/>
                <w:szCs w:val="21"/>
              </w:rPr>
            </w:pPr>
            <w:r>
              <w:rPr>
                <w:rFonts w:cs="Times New Roman"/>
                <w:sz w:val="21"/>
                <w:szCs w:val="21"/>
              </w:rPr>
              <w:t>资源节约与</w:t>
            </w:r>
          </w:p>
          <w:p w14:paraId="368A44B4">
            <w:pPr>
              <w:pStyle w:val="22"/>
              <w:spacing w:line="300" w:lineRule="exact"/>
              <w:rPr>
                <w:rFonts w:cs="Times New Roman"/>
                <w:sz w:val="21"/>
                <w:szCs w:val="21"/>
              </w:rPr>
            </w:pPr>
            <w:r>
              <w:rPr>
                <w:rFonts w:cs="Times New Roman"/>
                <w:sz w:val="21"/>
                <w:szCs w:val="21"/>
              </w:rPr>
              <w:t>利用</w:t>
            </w:r>
          </w:p>
        </w:tc>
        <w:tc>
          <w:tcPr>
            <w:tcW w:w="440" w:type="dxa"/>
            <w:noWrap/>
            <w:vAlign w:val="center"/>
          </w:tcPr>
          <w:p w14:paraId="50616A5E">
            <w:pPr>
              <w:pStyle w:val="22"/>
              <w:spacing w:line="300" w:lineRule="exact"/>
              <w:rPr>
                <w:rFonts w:cs="Times New Roman"/>
                <w:sz w:val="21"/>
                <w:szCs w:val="21"/>
              </w:rPr>
            </w:pPr>
            <w:r>
              <w:rPr>
                <w:rFonts w:cs="Times New Roman"/>
                <w:sz w:val="21"/>
                <w:szCs w:val="21"/>
              </w:rPr>
              <w:t>18</w:t>
            </w:r>
          </w:p>
        </w:tc>
        <w:tc>
          <w:tcPr>
            <w:tcW w:w="2723" w:type="dxa"/>
            <w:noWrap/>
            <w:vAlign w:val="center"/>
          </w:tcPr>
          <w:p w14:paraId="31EC412E">
            <w:pPr>
              <w:pStyle w:val="22"/>
              <w:spacing w:line="300" w:lineRule="exact"/>
              <w:jc w:val="both"/>
              <w:rPr>
                <w:rFonts w:cs="Times New Roman"/>
                <w:sz w:val="21"/>
                <w:szCs w:val="21"/>
              </w:rPr>
            </w:pPr>
            <w:r>
              <w:rPr>
                <w:rFonts w:cs="Times New Roman"/>
                <w:sz w:val="21"/>
                <w:szCs w:val="21"/>
              </w:rPr>
              <w:t>单位地区生产总值能耗</w:t>
            </w:r>
          </w:p>
        </w:tc>
        <w:tc>
          <w:tcPr>
            <w:tcW w:w="622" w:type="dxa"/>
            <w:noWrap/>
            <w:vAlign w:val="center"/>
          </w:tcPr>
          <w:p w14:paraId="77133C9D">
            <w:pPr>
              <w:pStyle w:val="22"/>
              <w:spacing w:line="300" w:lineRule="exact"/>
              <w:rPr>
                <w:rFonts w:cs="Times New Roman"/>
                <w:sz w:val="21"/>
                <w:szCs w:val="21"/>
              </w:rPr>
            </w:pPr>
            <w:r>
              <w:rPr>
                <w:rFonts w:cs="Times New Roman"/>
                <w:sz w:val="21"/>
                <w:szCs w:val="21"/>
              </w:rPr>
              <w:t>吨标准煤/万元</w:t>
            </w:r>
          </w:p>
        </w:tc>
        <w:tc>
          <w:tcPr>
            <w:tcW w:w="1100" w:type="dxa"/>
            <w:noWrap/>
            <w:vAlign w:val="center"/>
          </w:tcPr>
          <w:p w14:paraId="225D7843">
            <w:pPr>
              <w:pStyle w:val="22"/>
              <w:spacing w:line="300" w:lineRule="exact"/>
              <w:rPr>
                <w:rFonts w:cs="Times New Roman"/>
                <w:sz w:val="21"/>
                <w:szCs w:val="21"/>
              </w:rPr>
            </w:pPr>
            <w:r>
              <w:rPr>
                <w:rFonts w:cs="Times New Roman"/>
                <w:sz w:val="21"/>
                <w:szCs w:val="21"/>
              </w:rPr>
              <w:t>完成上级规定的目标任务；保持稳定或持续改善</w:t>
            </w:r>
          </w:p>
        </w:tc>
        <w:tc>
          <w:tcPr>
            <w:tcW w:w="1100" w:type="dxa"/>
            <w:noWrap/>
            <w:vAlign w:val="center"/>
          </w:tcPr>
          <w:p w14:paraId="69F86E7C">
            <w:pPr>
              <w:pStyle w:val="22"/>
              <w:spacing w:line="300" w:lineRule="exact"/>
              <w:rPr>
                <w:rFonts w:cs="Times New Roman"/>
                <w:sz w:val="21"/>
                <w:szCs w:val="21"/>
              </w:rPr>
            </w:pPr>
            <w:r>
              <w:rPr>
                <w:rFonts w:cs="Times New Roman"/>
                <w:sz w:val="21"/>
                <w:szCs w:val="21"/>
              </w:rPr>
              <w:t>完成上级规定的目标任务；保持稳定或持续改善</w:t>
            </w:r>
          </w:p>
        </w:tc>
        <w:tc>
          <w:tcPr>
            <w:tcW w:w="1034" w:type="dxa"/>
            <w:noWrap/>
            <w:vAlign w:val="center"/>
          </w:tcPr>
          <w:p w14:paraId="3F3F3285">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23DC0100">
            <w:pPr>
              <w:pStyle w:val="22"/>
              <w:spacing w:line="300" w:lineRule="exact"/>
              <w:rPr>
                <w:rFonts w:cs="Times New Roman"/>
                <w:sz w:val="21"/>
                <w:szCs w:val="21"/>
              </w:rPr>
            </w:pPr>
            <w:r>
              <w:rPr>
                <w:rFonts w:cs="Times New Roman"/>
                <w:sz w:val="21"/>
                <w:szCs w:val="21"/>
              </w:rPr>
              <w:t>0.549吨标煤/万元（2019年），完成上级规定目标任务</w:t>
            </w:r>
          </w:p>
        </w:tc>
        <w:tc>
          <w:tcPr>
            <w:tcW w:w="853" w:type="dxa"/>
            <w:noWrap/>
            <w:vAlign w:val="center"/>
          </w:tcPr>
          <w:p w14:paraId="5EB67BB8">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0F57D0B9">
            <w:pPr>
              <w:pStyle w:val="22"/>
              <w:spacing w:line="300" w:lineRule="exact"/>
              <w:rPr>
                <w:rFonts w:cs="Times New Roman"/>
                <w:sz w:val="21"/>
                <w:szCs w:val="21"/>
              </w:rPr>
            </w:pPr>
            <w:r>
              <w:rPr>
                <w:rFonts w:cs="Times New Roman"/>
                <w:sz w:val="21"/>
                <w:szCs w:val="21"/>
              </w:rPr>
              <w:t>完成上级规定的目标任务；保持稳定或持续改善</w:t>
            </w:r>
          </w:p>
        </w:tc>
        <w:tc>
          <w:tcPr>
            <w:tcW w:w="1080" w:type="dxa"/>
            <w:noWrap/>
            <w:vAlign w:val="center"/>
          </w:tcPr>
          <w:p w14:paraId="0B95134A">
            <w:pPr>
              <w:pStyle w:val="22"/>
              <w:spacing w:line="300" w:lineRule="exact"/>
              <w:rPr>
                <w:rFonts w:cs="Times New Roman"/>
                <w:sz w:val="21"/>
                <w:szCs w:val="21"/>
              </w:rPr>
            </w:pPr>
            <w:r>
              <w:rPr>
                <w:rFonts w:cs="Times New Roman"/>
                <w:sz w:val="21"/>
                <w:szCs w:val="21"/>
              </w:rPr>
              <w:t>完成上级规定的目标任务；保持稳定或持续改善</w:t>
            </w:r>
          </w:p>
        </w:tc>
        <w:tc>
          <w:tcPr>
            <w:tcW w:w="1162" w:type="dxa"/>
            <w:noWrap/>
            <w:vAlign w:val="center"/>
          </w:tcPr>
          <w:p w14:paraId="31BF109F">
            <w:pPr>
              <w:pStyle w:val="22"/>
              <w:spacing w:line="300" w:lineRule="exact"/>
              <w:rPr>
                <w:rFonts w:cs="Times New Roman"/>
                <w:sz w:val="21"/>
                <w:szCs w:val="21"/>
              </w:rPr>
            </w:pPr>
            <w:r>
              <w:rPr>
                <w:rFonts w:cs="Times New Roman"/>
                <w:sz w:val="21"/>
                <w:szCs w:val="21"/>
              </w:rPr>
              <w:t>完成上级规定的目标任务；保持稳定或持续改善</w:t>
            </w:r>
          </w:p>
        </w:tc>
      </w:tr>
      <w:tr w14:paraId="3685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581AA119">
            <w:pPr>
              <w:pStyle w:val="22"/>
              <w:spacing w:line="300" w:lineRule="exact"/>
              <w:rPr>
                <w:rFonts w:cs="Times New Roman"/>
                <w:sz w:val="21"/>
                <w:szCs w:val="21"/>
              </w:rPr>
            </w:pPr>
          </w:p>
        </w:tc>
        <w:tc>
          <w:tcPr>
            <w:tcW w:w="828" w:type="dxa"/>
            <w:vMerge w:val="continue"/>
            <w:noWrap/>
            <w:vAlign w:val="center"/>
          </w:tcPr>
          <w:p w14:paraId="35BD4155">
            <w:pPr>
              <w:pStyle w:val="22"/>
              <w:spacing w:line="300" w:lineRule="exact"/>
              <w:rPr>
                <w:rFonts w:cs="Times New Roman"/>
                <w:sz w:val="21"/>
                <w:szCs w:val="21"/>
              </w:rPr>
            </w:pPr>
          </w:p>
        </w:tc>
        <w:tc>
          <w:tcPr>
            <w:tcW w:w="440" w:type="dxa"/>
            <w:noWrap/>
            <w:vAlign w:val="center"/>
          </w:tcPr>
          <w:p w14:paraId="539EEB37">
            <w:pPr>
              <w:pStyle w:val="22"/>
              <w:spacing w:line="300" w:lineRule="exact"/>
              <w:rPr>
                <w:rFonts w:cs="Times New Roman"/>
                <w:sz w:val="21"/>
                <w:szCs w:val="21"/>
              </w:rPr>
            </w:pPr>
            <w:r>
              <w:rPr>
                <w:rFonts w:cs="Times New Roman"/>
                <w:sz w:val="21"/>
                <w:szCs w:val="21"/>
              </w:rPr>
              <w:t>19</w:t>
            </w:r>
          </w:p>
        </w:tc>
        <w:tc>
          <w:tcPr>
            <w:tcW w:w="2723" w:type="dxa"/>
            <w:noWrap/>
            <w:vAlign w:val="center"/>
          </w:tcPr>
          <w:p w14:paraId="0AF2429A">
            <w:pPr>
              <w:pStyle w:val="22"/>
              <w:spacing w:line="300" w:lineRule="exact"/>
              <w:jc w:val="both"/>
              <w:rPr>
                <w:rFonts w:cs="Times New Roman"/>
                <w:sz w:val="21"/>
                <w:szCs w:val="21"/>
              </w:rPr>
            </w:pPr>
            <w:r>
              <w:rPr>
                <w:rFonts w:cs="Times New Roman"/>
                <w:sz w:val="21"/>
                <w:szCs w:val="21"/>
              </w:rPr>
              <w:t>单位地区生产总值用水量</w:t>
            </w:r>
          </w:p>
        </w:tc>
        <w:tc>
          <w:tcPr>
            <w:tcW w:w="622" w:type="dxa"/>
            <w:noWrap/>
            <w:vAlign w:val="center"/>
          </w:tcPr>
          <w:p w14:paraId="0E1EC470">
            <w:pPr>
              <w:pStyle w:val="22"/>
              <w:spacing w:line="300" w:lineRule="exact"/>
              <w:rPr>
                <w:rFonts w:cs="Times New Roman"/>
                <w:sz w:val="21"/>
                <w:szCs w:val="21"/>
              </w:rPr>
            </w:pPr>
            <w:r>
              <w:rPr>
                <w:rFonts w:cs="Times New Roman"/>
                <w:sz w:val="21"/>
                <w:szCs w:val="21"/>
              </w:rPr>
              <w:t>立方米</w:t>
            </w:r>
          </w:p>
          <w:p w14:paraId="42ACAA70">
            <w:pPr>
              <w:pStyle w:val="22"/>
              <w:spacing w:line="300" w:lineRule="exact"/>
              <w:rPr>
                <w:rFonts w:cs="Times New Roman"/>
                <w:sz w:val="21"/>
                <w:szCs w:val="21"/>
              </w:rPr>
            </w:pPr>
            <w:r>
              <w:rPr>
                <w:rFonts w:cs="Times New Roman"/>
                <w:sz w:val="21"/>
                <w:szCs w:val="21"/>
              </w:rPr>
              <w:t>/万元</w:t>
            </w:r>
          </w:p>
        </w:tc>
        <w:tc>
          <w:tcPr>
            <w:tcW w:w="1100" w:type="dxa"/>
            <w:noWrap/>
            <w:vAlign w:val="center"/>
          </w:tcPr>
          <w:p w14:paraId="1BCF7DA6">
            <w:pPr>
              <w:pStyle w:val="22"/>
              <w:spacing w:line="300" w:lineRule="exact"/>
              <w:rPr>
                <w:rFonts w:cs="Times New Roman"/>
                <w:sz w:val="21"/>
                <w:szCs w:val="21"/>
              </w:rPr>
            </w:pPr>
            <w:r>
              <w:rPr>
                <w:rFonts w:cs="Times New Roman"/>
                <w:sz w:val="21"/>
                <w:szCs w:val="21"/>
              </w:rPr>
              <w:t>完成上级规定的目标任务；保持稳定或持续改善</w:t>
            </w:r>
          </w:p>
        </w:tc>
        <w:tc>
          <w:tcPr>
            <w:tcW w:w="1100" w:type="dxa"/>
            <w:noWrap/>
            <w:vAlign w:val="center"/>
          </w:tcPr>
          <w:p w14:paraId="7F857F72">
            <w:pPr>
              <w:pStyle w:val="22"/>
              <w:spacing w:line="300" w:lineRule="exact"/>
              <w:rPr>
                <w:rFonts w:cs="Times New Roman"/>
                <w:sz w:val="21"/>
                <w:szCs w:val="21"/>
              </w:rPr>
            </w:pPr>
            <w:r>
              <w:rPr>
                <w:rFonts w:cs="Times New Roman"/>
                <w:sz w:val="21"/>
                <w:szCs w:val="21"/>
              </w:rPr>
              <w:t>完成上级规定的目标任务；保持稳定或持续改善</w:t>
            </w:r>
          </w:p>
        </w:tc>
        <w:tc>
          <w:tcPr>
            <w:tcW w:w="1034" w:type="dxa"/>
            <w:noWrap/>
            <w:vAlign w:val="center"/>
          </w:tcPr>
          <w:p w14:paraId="3523E2F2">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1EF5C317">
            <w:pPr>
              <w:widowControl/>
              <w:snapToGrid w:val="0"/>
              <w:spacing w:line="300" w:lineRule="exact"/>
              <w:ind w:firstLine="0" w:firstLineChars="0"/>
              <w:jc w:val="center"/>
              <w:rPr>
                <w:rFonts w:cs="Times New Roman"/>
                <w:bCs/>
                <w:sz w:val="21"/>
                <w:szCs w:val="21"/>
              </w:rPr>
            </w:pPr>
            <w:r>
              <w:rPr>
                <w:rFonts w:cs="Times New Roman"/>
                <w:bCs/>
                <w:sz w:val="21"/>
                <w:szCs w:val="21"/>
              </w:rPr>
              <w:t>71.72m</w:t>
            </w:r>
            <w:r>
              <w:rPr>
                <w:rFonts w:cs="Times New Roman"/>
                <w:bCs/>
                <w:sz w:val="21"/>
                <w:szCs w:val="21"/>
                <w:vertAlign w:val="superscript"/>
              </w:rPr>
              <w:t>3</w:t>
            </w:r>
            <w:r>
              <w:rPr>
                <w:rFonts w:cs="Times New Roman"/>
                <w:bCs/>
                <w:sz w:val="21"/>
                <w:szCs w:val="21"/>
              </w:rPr>
              <w:t>/万元（2019年）；完成上级规定目标任务</w:t>
            </w:r>
          </w:p>
        </w:tc>
        <w:tc>
          <w:tcPr>
            <w:tcW w:w="853" w:type="dxa"/>
            <w:noWrap/>
            <w:vAlign w:val="center"/>
          </w:tcPr>
          <w:p w14:paraId="5B83C862">
            <w:pPr>
              <w:widowControl/>
              <w:snapToGrid w:val="0"/>
              <w:spacing w:line="300" w:lineRule="exact"/>
              <w:ind w:firstLine="0" w:firstLineChars="0"/>
              <w:jc w:val="center"/>
              <w:rPr>
                <w:rFonts w:cs="Times New Roman"/>
                <w:bCs/>
                <w:sz w:val="21"/>
                <w:szCs w:val="21"/>
              </w:rPr>
            </w:pPr>
            <w:r>
              <w:rPr>
                <w:rFonts w:cs="Times New Roman"/>
                <w:bCs/>
                <w:sz w:val="21"/>
                <w:szCs w:val="21"/>
              </w:rPr>
              <w:t>达标</w:t>
            </w:r>
          </w:p>
        </w:tc>
        <w:tc>
          <w:tcPr>
            <w:tcW w:w="1110" w:type="dxa"/>
            <w:noWrap/>
            <w:vAlign w:val="center"/>
          </w:tcPr>
          <w:p w14:paraId="0FABBB85">
            <w:pPr>
              <w:widowControl/>
              <w:snapToGrid w:val="0"/>
              <w:spacing w:line="300" w:lineRule="exact"/>
              <w:ind w:firstLine="0" w:firstLineChars="0"/>
              <w:jc w:val="center"/>
              <w:rPr>
                <w:rFonts w:cs="Times New Roman"/>
                <w:bCs/>
                <w:sz w:val="21"/>
                <w:szCs w:val="21"/>
              </w:rPr>
            </w:pPr>
            <w:r>
              <w:rPr>
                <w:rFonts w:cs="Times New Roman"/>
                <w:bCs/>
                <w:sz w:val="21"/>
                <w:szCs w:val="21"/>
              </w:rPr>
              <w:t>完成上级规定的目标任务；保持稳定或持续改善</w:t>
            </w:r>
          </w:p>
        </w:tc>
        <w:tc>
          <w:tcPr>
            <w:tcW w:w="1080" w:type="dxa"/>
            <w:noWrap/>
            <w:vAlign w:val="center"/>
          </w:tcPr>
          <w:p w14:paraId="1D4E494F">
            <w:pPr>
              <w:spacing w:line="300" w:lineRule="exact"/>
              <w:ind w:firstLine="0" w:firstLineChars="0"/>
              <w:jc w:val="center"/>
              <w:rPr>
                <w:rFonts w:cs="Times New Roman"/>
                <w:bCs/>
                <w:sz w:val="21"/>
                <w:szCs w:val="21"/>
              </w:rPr>
            </w:pPr>
            <w:r>
              <w:rPr>
                <w:rFonts w:cs="Times New Roman"/>
                <w:bCs/>
                <w:sz w:val="21"/>
                <w:szCs w:val="21"/>
              </w:rPr>
              <w:t>完成上级规定的目标任务；保持稳定或持续改善</w:t>
            </w:r>
          </w:p>
        </w:tc>
        <w:tc>
          <w:tcPr>
            <w:tcW w:w="1162" w:type="dxa"/>
            <w:noWrap/>
            <w:vAlign w:val="center"/>
          </w:tcPr>
          <w:p w14:paraId="2B401F48">
            <w:pPr>
              <w:spacing w:line="300" w:lineRule="exact"/>
              <w:ind w:firstLine="0" w:firstLineChars="0"/>
              <w:jc w:val="center"/>
              <w:rPr>
                <w:rFonts w:cs="Times New Roman"/>
                <w:bCs/>
                <w:sz w:val="21"/>
                <w:szCs w:val="21"/>
              </w:rPr>
            </w:pPr>
            <w:r>
              <w:rPr>
                <w:rFonts w:cs="Times New Roman"/>
                <w:bCs/>
                <w:sz w:val="21"/>
                <w:szCs w:val="21"/>
              </w:rPr>
              <w:t>完成上级规定的目标任务；保持稳定或持续改善</w:t>
            </w:r>
          </w:p>
        </w:tc>
      </w:tr>
      <w:tr w14:paraId="2288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1B039776">
            <w:pPr>
              <w:pStyle w:val="22"/>
              <w:spacing w:line="300" w:lineRule="exact"/>
              <w:rPr>
                <w:rFonts w:cs="Times New Roman"/>
                <w:sz w:val="21"/>
                <w:szCs w:val="21"/>
              </w:rPr>
            </w:pPr>
          </w:p>
        </w:tc>
        <w:tc>
          <w:tcPr>
            <w:tcW w:w="828" w:type="dxa"/>
            <w:vMerge w:val="continue"/>
            <w:noWrap/>
            <w:vAlign w:val="center"/>
          </w:tcPr>
          <w:p w14:paraId="66834F9B">
            <w:pPr>
              <w:pStyle w:val="22"/>
              <w:spacing w:line="300" w:lineRule="exact"/>
              <w:rPr>
                <w:rFonts w:cs="Times New Roman"/>
                <w:sz w:val="21"/>
                <w:szCs w:val="21"/>
              </w:rPr>
            </w:pPr>
          </w:p>
        </w:tc>
        <w:tc>
          <w:tcPr>
            <w:tcW w:w="440" w:type="dxa"/>
            <w:noWrap/>
            <w:vAlign w:val="center"/>
          </w:tcPr>
          <w:p w14:paraId="6F14BEAC">
            <w:pPr>
              <w:pStyle w:val="22"/>
              <w:spacing w:line="300" w:lineRule="exact"/>
              <w:rPr>
                <w:rFonts w:cs="Times New Roman"/>
                <w:sz w:val="21"/>
                <w:szCs w:val="21"/>
              </w:rPr>
            </w:pPr>
            <w:r>
              <w:rPr>
                <w:rFonts w:cs="Times New Roman"/>
                <w:sz w:val="21"/>
                <w:szCs w:val="21"/>
              </w:rPr>
              <w:t>20</w:t>
            </w:r>
          </w:p>
        </w:tc>
        <w:tc>
          <w:tcPr>
            <w:tcW w:w="2723" w:type="dxa"/>
            <w:noWrap/>
            <w:vAlign w:val="center"/>
          </w:tcPr>
          <w:p w14:paraId="64537AEA">
            <w:pPr>
              <w:pStyle w:val="22"/>
              <w:spacing w:line="300" w:lineRule="exact"/>
              <w:jc w:val="both"/>
              <w:rPr>
                <w:rFonts w:cs="Times New Roman"/>
                <w:sz w:val="21"/>
                <w:szCs w:val="21"/>
              </w:rPr>
            </w:pPr>
            <w:r>
              <w:rPr>
                <w:rFonts w:cs="Times New Roman"/>
                <w:sz w:val="21"/>
                <w:szCs w:val="21"/>
              </w:rPr>
              <w:t>单位国内生产总值建设用地使用面积下降率</w:t>
            </w:r>
          </w:p>
        </w:tc>
        <w:tc>
          <w:tcPr>
            <w:tcW w:w="622" w:type="dxa"/>
            <w:noWrap/>
            <w:vAlign w:val="center"/>
          </w:tcPr>
          <w:p w14:paraId="1C34DAD4">
            <w:pPr>
              <w:pStyle w:val="22"/>
              <w:spacing w:line="300" w:lineRule="exact"/>
              <w:rPr>
                <w:rFonts w:cs="Times New Roman"/>
                <w:sz w:val="21"/>
                <w:szCs w:val="21"/>
              </w:rPr>
            </w:pPr>
            <w:r>
              <w:rPr>
                <w:rFonts w:cs="Times New Roman"/>
                <w:sz w:val="21"/>
                <w:szCs w:val="21"/>
              </w:rPr>
              <w:t>%</w:t>
            </w:r>
          </w:p>
        </w:tc>
        <w:tc>
          <w:tcPr>
            <w:tcW w:w="1100" w:type="dxa"/>
            <w:noWrap/>
            <w:vAlign w:val="center"/>
          </w:tcPr>
          <w:p w14:paraId="5054C9A9">
            <w:pPr>
              <w:pStyle w:val="22"/>
              <w:spacing w:line="300" w:lineRule="exact"/>
              <w:rPr>
                <w:rFonts w:cs="Times New Roman"/>
                <w:sz w:val="21"/>
                <w:szCs w:val="21"/>
              </w:rPr>
            </w:pPr>
            <w:r>
              <w:rPr>
                <w:rFonts w:cs="Times New Roman"/>
                <w:sz w:val="21"/>
                <w:szCs w:val="21"/>
              </w:rPr>
              <w:t>≥4</w:t>
            </w:r>
          </w:p>
        </w:tc>
        <w:tc>
          <w:tcPr>
            <w:tcW w:w="1100" w:type="dxa"/>
            <w:noWrap/>
            <w:vAlign w:val="center"/>
          </w:tcPr>
          <w:p w14:paraId="4BF4BC76">
            <w:pPr>
              <w:pStyle w:val="22"/>
              <w:spacing w:line="300" w:lineRule="exact"/>
              <w:rPr>
                <w:rFonts w:cs="Times New Roman"/>
                <w:sz w:val="21"/>
                <w:szCs w:val="21"/>
              </w:rPr>
            </w:pPr>
            <w:r>
              <w:rPr>
                <w:rFonts w:cs="Times New Roman"/>
                <w:sz w:val="21"/>
                <w:szCs w:val="21"/>
              </w:rPr>
              <w:t>≥4.5</w:t>
            </w:r>
          </w:p>
        </w:tc>
        <w:tc>
          <w:tcPr>
            <w:tcW w:w="1034" w:type="dxa"/>
            <w:noWrap/>
            <w:vAlign w:val="center"/>
          </w:tcPr>
          <w:p w14:paraId="47AD31D4">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2EBDC1D3">
            <w:pPr>
              <w:widowControl/>
              <w:snapToGrid w:val="0"/>
              <w:spacing w:line="300" w:lineRule="exact"/>
              <w:ind w:firstLine="0" w:firstLineChars="0"/>
              <w:jc w:val="center"/>
              <w:rPr>
                <w:rFonts w:cs="Times New Roman"/>
                <w:bCs/>
                <w:sz w:val="21"/>
                <w:szCs w:val="21"/>
              </w:rPr>
            </w:pPr>
            <w:r>
              <w:rPr>
                <w:rFonts w:cs="Times New Roman"/>
                <w:bCs/>
                <w:sz w:val="21"/>
                <w:szCs w:val="21"/>
              </w:rPr>
              <w:t>2.87</w:t>
            </w:r>
          </w:p>
        </w:tc>
        <w:tc>
          <w:tcPr>
            <w:tcW w:w="853" w:type="dxa"/>
            <w:noWrap/>
            <w:vAlign w:val="center"/>
          </w:tcPr>
          <w:p w14:paraId="4096362A">
            <w:pPr>
              <w:widowControl/>
              <w:snapToGrid w:val="0"/>
              <w:spacing w:line="300" w:lineRule="exact"/>
              <w:ind w:firstLine="0" w:firstLineChars="0"/>
              <w:jc w:val="center"/>
              <w:rPr>
                <w:rFonts w:cs="Times New Roman"/>
                <w:bCs/>
                <w:sz w:val="21"/>
                <w:szCs w:val="21"/>
              </w:rPr>
            </w:pPr>
            <w:r>
              <w:rPr>
                <w:rFonts w:cs="Times New Roman"/>
                <w:sz w:val="21"/>
                <w:szCs w:val="21"/>
              </w:rPr>
              <w:t>未达标</w:t>
            </w:r>
          </w:p>
        </w:tc>
        <w:tc>
          <w:tcPr>
            <w:tcW w:w="1110" w:type="dxa"/>
            <w:noWrap/>
            <w:vAlign w:val="center"/>
          </w:tcPr>
          <w:p w14:paraId="154570AC">
            <w:pPr>
              <w:pStyle w:val="23"/>
              <w:spacing w:line="300" w:lineRule="exact"/>
              <w:rPr>
                <w:rFonts w:eastAsia="仿宋_GB2312"/>
                <w:bCs/>
                <w:szCs w:val="21"/>
              </w:rPr>
            </w:pPr>
            <w:r>
              <w:rPr>
                <w:rFonts w:eastAsia="仿宋_GB2312"/>
                <w:bCs/>
                <w:szCs w:val="21"/>
              </w:rPr>
              <w:t>4</w:t>
            </w:r>
          </w:p>
        </w:tc>
        <w:tc>
          <w:tcPr>
            <w:tcW w:w="1080" w:type="dxa"/>
            <w:noWrap/>
            <w:vAlign w:val="center"/>
          </w:tcPr>
          <w:p w14:paraId="2DF68219">
            <w:pPr>
              <w:pStyle w:val="23"/>
              <w:spacing w:line="300" w:lineRule="exact"/>
              <w:rPr>
                <w:rFonts w:eastAsia="仿宋_GB2312"/>
                <w:bCs/>
                <w:szCs w:val="21"/>
              </w:rPr>
            </w:pPr>
            <w:r>
              <w:rPr>
                <w:rFonts w:eastAsia="仿宋_GB2312"/>
                <w:bCs/>
                <w:szCs w:val="21"/>
              </w:rPr>
              <w:t>4.5</w:t>
            </w:r>
          </w:p>
        </w:tc>
        <w:tc>
          <w:tcPr>
            <w:tcW w:w="1162" w:type="dxa"/>
            <w:noWrap/>
            <w:vAlign w:val="center"/>
          </w:tcPr>
          <w:p w14:paraId="166F9EE6">
            <w:pPr>
              <w:spacing w:line="300" w:lineRule="exact"/>
              <w:ind w:firstLine="0" w:firstLineChars="0"/>
              <w:jc w:val="center"/>
              <w:rPr>
                <w:rFonts w:cs="Times New Roman"/>
                <w:bCs/>
                <w:sz w:val="21"/>
                <w:szCs w:val="21"/>
              </w:rPr>
            </w:pPr>
            <w:r>
              <w:rPr>
                <w:rFonts w:cs="Times New Roman"/>
                <w:bCs/>
                <w:sz w:val="21"/>
                <w:szCs w:val="21"/>
              </w:rPr>
              <w:t>4.5</w:t>
            </w:r>
          </w:p>
        </w:tc>
      </w:tr>
      <w:tr w14:paraId="1CB4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7B8339E4">
            <w:pPr>
              <w:pStyle w:val="22"/>
              <w:spacing w:line="300" w:lineRule="exact"/>
              <w:rPr>
                <w:rFonts w:cs="Times New Roman"/>
                <w:sz w:val="21"/>
                <w:szCs w:val="21"/>
              </w:rPr>
            </w:pPr>
          </w:p>
        </w:tc>
        <w:tc>
          <w:tcPr>
            <w:tcW w:w="828" w:type="dxa"/>
            <w:vMerge w:val="continue"/>
            <w:noWrap/>
            <w:vAlign w:val="center"/>
          </w:tcPr>
          <w:p w14:paraId="4D3369EC">
            <w:pPr>
              <w:pStyle w:val="22"/>
              <w:spacing w:line="300" w:lineRule="exact"/>
              <w:rPr>
                <w:rFonts w:cs="Times New Roman"/>
                <w:sz w:val="21"/>
                <w:szCs w:val="21"/>
              </w:rPr>
            </w:pPr>
          </w:p>
        </w:tc>
        <w:tc>
          <w:tcPr>
            <w:tcW w:w="440" w:type="dxa"/>
            <w:noWrap/>
            <w:vAlign w:val="center"/>
          </w:tcPr>
          <w:p w14:paraId="7813142F">
            <w:pPr>
              <w:pStyle w:val="22"/>
              <w:spacing w:line="300" w:lineRule="exact"/>
              <w:rPr>
                <w:rFonts w:cs="Times New Roman"/>
                <w:sz w:val="21"/>
                <w:szCs w:val="21"/>
              </w:rPr>
            </w:pPr>
            <w:r>
              <w:rPr>
                <w:rFonts w:cs="Times New Roman"/>
                <w:sz w:val="21"/>
                <w:szCs w:val="21"/>
              </w:rPr>
              <w:t>21</w:t>
            </w:r>
          </w:p>
        </w:tc>
        <w:tc>
          <w:tcPr>
            <w:tcW w:w="2723" w:type="dxa"/>
            <w:noWrap/>
            <w:vAlign w:val="center"/>
          </w:tcPr>
          <w:p w14:paraId="09A30924">
            <w:pPr>
              <w:adjustRightInd w:val="0"/>
              <w:snapToGrid w:val="0"/>
              <w:spacing w:line="300" w:lineRule="exact"/>
              <w:ind w:firstLine="0" w:firstLineChars="0"/>
              <w:rPr>
                <w:rFonts w:cs="Times New Roman"/>
                <w:bCs/>
                <w:spacing w:val="-8"/>
                <w:sz w:val="21"/>
                <w:szCs w:val="21"/>
              </w:rPr>
            </w:pPr>
            <w:r>
              <w:rPr>
                <w:rFonts w:cs="Times New Roman"/>
                <w:bCs/>
                <w:spacing w:val="-8"/>
                <w:sz w:val="21"/>
                <w:szCs w:val="21"/>
              </w:rPr>
              <w:t>三大粮食作物化肥农药利用率</w:t>
            </w:r>
          </w:p>
          <w:p w14:paraId="25FE5C9C">
            <w:pPr>
              <w:adjustRightInd w:val="0"/>
              <w:snapToGrid w:val="0"/>
              <w:spacing w:line="300" w:lineRule="exact"/>
              <w:ind w:firstLine="0" w:firstLineChars="0"/>
              <w:rPr>
                <w:rFonts w:cs="Times New Roman"/>
                <w:bCs/>
                <w:sz w:val="21"/>
                <w:szCs w:val="21"/>
              </w:rPr>
            </w:pPr>
            <w:r>
              <w:rPr>
                <w:rFonts w:cs="Times New Roman"/>
                <w:bCs/>
                <w:sz w:val="21"/>
                <w:szCs w:val="21"/>
              </w:rPr>
              <w:t>化肥利用率</w:t>
            </w:r>
          </w:p>
          <w:p w14:paraId="35E0B66E">
            <w:pPr>
              <w:adjustRightInd w:val="0"/>
              <w:snapToGrid w:val="0"/>
              <w:spacing w:line="300" w:lineRule="exact"/>
              <w:ind w:firstLine="0" w:firstLineChars="0"/>
              <w:rPr>
                <w:rFonts w:cs="Times New Roman"/>
                <w:bCs/>
                <w:sz w:val="21"/>
                <w:szCs w:val="21"/>
              </w:rPr>
            </w:pPr>
            <w:r>
              <w:rPr>
                <w:rFonts w:cs="Times New Roman"/>
                <w:bCs/>
                <w:sz w:val="21"/>
                <w:szCs w:val="21"/>
              </w:rPr>
              <w:t>农药利用率</w:t>
            </w:r>
          </w:p>
        </w:tc>
        <w:tc>
          <w:tcPr>
            <w:tcW w:w="622" w:type="dxa"/>
            <w:noWrap/>
            <w:vAlign w:val="center"/>
          </w:tcPr>
          <w:p w14:paraId="623B9EAA">
            <w:pPr>
              <w:adjustRightInd w:val="0"/>
              <w:snapToGrid w:val="0"/>
              <w:spacing w:line="300" w:lineRule="exact"/>
              <w:ind w:firstLine="0" w:firstLineChars="0"/>
              <w:jc w:val="center"/>
              <w:rPr>
                <w:rFonts w:cs="Times New Roman"/>
                <w:bCs/>
                <w:sz w:val="21"/>
                <w:szCs w:val="21"/>
              </w:rPr>
            </w:pPr>
            <w:r>
              <w:rPr>
                <w:rFonts w:cs="Times New Roman"/>
                <w:bCs/>
                <w:sz w:val="21"/>
                <w:szCs w:val="21"/>
              </w:rPr>
              <w:t>%</w:t>
            </w:r>
          </w:p>
        </w:tc>
        <w:tc>
          <w:tcPr>
            <w:tcW w:w="1100" w:type="dxa"/>
            <w:noWrap/>
            <w:vAlign w:val="center"/>
          </w:tcPr>
          <w:p w14:paraId="352629C3">
            <w:pPr>
              <w:adjustRightInd w:val="0"/>
              <w:snapToGrid w:val="0"/>
              <w:spacing w:line="300" w:lineRule="exact"/>
              <w:ind w:firstLine="420"/>
              <w:rPr>
                <w:rFonts w:cs="Times New Roman"/>
                <w:bCs/>
                <w:sz w:val="21"/>
                <w:szCs w:val="21"/>
              </w:rPr>
            </w:pPr>
            <w:r>
              <w:rPr>
                <w:rFonts w:cs="Times New Roman"/>
                <w:bCs/>
                <w:sz w:val="21"/>
                <w:szCs w:val="21"/>
              </w:rPr>
              <w:t>—</w:t>
            </w:r>
          </w:p>
        </w:tc>
        <w:tc>
          <w:tcPr>
            <w:tcW w:w="1100" w:type="dxa"/>
            <w:noWrap/>
            <w:vAlign w:val="center"/>
          </w:tcPr>
          <w:p w14:paraId="5EA95311">
            <w:pPr>
              <w:pStyle w:val="22"/>
              <w:spacing w:line="300" w:lineRule="exact"/>
              <w:rPr>
                <w:rFonts w:cs="Times New Roman"/>
                <w:sz w:val="21"/>
                <w:szCs w:val="21"/>
              </w:rPr>
            </w:pPr>
            <w:r>
              <w:rPr>
                <w:rFonts w:cs="Times New Roman"/>
                <w:sz w:val="21"/>
                <w:szCs w:val="21"/>
              </w:rPr>
              <w:t>≥43</w:t>
            </w:r>
          </w:p>
        </w:tc>
        <w:tc>
          <w:tcPr>
            <w:tcW w:w="1034" w:type="dxa"/>
            <w:noWrap/>
            <w:vAlign w:val="center"/>
          </w:tcPr>
          <w:p w14:paraId="1BA206BA">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1FA23F32">
            <w:pPr>
              <w:pStyle w:val="22"/>
              <w:spacing w:line="300" w:lineRule="exact"/>
              <w:rPr>
                <w:rFonts w:cs="Times New Roman"/>
                <w:sz w:val="21"/>
                <w:szCs w:val="21"/>
              </w:rPr>
            </w:pPr>
            <w:r>
              <w:rPr>
                <w:rFonts w:cs="Times New Roman"/>
                <w:sz w:val="21"/>
                <w:szCs w:val="21"/>
              </w:rPr>
              <w:t>43.5</w:t>
            </w:r>
          </w:p>
        </w:tc>
        <w:tc>
          <w:tcPr>
            <w:tcW w:w="853" w:type="dxa"/>
            <w:noWrap/>
            <w:vAlign w:val="center"/>
          </w:tcPr>
          <w:p w14:paraId="61B17D69">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45408F13">
            <w:pPr>
              <w:pStyle w:val="22"/>
              <w:spacing w:line="300" w:lineRule="exact"/>
              <w:rPr>
                <w:rFonts w:cs="Times New Roman"/>
                <w:sz w:val="21"/>
                <w:szCs w:val="21"/>
              </w:rPr>
            </w:pPr>
            <w:r>
              <w:rPr>
                <w:rFonts w:cs="Times New Roman"/>
                <w:sz w:val="21"/>
                <w:szCs w:val="21"/>
              </w:rPr>
              <w:t>43.6</w:t>
            </w:r>
          </w:p>
          <w:p w14:paraId="53E9DAEE">
            <w:pPr>
              <w:pStyle w:val="22"/>
              <w:spacing w:line="300" w:lineRule="exact"/>
              <w:rPr>
                <w:rFonts w:cs="Times New Roman"/>
                <w:sz w:val="21"/>
                <w:szCs w:val="21"/>
              </w:rPr>
            </w:pPr>
            <w:r>
              <w:rPr>
                <w:rFonts w:cs="Times New Roman"/>
                <w:sz w:val="21"/>
                <w:szCs w:val="21"/>
              </w:rPr>
              <w:t>43</w:t>
            </w:r>
          </w:p>
        </w:tc>
        <w:tc>
          <w:tcPr>
            <w:tcW w:w="1080" w:type="dxa"/>
            <w:noWrap/>
            <w:vAlign w:val="center"/>
          </w:tcPr>
          <w:p w14:paraId="1C06AB15">
            <w:pPr>
              <w:pStyle w:val="22"/>
              <w:spacing w:line="300" w:lineRule="exact"/>
              <w:rPr>
                <w:rFonts w:cs="Times New Roman"/>
                <w:sz w:val="21"/>
                <w:szCs w:val="21"/>
              </w:rPr>
            </w:pPr>
            <w:r>
              <w:rPr>
                <w:rFonts w:cs="Times New Roman"/>
                <w:sz w:val="21"/>
                <w:szCs w:val="21"/>
              </w:rPr>
              <w:t>43.8</w:t>
            </w:r>
          </w:p>
          <w:p w14:paraId="21003222">
            <w:pPr>
              <w:pStyle w:val="22"/>
              <w:spacing w:line="300" w:lineRule="exact"/>
              <w:rPr>
                <w:rFonts w:cs="Times New Roman"/>
                <w:sz w:val="21"/>
                <w:szCs w:val="21"/>
              </w:rPr>
            </w:pPr>
            <w:r>
              <w:rPr>
                <w:rFonts w:cs="Times New Roman"/>
                <w:sz w:val="21"/>
                <w:szCs w:val="21"/>
              </w:rPr>
              <w:t>43.2</w:t>
            </w:r>
          </w:p>
        </w:tc>
        <w:tc>
          <w:tcPr>
            <w:tcW w:w="1162" w:type="dxa"/>
            <w:noWrap/>
            <w:vAlign w:val="center"/>
          </w:tcPr>
          <w:p w14:paraId="468305F3">
            <w:pPr>
              <w:pStyle w:val="22"/>
              <w:spacing w:line="300" w:lineRule="exact"/>
              <w:rPr>
                <w:rFonts w:cs="Times New Roman"/>
                <w:sz w:val="21"/>
                <w:szCs w:val="21"/>
              </w:rPr>
            </w:pPr>
            <w:r>
              <w:rPr>
                <w:rFonts w:cs="Times New Roman"/>
                <w:sz w:val="21"/>
                <w:szCs w:val="21"/>
              </w:rPr>
              <w:t>44.1</w:t>
            </w:r>
          </w:p>
          <w:p w14:paraId="161A4999">
            <w:pPr>
              <w:pStyle w:val="22"/>
              <w:spacing w:line="300" w:lineRule="exact"/>
              <w:rPr>
                <w:rFonts w:cs="Times New Roman"/>
                <w:sz w:val="21"/>
                <w:szCs w:val="21"/>
              </w:rPr>
            </w:pPr>
            <w:r>
              <w:rPr>
                <w:rFonts w:cs="Times New Roman"/>
                <w:sz w:val="21"/>
                <w:szCs w:val="21"/>
              </w:rPr>
              <w:t>43.4</w:t>
            </w:r>
          </w:p>
        </w:tc>
      </w:tr>
      <w:tr w14:paraId="0CA9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restart"/>
            <w:noWrap/>
            <w:vAlign w:val="center"/>
          </w:tcPr>
          <w:p w14:paraId="17835ECD">
            <w:pPr>
              <w:pStyle w:val="22"/>
              <w:spacing w:line="300" w:lineRule="exact"/>
              <w:rPr>
                <w:rFonts w:cs="Times New Roman"/>
                <w:sz w:val="21"/>
                <w:szCs w:val="21"/>
              </w:rPr>
            </w:pPr>
          </w:p>
        </w:tc>
        <w:tc>
          <w:tcPr>
            <w:tcW w:w="828" w:type="dxa"/>
            <w:vMerge w:val="restart"/>
            <w:noWrap/>
            <w:vAlign w:val="center"/>
          </w:tcPr>
          <w:p w14:paraId="27E4E7CC">
            <w:pPr>
              <w:pStyle w:val="22"/>
              <w:spacing w:line="300" w:lineRule="exact"/>
              <w:rPr>
                <w:rFonts w:cs="Times New Roman"/>
                <w:sz w:val="21"/>
                <w:szCs w:val="21"/>
              </w:rPr>
            </w:pPr>
            <w:r>
              <w:rPr>
                <w:rFonts w:cs="Times New Roman"/>
                <w:sz w:val="21"/>
                <w:szCs w:val="21"/>
              </w:rPr>
              <w:t>（七）</w:t>
            </w:r>
          </w:p>
          <w:p w14:paraId="16D0A85D">
            <w:pPr>
              <w:pStyle w:val="22"/>
              <w:spacing w:line="300" w:lineRule="exact"/>
              <w:rPr>
                <w:rFonts w:cs="Times New Roman"/>
                <w:sz w:val="21"/>
                <w:szCs w:val="21"/>
              </w:rPr>
            </w:pPr>
            <w:r>
              <w:rPr>
                <w:rFonts w:cs="Times New Roman"/>
                <w:sz w:val="21"/>
                <w:szCs w:val="21"/>
              </w:rPr>
              <w:t>产业循环发展</w:t>
            </w:r>
          </w:p>
        </w:tc>
        <w:tc>
          <w:tcPr>
            <w:tcW w:w="440" w:type="dxa"/>
            <w:noWrap/>
            <w:vAlign w:val="center"/>
          </w:tcPr>
          <w:p w14:paraId="4FF7C7CD">
            <w:pPr>
              <w:pStyle w:val="22"/>
              <w:spacing w:line="300" w:lineRule="exact"/>
              <w:rPr>
                <w:rFonts w:cs="Times New Roman"/>
                <w:sz w:val="21"/>
                <w:szCs w:val="21"/>
              </w:rPr>
            </w:pPr>
            <w:r>
              <w:rPr>
                <w:rFonts w:cs="Times New Roman"/>
                <w:sz w:val="21"/>
                <w:szCs w:val="21"/>
              </w:rPr>
              <w:t>22</w:t>
            </w:r>
          </w:p>
        </w:tc>
        <w:tc>
          <w:tcPr>
            <w:tcW w:w="2723" w:type="dxa"/>
            <w:noWrap/>
            <w:vAlign w:val="center"/>
          </w:tcPr>
          <w:p w14:paraId="5A4596FF">
            <w:pPr>
              <w:adjustRightInd w:val="0"/>
              <w:snapToGrid w:val="0"/>
              <w:spacing w:line="280" w:lineRule="exact"/>
              <w:ind w:firstLine="0" w:firstLineChars="0"/>
              <w:rPr>
                <w:rFonts w:cs="Times New Roman"/>
                <w:bCs/>
                <w:sz w:val="21"/>
                <w:szCs w:val="21"/>
              </w:rPr>
            </w:pPr>
            <w:r>
              <w:rPr>
                <w:rFonts w:cs="Times New Roman"/>
                <w:bCs/>
                <w:sz w:val="21"/>
                <w:szCs w:val="21"/>
              </w:rPr>
              <w:t>农业废弃物综合利用率</w:t>
            </w:r>
          </w:p>
          <w:p w14:paraId="37BD5E2A">
            <w:pPr>
              <w:adjustRightInd w:val="0"/>
              <w:snapToGrid w:val="0"/>
              <w:spacing w:line="280" w:lineRule="exact"/>
              <w:ind w:firstLine="0" w:firstLineChars="0"/>
              <w:rPr>
                <w:rFonts w:cs="Times New Roman"/>
                <w:bCs/>
                <w:sz w:val="21"/>
                <w:szCs w:val="21"/>
              </w:rPr>
            </w:pPr>
            <w:r>
              <w:rPr>
                <w:rFonts w:cs="Times New Roman"/>
                <w:bCs/>
                <w:sz w:val="21"/>
                <w:szCs w:val="21"/>
              </w:rPr>
              <w:t>秸秆综合利用率</w:t>
            </w:r>
          </w:p>
          <w:p w14:paraId="7B1A4A8A">
            <w:pPr>
              <w:adjustRightInd w:val="0"/>
              <w:snapToGrid w:val="0"/>
              <w:spacing w:line="280" w:lineRule="exact"/>
              <w:ind w:firstLine="0" w:firstLineChars="0"/>
              <w:rPr>
                <w:rFonts w:cs="Times New Roman"/>
                <w:bCs/>
                <w:sz w:val="21"/>
                <w:szCs w:val="21"/>
              </w:rPr>
            </w:pPr>
            <w:r>
              <w:rPr>
                <w:rFonts w:cs="Times New Roman"/>
                <w:bCs/>
                <w:sz w:val="21"/>
                <w:szCs w:val="21"/>
              </w:rPr>
              <w:t>畜禽粪污综合利用率</w:t>
            </w:r>
          </w:p>
          <w:p w14:paraId="206E8EB7">
            <w:pPr>
              <w:adjustRightInd w:val="0"/>
              <w:snapToGrid w:val="0"/>
              <w:spacing w:line="280" w:lineRule="exact"/>
              <w:ind w:firstLine="0" w:firstLineChars="0"/>
              <w:rPr>
                <w:rFonts w:cs="Times New Roman"/>
                <w:bCs/>
                <w:sz w:val="21"/>
                <w:szCs w:val="21"/>
              </w:rPr>
            </w:pPr>
            <w:r>
              <w:rPr>
                <w:rFonts w:cs="Times New Roman"/>
                <w:bCs/>
                <w:sz w:val="21"/>
                <w:szCs w:val="21"/>
              </w:rPr>
              <w:t>农膜回收利用率</w:t>
            </w:r>
          </w:p>
        </w:tc>
        <w:tc>
          <w:tcPr>
            <w:tcW w:w="622" w:type="dxa"/>
            <w:noWrap/>
            <w:vAlign w:val="center"/>
          </w:tcPr>
          <w:p w14:paraId="57CAA0D4">
            <w:pPr>
              <w:adjustRightInd w:val="0"/>
              <w:snapToGrid w:val="0"/>
              <w:spacing w:line="280" w:lineRule="exact"/>
              <w:ind w:firstLine="0" w:firstLineChars="0"/>
              <w:jc w:val="center"/>
              <w:rPr>
                <w:rFonts w:cs="Times New Roman"/>
                <w:bCs/>
                <w:sz w:val="21"/>
                <w:szCs w:val="21"/>
              </w:rPr>
            </w:pPr>
            <w:r>
              <w:rPr>
                <w:rFonts w:cs="Times New Roman"/>
                <w:bCs/>
                <w:sz w:val="21"/>
                <w:szCs w:val="21"/>
              </w:rPr>
              <w:t>%</w:t>
            </w:r>
          </w:p>
          <w:p w14:paraId="4F670600">
            <w:pPr>
              <w:adjustRightInd w:val="0"/>
              <w:snapToGrid w:val="0"/>
              <w:spacing w:line="280" w:lineRule="exact"/>
              <w:ind w:firstLine="420"/>
              <w:jc w:val="left"/>
              <w:rPr>
                <w:rFonts w:cs="Times New Roman"/>
                <w:bCs/>
                <w:sz w:val="21"/>
                <w:szCs w:val="21"/>
              </w:rPr>
            </w:pPr>
          </w:p>
        </w:tc>
        <w:tc>
          <w:tcPr>
            <w:tcW w:w="1100" w:type="dxa"/>
            <w:noWrap/>
            <w:vAlign w:val="center"/>
          </w:tcPr>
          <w:p w14:paraId="64FFBBA6">
            <w:pPr>
              <w:adjustRightInd w:val="0"/>
              <w:snapToGrid w:val="0"/>
              <w:spacing w:line="280" w:lineRule="exact"/>
              <w:ind w:firstLine="420"/>
              <w:jc w:val="left"/>
              <w:rPr>
                <w:rFonts w:cs="Times New Roman"/>
                <w:bCs/>
                <w:sz w:val="21"/>
                <w:szCs w:val="21"/>
              </w:rPr>
            </w:pPr>
            <w:r>
              <w:rPr>
                <w:rFonts w:cs="Times New Roman"/>
                <w:bCs/>
                <w:sz w:val="21"/>
                <w:szCs w:val="21"/>
              </w:rPr>
              <w:t>≥90</w:t>
            </w:r>
          </w:p>
          <w:p w14:paraId="760B6969">
            <w:pPr>
              <w:adjustRightInd w:val="0"/>
              <w:snapToGrid w:val="0"/>
              <w:spacing w:line="280" w:lineRule="exact"/>
              <w:ind w:firstLine="420"/>
              <w:jc w:val="left"/>
              <w:rPr>
                <w:rFonts w:cs="Times New Roman"/>
                <w:bCs/>
                <w:sz w:val="21"/>
                <w:szCs w:val="21"/>
              </w:rPr>
            </w:pPr>
            <w:r>
              <w:rPr>
                <w:rFonts w:cs="Times New Roman"/>
                <w:bCs/>
                <w:sz w:val="21"/>
                <w:szCs w:val="21"/>
              </w:rPr>
              <w:t>≥75</w:t>
            </w:r>
          </w:p>
          <w:p w14:paraId="69902EF2">
            <w:pPr>
              <w:adjustRightInd w:val="0"/>
              <w:snapToGrid w:val="0"/>
              <w:spacing w:line="280" w:lineRule="exact"/>
              <w:ind w:firstLine="420"/>
              <w:jc w:val="left"/>
              <w:rPr>
                <w:rFonts w:cs="Times New Roman"/>
                <w:bCs/>
                <w:sz w:val="21"/>
                <w:szCs w:val="21"/>
              </w:rPr>
            </w:pPr>
            <w:r>
              <w:rPr>
                <w:rFonts w:cs="Times New Roman"/>
                <w:bCs/>
                <w:sz w:val="21"/>
                <w:szCs w:val="21"/>
              </w:rPr>
              <w:t>≥80</w:t>
            </w:r>
          </w:p>
        </w:tc>
        <w:tc>
          <w:tcPr>
            <w:tcW w:w="1100" w:type="dxa"/>
            <w:noWrap/>
            <w:vAlign w:val="center"/>
          </w:tcPr>
          <w:p w14:paraId="6B3F1325">
            <w:pPr>
              <w:adjustRightInd w:val="0"/>
              <w:snapToGrid w:val="0"/>
              <w:spacing w:line="280" w:lineRule="exact"/>
              <w:ind w:firstLine="420"/>
              <w:jc w:val="left"/>
              <w:rPr>
                <w:rFonts w:cs="Times New Roman"/>
                <w:bCs/>
                <w:sz w:val="21"/>
                <w:szCs w:val="21"/>
              </w:rPr>
            </w:pPr>
            <w:r>
              <w:rPr>
                <w:rFonts w:cs="Times New Roman"/>
                <w:bCs/>
                <w:sz w:val="21"/>
                <w:szCs w:val="21"/>
              </w:rPr>
              <w:t>≥90</w:t>
            </w:r>
          </w:p>
          <w:p w14:paraId="142C01FC">
            <w:pPr>
              <w:adjustRightInd w:val="0"/>
              <w:snapToGrid w:val="0"/>
              <w:spacing w:line="280" w:lineRule="exact"/>
              <w:ind w:firstLine="420"/>
              <w:jc w:val="left"/>
              <w:rPr>
                <w:rFonts w:cs="Times New Roman"/>
                <w:bCs/>
                <w:sz w:val="21"/>
                <w:szCs w:val="21"/>
              </w:rPr>
            </w:pPr>
            <w:r>
              <w:rPr>
                <w:rFonts w:cs="Times New Roman"/>
                <w:bCs/>
                <w:sz w:val="21"/>
                <w:szCs w:val="21"/>
              </w:rPr>
              <w:t>≥75</w:t>
            </w:r>
          </w:p>
          <w:p w14:paraId="4F99FDA8">
            <w:pPr>
              <w:adjustRightInd w:val="0"/>
              <w:snapToGrid w:val="0"/>
              <w:spacing w:line="280" w:lineRule="exact"/>
              <w:ind w:firstLine="420"/>
              <w:jc w:val="left"/>
              <w:rPr>
                <w:rFonts w:cs="Times New Roman"/>
                <w:bCs/>
                <w:sz w:val="21"/>
                <w:szCs w:val="21"/>
              </w:rPr>
            </w:pPr>
            <w:r>
              <w:rPr>
                <w:rFonts w:cs="Times New Roman"/>
                <w:bCs/>
                <w:sz w:val="21"/>
                <w:szCs w:val="21"/>
              </w:rPr>
              <w:t>≥80</w:t>
            </w:r>
          </w:p>
        </w:tc>
        <w:tc>
          <w:tcPr>
            <w:tcW w:w="1034" w:type="dxa"/>
            <w:noWrap/>
            <w:vAlign w:val="center"/>
          </w:tcPr>
          <w:p w14:paraId="636C421E">
            <w:pPr>
              <w:pStyle w:val="22"/>
              <w:spacing w:line="280" w:lineRule="exact"/>
              <w:rPr>
                <w:rFonts w:cs="Times New Roman"/>
                <w:sz w:val="21"/>
                <w:szCs w:val="21"/>
              </w:rPr>
            </w:pPr>
            <w:r>
              <w:rPr>
                <w:rFonts w:cs="Times New Roman"/>
                <w:sz w:val="21"/>
                <w:szCs w:val="21"/>
              </w:rPr>
              <w:t>参考性</w:t>
            </w:r>
          </w:p>
        </w:tc>
        <w:tc>
          <w:tcPr>
            <w:tcW w:w="1366" w:type="dxa"/>
            <w:noWrap/>
            <w:vAlign w:val="center"/>
          </w:tcPr>
          <w:p w14:paraId="452D4BE5">
            <w:pPr>
              <w:pStyle w:val="22"/>
              <w:spacing w:line="280" w:lineRule="exact"/>
              <w:rPr>
                <w:rFonts w:cs="Times New Roman"/>
                <w:sz w:val="21"/>
                <w:szCs w:val="21"/>
              </w:rPr>
            </w:pPr>
            <w:r>
              <w:rPr>
                <w:rFonts w:cs="Times New Roman"/>
                <w:sz w:val="21"/>
                <w:szCs w:val="21"/>
              </w:rPr>
              <w:t>90.69</w:t>
            </w:r>
          </w:p>
          <w:p w14:paraId="00CB8DB5">
            <w:pPr>
              <w:pStyle w:val="22"/>
              <w:spacing w:line="280" w:lineRule="exact"/>
              <w:rPr>
                <w:rFonts w:cs="Times New Roman"/>
                <w:sz w:val="21"/>
                <w:szCs w:val="21"/>
              </w:rPr>
            </w:pPr>
            <w:r>
              <w:rPr>
                <w:rFonts w:cs="Times New Roman"/>
                <w:sz w:val="21"/>
                <w:szCs w:val="21"/>
              </w:rPr>
              <w:t>95.17</w:t>
            </w:r>
          </w:p>
          <w:p w14:paraId="5D53F806">
            <w:pPr>
              <w:pStyle w:val="22"/>
              <w:spacing w:line="280" w:lineRule="exact"/>
              <w:rPr>
                <w:rFonts w:cs="Times New Roman"/>
                <w:sz w:val="21"/>
                <w:szCs w:val="21"/>
              </w:rPr>
            </w:pPr>
            <w:r>
              <w:rPr>
                <w:rFonts w:cs="Times New Roman"/>
                <w:sz w:val="21"/>
                <w:szCs w:val="21"/>
              </w:rPr>
              <w:t>85.85</w:t>
            </w:r>
          </w:p>
        </w:tc>
        <w:tc>
          <w:tcPr>
            <w:tcW w:w="853" w:type="dxa"/>
            <w:noWrap/>
            <w:vAlign w:val="center"/>
          </w:tcPr>
          <w:p w14:paraId="208703F7">
            <w:pPr>
              <w:pStyle w:val="22"/>
              <w:spacing w:line="280" w:lineRule="exact"/>
              <w:rPr>
                <w:rFonts w:cs="Times New Roman"/>
                <w:sz w:val="21"/>
                <w:szCs w:val="21"/>
              </w:rPr>
            </w:pPr>
            <w:r>
              <w:rPr>
                <w:rFonts w:cs="Times New Roman"/>
                <w:sz w:val="21"/>
                <w:szCs w:val="21"/>
              </w:rPr>
              <w:t>达标</w:t>
            </w:r>
          </w:p>
        </w:tc>
        <w:tc>
          <w:tcPr>
            <w:tcW w:w="1110" w:type="dxa"/>
            <w:noWrap/>
            <w:vAlign w:val="center"/>
          </w:tcPr>
          <w:p w14:paraId="764B7AE5">
            <w:pPr>
              <w:pStyle w:val="22"/>
              <w:spacing w:line="280" w:lineRule="exact"/>
              <w:rPr>
                <w:rFonts w:cs="Times New Roman"/>
                <w:sz w:val="21"/>
                <w:szCs w:val="21"/>
              </w:rPr>
            </w:pPr>
            <w:r>
              <w:rPr>
                <w:rFonts w:cs="Times New Roman"/>
                <w:sz w:val="21"/>
                <w:szCs w:val="21"/>
              </w:rPr>
              <w:t>90.98</w:t>
            </w:r>
          </w:p>
          <w:p w14:paraId="42B6BAC0">
            <w:pPr>
              <w:pStyle w:val="22"/>
              <w:spacing w:line="280" w:lineRule="exact"/>
              <w:rPr>
                <w:rFonts w:cs="Times New Roman"/>
                <w:sz w:val="21"/>
                <w:szCs w:val="21"/>
              </w:rPr>
            </w:pPr>
            <w:r>
              <w:rPr>
                <w:rFonts w:cs="Times New Roman"/>
                <w:sz w:val="21"/>
                <w:szCs w:val="21"/>
              </w:rPr>
              <w:t>95.87</w:t>
            </w:r>
          </w:p>
          <w:p w14:paraId="7E31C121">
            <w:pPr>
              <w:pStyle w:val="22"/>
              <w:spacing w:line="280" w:lineRule="exact"/>
              <w:rPr>
                <w:rFonts w:cs="Times New Roman"/>
                <w:sz w:val="21"/>
                <w:szCs w:val="21"/>
              </w:rPr>
            </w:pPr>
            <w:r>
              <w:rPr>
                <w:rFonts w:cs="Times New Roman"/>
                <w:sz w:val="21"/>
                <w:szCs w:val="21"/>
              </w:rPr>
              <w:t>86.05</w:t>
            </w:r>
          </w:p>
        </w:tc>
        <w:tc>
          <w:tcPr>
            <w:tcW w:w="1080" w:type="dxa"/>
            <w:noWrap/>
            <w:vAlign w:val="center"/>
          </w:tcPr>
          <w:p w14:paraId="037E5ABC">
            <w:pPr>
              <w:pStyle w:val="22"/>
              <w:spacing w:line="280" w:lineRule="exact"/>
              <w:rPr>
                <w:rFonts w:cs="Times New Roman"/>
                <w:sz w:val="21"/>
                <w:szCs w:val="21"/>
              </w:rPr>
            </w:pPr>
            <w:r>
              <w:rPr>
                <w:rFonts w:cs="Times New Roman"/>
                <w:sz w:val="21"/>
                <w:szCs w:val="21"/>
              </w:rPr>
              <w:t>91.34</w:t>
            </w:r>
          </w:p>
          <w:p w14:paraId="077BCA13">
            <w:pPr>
              <w:pStyle w:val="22"/>
              <w:spacing w:line="280" w:lineRule="exact"/>
              <w:rPr>
                <w:rFonts w:cs="Times New Roman"/>
                <w:sz w:val="21"/>
                <w:szCs w:val="21"/>
              </w:rPr>
            </w:pPr>
            <w:r>
              <w:rPr>
                <w:rFonts w:cs="Times New Roman"/>
                <w:sz w:val="21"/>
                <w:szCs w:val="21"/>
              </w:rPr>
              <w:t>96.28</w:t>
            </w:r>
          </w:p>
          <w:p w14:paraId="116DD1F6">
            <w:pPr>
              <w:pStyle w:val="22"/>
              <w:spacing w:line="280" w:lineRule="exact"/>
              <w:rPr>
                <w:rFonts w:cs="Times New Roman"/>
                <w:sz w:val="21"/>
                <w:szCs w:val="21"/>
              </w:rPr>
            </w:pPr>
            <w:r>
              <w:rPr>
                <w:rFonts w:cs="Times New Roman"/>
                <w:sz w:val="21"/>
                <w:szCs w:val="21"/>
              </w:rPr>
              <w:t>86.78</w:t>
            </w:r>
          </w:p>
        </w:tc>
        <w:tc>
          <w:tcPr>
            <w:tcW w:w="1162" w:type="dxa"/>
            <w:noWrap/>
            <w:vAlign w:val="center"/>
          </w:tcPr>
          <w:p w14:paraId="39B27043">
            <w:pPr>
              <w:pStyle w:val="22"/>
              <w:spacing w:line="280" w:lineRule="exact"/>
              <w:rPr>
                <w:rFonts w:cs="Times New Roman"/>
                <w:sz w:val="21"/>
                <w:szCs w:val="21"/>
              </w:rPr>
            </w:pPr>
            <w:r>
              <w:rPr>
                <w:rFonts w:cs="Times New Roman"/>
                <w:sz w:val="21"/>
                <w:szCs w:val="21"/>
              </w:rPr>
              <w:t>91.57</w:t>
            </w:r>
          </w:p>
          <w:p w14:paraId="5F8EA93E">
            <w:pPr>
              <w:pStyle w:val="22"/>
              <w:spacing w:line="280" w:lineRule="exact"/>
              <w:rPr>
                <w:rFonts w:cs="Times New Roman"/>
                <w:sz w:val="21"/>
                <w:szCs w:val="21"/>
              </w:rPr>
            </w:pPr>
            <w:r>
              <w:rPr>
                <w:rFonts w:cs="Times New Roman"/>
                <w:sz w:val="21"/>
                <w:szCs w:val="21"/>
              </w:rPr>
              <w:t>96.54</w:t>
            </w:r>
          </w:p>
          <w:p w14:paraId="65287081">
            <w:pPr>
              <w:pStyle w:val="22"/>
              <w:spacing w:line="280" w:lineRule="exact"/>
              <w:rPr>
                <w:rFonts w:cs="Times New Roman"/>
                <w:sz w:val="21"/>
                <w:szCs w:val="21"/>
              </w:rPr>
            </w:pPr>
            <w:r>
              <w:rPr>
                <w:rFonts w:cs="Times New Roman"/>
                <w:sz w:val="21"/>
                <w:szCs w:val="21"/>
              </w:rPr>
              <w:t>87.27</w:t>
            </w:r>
          </w:p>
        </w:tc>
      </w:tr>
      <w:tr w14:paraId="7A2C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continue"/>
            <w:noWrap/>
            <w:vAlign w:val="center"/>
          </w:tcPr>
          <w:p w14:paraId="110F1C9F">
            <w:pPr>
              <w:pStyle w:val="22"/>
              <w:spacing w:line="300" w:lineRule="exact"/>
              <w:rPr>
                <w:rFonts w:cs="Times New Roman"/>
                <w:sz w:val="21"/>
                <w:szCs w:val="21"/>
              </w:rPr>
            </w:pPr>
          </w:p>
        </w:tc>
        <w:tc>
          <w:tcPr>
            <w:tcW w:w="828" w:type="dxa"/>
            <w:vMerge w:val="continue"/>
            <w:noWrap/>
            <w:vAlign w:val="center"/>
          </w:tcPr>
          <w:p w14:paraId="0D850CC4">
            <w:pPr>
              <w:pStyle w:val="22"/>
              <w:spacing w:line="300" w:lineRule="exact"/>
              <w:rPr>
                <w:rFonts w:cs="Times New Roman"/>
                <w:sz w:val="21"/>
                <w:szCs w:val="21"/>
              </w:rPr>
            </w:pPr>
          </w:p>
        </w:tc>
        <w:tc>
          <w:tcPr>
            <w:tcW w:w="440" w:type="dxa"/>
            <w:noWrap/>
            <w:vAlign w:val="center"/>
          </w:tcPr>
          <w:p w14:paraId="4EE26656">
            <w:pPr>
              <w:pStyle w:val="22"/>
              <w:spacing w:line="300" w:lineRule="exact"/>
              <w:rPr>
                <w:rFonts w:cs="Times New Roman"/>
                <w:sz w:val="21"/>
                <w:szCs w:val="21"/>
              </w:rPr>
            </w:pPr>
            <w:r>
              <w:rPr>
                <w:rFonts w:cs="Times New Roman"/>
                <w:sz w:val="21"/>
                <w:szCs w:val="21"/>
              </w:rPr>
              <w:t>23</w:t>
            </w:r>
          </w:p>
        </w:tc>
        <w:tc>
          <w:tcPr>
            <w:tcW w:w="2723" w:type="dxa"/>
            <w:noWrap/>
            <w:vAlign w:val="center"/>
          </w:tcPr>
          <w:p w14:paraId="78EB7F8D">
            <w:pPr>
              <w:pStyle w:val="22"/>
              <w:spacing w:line="280" w:lineRule="exact"/>
              <w:jc w:val="both"/>
              <w:rPr>
                <w:rFonts w:cs="Times New Roman"/>
                <w:sz w:val="21"/>
                <w:szCs w:val="21"/>
              </w:rPr>
            </w:pPr>
            <w:r>
              <w:rPr>
                <w:rFonts w:cs="Times New Roman"/>
                <w:sz w:val="21"/>
                <w:szCs w:val="21"/>
              </w:rPr>
              <w:t>农药化肥</w:t>
            </w:r>
          </w:p>
          <w:p w14:paraId="663A2BCF">
            <w:pPr>
              <w:pStyle w:val="22"/>
              <w:spacing w:line="280" w:lineRule="exact"/>
              <w:jc w:val="both"/>
              <w:rPr>
                <w:rFonts w:cs="Times New Roman"/>
                <w:sz w:val="21"/>
                <w:szCs w:val="21"/>
              </w:rPr>
            </w:pPr>
            <w:r>
              <w:rPr>
                <w:rFonts w:cs="Times New Roman"/>
                <w:sz w:val="21"/>
                <w:szCs w:val="21"/>
              </w:rPr>
              <w:t>化肥施用强度（折纯量）</w:t>
            </w:r>
          </w:p>
          <w:p w14:paraId="0D6293D6">
            <w:pPr>
              <w:pStyle w:val="22"/>
              <w:spacing w:line="280" w:lineRule="exact"/>
              <w:jc w:val="both"/>
              <w:rPr>
                <w:rFonts w:cs="Times New Roman"/>
                <w:sz w:val="21"/>
                <w:szCs w:val="21"/>
              </w:rPr>
            </w:pPr>
            <w:r>
              <w:rPr>
                <w:rFonts w:cs="Times New Roman"/>
                <w:sz w:val="21"/>
                <w:szCs w:val="21"/>
              </w:rPr>
              <w:t>农药施用强度（折百量）</w:t>
            </w:r>
          </w:p>
        </w:tc>
        <w:tc>
          <w:tcPr>
            <w:tcW w:w="622" w:type="dxa"/>
            <w:noWrap/>
            <w:vAlign w:val="center"/>
          </w:tcPr>
          <w:p w14:paraId="21559857">
            <w:pPr>
              <w:pStyle w:val="22"/>
              <w:spacing w:line="260" w:lineRule="exact"/>
              <w:rPr>
                <w:rFonts w:cs="Times New Roman"/>
                <w:sz w:val="21"/>
                <w:szCs w:val="21"/>
              </w:rPr>
            </w:pPr>
            <w:r>
              <w:rPr>
                <w:rFonts w:cs="Times New Roman"/>
                <w:sz w:val="21"/>
                <w:szCs w:val="21"/>
              </w:rPr>
              <w:t>千克/公顷</w:t>
            </w:r>
          </w:p>
          <w:p w14:paraId="0501273C">
            <w:pPr>
              <w:pStyle w:val="22"/>
              <w:spacing w:line="260" w:lineRule="exact"/>
              <w:rPr>
                <w:rFonts w:cs="Times New Roman"/>
                <w:sz w:val="21"/>
                <w:szCs w:val="21"/>
              </w:rPr>
            </w:pPr>
            <w:r>
              <w:rPr>
                <w:rFonts w:cs="Times New Roman"/>
                <w:sz w:val="21"/>
                <w:szCs w:val="21"/>
              </w:rPr>
              <w:t>千克/公顷</w:t>
            </w:r>
          </w:p>
        </w:tc>
        <w:tc>
          <w:tcPr>
            <w:tcW w:w="1100" w:type="dxa"/>
            <w:noWrap/>
            <w:vAlign w:val="center"/>
          </w:tcPr>
          <w:p w14:paraId="7BA8CCC0">
            <w:pPr>
              <w:pStyle w:val="22"/>
              <w:spacing w:line="260" w:lineRule="exact"/>
              <w:rPr>
                <w:rFonts w:cs="Times New Roman"/>
                <w:sz w:val="21"/>
                <w:szCs w:val="21"/>
              </w:rPr>
            </w:pPr>
            <w:r>
              <w:rPr>
                <w:rFonts w:cs="Times New Roman"/>
                <w:sz w:val="21"/>
                <w:szCs w:val="21"/>
              </w:rPr>
              <w:t>≤300，或逐年下降</w:t>
            </w:r>
          </w:p>
          <w:p w14:paraId="50764908">
            <w:pPr>
              <w:pStyle w:val="22"/>
              <w:spacing w:line="260" w:lineRule="exact"/>
              <w:rPr>
                <w:rFonts w:cs="Times New Roman"/>
                <w:sz w:val="21"/>
                <w:szCs w:val="21"/>
              </w:rPr>
            </w:pPr>
            <w:r>
              <w:rPr>
                <w:rFonts w:cs="Times New Roman"/>
                <w:sz w:val="21"/>
                <w:szCs w:val="21"/>
              </w:rPr>
              <w:t>≤3.5，或逐年下降</w:t>
            </w:r>
          </w:p>
        </w:tc>
        <w:tc>
          <w:tcPr>
            <w:tcW w:w="1100" w:type="dxa"/>
            <w:noWrap/>
            <w:vAlign w:val="center"/>
          </w:tcPr>
          <w:p w14:paraId="7EDFAEBB">
            <w:pPr>
              <w:pStyle w:val="22"/>
              <w:spacing w:line="280" w:lineRule="exact"/>
              <w:rPr>
                <w:rFonts w:cs="Times New Roman"/>
                <w:sz w:val="21"/>
                <w:szCs w:val="21"/>
              </w:rPr>
            </w:pPr>
            <w:r>
              <w:rPr>
                <w:rFonts w:cs="Times New Roman"/>
                <w:sz w:val="21"/>
                <w:szCs w:val="21"/>
              </w:rPr>
              <w:t>—</w:t>
            </w:r>
          </w:p>
        </w:tc>
        <w:tc>
          <w:tcPr>
            <w:tcW w:w="1034" w:type="dxa"/>
            <w:noWrap/>
            <w:vAlign w:val="center"/>
          </w:tcPr>
          <w:p w14:paraId="4800BC9F">
            <w:pPr>
              <w:pStyle w:val="22"/>
              <w:spacing w:line="280" w:lineRule="exact"/>
              <w:rPr>
                <w:rFonts w:cs="Times New Roman"/>
                <w:sz w:val="21"/>
                <w:szCs w:val="21"/>
              </w:rPr>
            </w:pPr>
            <w:r>
              <w:rPr>
                <w:rFonts w:cs="Times New Roman"/>
                <w:sz w:val="21"/>
                <w:szCs w:val="21"/>
              </w:rPr>
              <w:t>参考性</w:t>
            </w:r>
          </w:p>
        </w:tc>
        <w:tc>
          <w:tcPr>
            <w:tcW w:w="1366" w:type="dxa"/>
            <w:noWrap/>
            <w:vAlign w:val="center"/>
          </w:tcPr>
          <w:p w14:paraId="756E058B">
            <w:pPr>
              <w:pStyle w:val="22"/>
              <w:spacing w:line="280" w:lineRule="exact"/>
              <w:rPr>
                <w:rFonts w:cs="Times New Roman"/>
                <w:sz w:val="21"/>
                <w:szCs w:val="21"/>
              </w:rPr>
            </w:pPr>
            <w:r>
              <w:rPr>
                <w:rFonts w:cs="Times New Roman"/>
                <w:sz w:val="21"/>
                <w:szCs w:val="21"/>
              </w:rPr>
              <w:t>264.8</w:t>
            </w:r>
          </w:p>
          <w:p w14:paraId="5F3EC488">
            <w:pPr>
              <w:pStyle w:val="22"/>
              <w:spacing w:line="280" w:lineRule="exact"/>
              <w:rPr>
                <w:rFonts w:cs="Times New Roman"/>
                <w:sz w:val="21"/>
                <w:szCs w:val="21"/>
              </w:rPr>
            </w:pPr>
            <w:r>
              <w:rPr>
                <w:rFonts w:cs="Times New Roman"/>
                <w:sz w:val="21"/>
                <w:szCs w:val="21"/>
              </w:rPr>
              <w:t>5.8，逐年下降</w:t>
            </w:r>
          </w:p>
        </w:tc>
        <w:tc>
          <w:tcPr>
            <w:tcW w:w="853" w:type="dxa"/>
            <w:noWrap/>
            <w:vAlign w:val="center"/>
          </w:tcPr>
          <w:p w14:paraId="7F2CB3A9">
            <w:pPr>
              <w:pStyle w:val="22"/>
              <w:spacing w:line="280" w:lineRule="exact"/>
              <w:rPr>
                <w:rFonts w:cs="Times New Roman"/>
                <w:sz w:val="21"/>
                <w:szCs w:val="21"/>
              </w:rPr>
            </w:pPr>
            <w:r>
              <w:rPr>
                <w:rFonts w:cs="Times New Roman"/>
                <w:sz w:val="21"/>
                <w:szCs w:val="21"/>
              </w:rPr>
              <w:t>达标</w:t>
            </w:r>
          </w:p>
        </w:tc>
        <w:tc>
          <w:tcPr>
            <w:tcW w:w="1110" w:type="dxa"/>
            <w:noWrap/>
            <w:vAlign w:val="center"/>
          </w:tcPr>
          <w:p w14:paraId="335CE0C1">
            <w:pPr>
              <w:pStyle w:val="22"/>
              <w:spacing w:line="280" w:lineRule="exact"/>
              <w:rPr>
                <w:rFonts w:cs="Times New Roman"/>
                <w:sz w:val="21"/>
                <w:szCs w:val="21"/>
              </w:rPr>
            </w:pPr>
            <w:r>
              <w:rPr>
                <w:rFonts w:cs="Times New Roman"/>
                <w:sz w:val="21"/>
                <w:szCs w:val="21"/>
              </w:rPr>
              <w:t>逐年下降</w:t>
            </w:r>
          </w:p>
          <w:p w14:paraId="59135830">
            <w:pPr>
              <w:pStyle w:val="22"/>
              <w:spacing w:line="280" w:lineRule="exact"/>
              <w:rPr>
                <w:rFonts w:cs="Times New Roman"/>
                <w:sz w:val="21"/>
                <w:szCs w:val="21"/>
              </w:rPr>
            </w:pPr>
            <w:r>
              <w:rPr>
                <w:rFonts w:cs="Times New Roman"/>
                <w:sz w:val="21"/>
                <w:szCs w:val="21"/>
              </w:rPr>
              <w:t>逐年下降</w:t>
            </w:r>
          </w:p>
        </w:tc>
        <w:tc>
          <w:tcPr>
            <w:tcW w:w="1080" w:type="dxa"/>
            <w:noWrap/>
            <w:vAlign w:val="center"/>
          </w:tcPr>
          <w:p w14:paraId="409F108B">
            <w:pPr>
              <w:pStyle w:val="22"/>
              <w:spacing w:line="280" w:lineRule="exact"/>
              <w:rPr>
                <w:rFonts w:cs="Times New Roman"/>
                <w:sz w:val="21"/>
                <w:szCs w:val="21"/>
              </w:rPr>
            </w:pPr>
            <w:r>
              <w:rPr>
                <w:rFonts w:cs="Times New Roman"/>
                <w:sz w:val="21"/>
                <w:szCs w:val="21"/>
              </w:rPr>
              <w:t>逐年下降</w:t>
            </w:r>
          </w:p>
          <w:p w14:paraId="7827BC6F">
            <w:pPr>
              <w:pStyle w:val="22"/>
              <w:spacing w:line="280" w:lineRule="exact"/>
              <w:rPr>
                <w:rFonts w:cs="Times New Roman"/>
                <w:sz w:val="21"/>
                <w:szCs w:val="21"/>
              </w:rPr>
            </w:pPr>
            <w:r>
              <w:rPr>
                <w:rFonts w:cs="Times New Roman"/>
                <w:sz w:val="21"/>
                <w:szCs w:val="21"/>
              </w:rPr>
              <w:t>逐年下降</w:t>
            </w:r>
          </w:p>
        </w:tc>
        <w:tc>
          <w:tcPr>
            <w:tcW w:w="1162" w:type="dxa"/>
            <w:noWrap/>
            <w:vAlign w:val="center"/>
          </w:tcPr>
          <w:p w14:paraId="48CA34A1">
            <w:pPr>
              <w:pStyle w:val="22"/>
              <w:spacing w:line="280" w:lineRule="exact"/>
              <w:rPr>
                <w:rFonts w:cs="Times New Roman"/>
                <w:sz w:val="21"/>
                <w:szCs w:val="21"/>
              </w:rPr>
            </w:pPr>
            <w:r>
              <w:rPr>
                <w:rFonts w:cs="Times New Roman"/>
                <w:sz w:val="21"/>
                <w:szCs w:val="21"/>
              </w:rPr>
              <w:t>逐年下降</w:t>
            </w:r>
          </w:p>
          <w:p w14:paraId="0C691B61">
            <w:pPr>
              <w:pStyle w:val="22"/>
              <w:spacing w:line="280" w:lineRule="exact"/>
              <w:rPr>
                <w:rFonts w:cs="Times New Roman"/>
                <w:sz w:val="21"/>
                <w:szCs w:val="21"/>
              </w:rPr>
            </w:pPr>
            <w:r>
              <w:rPr>
                <w:rFonts w:cs="Times New Roman"/>
                <w:sz w:val="21"/>
                <w:szCs w:val="21"/>
              </w:rPr>
              <w:t>逐年下降</w:t>
            </w:r>
          </w:p>
        </w:tc>
      </w:tr>
      <w:tr w14:paraId="20BE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continue"/>
            <w:noWrap/>
            <w:vAlign w:val="center"/>
          </w:tcPr>
          <w:p w14:paraId="1E6D4541">
            <w:pPr>
              <w:pStyle w:val="22"/>
              <w:spacing w:line="300" w:lineRule="exact"/>
              <w:rPr>
                <w:rFonts w:cs="Times New Roman"/>
                <w:sz w:val="21"/>
                <w:szCs w:val="21"/>
              </w:rPr>
            </w:pPr>
          </w:p>
        </w:tc>
        <w:tc>
          <w:tcPr>
            <w:tcW w:w="828" w:type="dxa"/>
            <w:vMerge w:val="continue"/>
            <w:noWrap/>
            <w:vAlign w:val="center"/>
          </w:tcPr>
          <w:p w14:paraId="2E6CB0AB">
            <w:pPr>
              <w:pStyle w:val="22"/>
              <w:spacing w:line="300" w:lineRule="exact"/>
              <w:rPr>
                <w:rFonts w:cs="Times New Roman"/>
                <w:sz w:val="21"/>
                <w:szCs w:val="21"/>
              </w:rPr>
            </w:pPr>
          </w:p>
        </w:tc>
        <w:tc>
          <w:tcPr>
            <w:tcW w:w="440" w:type="dxa"/>
            <w:noWrap/>
            <w:vAlign w:val="center"/>
          </w:tcPr>
          <w:p w14:paraId="52DEF046">
            <w:pPr>
              <w:pStyle w:val="22"/>
              <w:spacing w:line="300" w:lineRule="exact"/>
              <w:rPr>
                <w:rFonts w:cs="Times New Roman"/>
                <w:sz w:val="21"/>
                <w:szCs w:val="21"/>
              </w:rPr>
            </w:pPr>
            <w:r>
              <w:rPr>
                <w:rFonts w:cs="Times New Roman"/>
                <w:sz w:val="21"/>
                <w:szCs w:val="21"/>
              </w:rPr>
              <w:t>24</w:t>
            </w:r>
          </w:p>
        </w:tc>
        <w:tc>
          <w:tcPr>
            <w:tcW w:w="2723" w:type="dxa"/>
            <w:noWrap/>
            <w:vAlign w:val="center"/>
          </w:tcPr>
          <w:p w14:paraId="7F75C0E5">
            <w:pPr>
              <w:pStyle w:val="22"/>
              <w:spacing w:line="280" w:lineRule="exact"/>
              <w:jc w:val="both"/>
              <w:rPr>
                <w:rFonts w:cs="Times New Roman"/>
                <w:sz w:val="21"/>
                <w:szCs w:val="21"/>
              </w:rPr>
            </w:pPr>
            <w:r>
              <w:rPr>
                <w:rFonts w:cs="Times New Roman"/>
                <w:sz w:val="21"/>
                <w:szCs w:val="21"/>
              </w:rPr>
              <w:t>一般工业固体废物综合利用率提高幅度</w:t>
            </w:r>
          </w:p>
          <w:p w14:paraId="06CCB333">
            <w:pPr>
              <w:pStyle w:val="22"/>
              <w:spacing w:line="280" w:lineRule="exact"/>
              <w:jc w:val="both"/>
              <w:rPr>
                <w:rFonts w:cs="Times New Roman"/>
                <w:sz w:val="21"/>
                <w:szCs w:val="21"/>
              </w:rPr>
            </w:pPr>
            <w:r>
              <w:rPr>
                <w:rFonts w:cs="Times New Roman"/>
                <w:sz w:val="21"/>
                <w:szCs w:val="21"/>
              </w:rPr>
              <w:t>综合利用率≤60%的地区</w:t>
            </w:r>
          </w:p>
          <w:p w14:paraId="3916AA01">
            <w:pPr>
              <w:pStyle w:val="22"/>
              <w:spacing w:line="280" w:lineRule="exact"/>
              <w:jc w:val="both"/>
              <w:rPr>
                <w:rFonts w:cs="Times New Roman"/>
                <w:sz w:val="21"/>
                <w:szCs w:val="21"/>
              </w:rPr>
            </w:pPr>
            <w:r>
              <w:rPr>
                <w:rFonts w:cs="Times New Roman"/>
                <w:sz w:val="21"/>
                <w:szCs w:val="21"/>
              </w:rPr>
              <w:t>综合利用率＞60%的地区</w:t>
            </w:r>
          </w:p>
        </w:tc>
        <w:tc>
          <w:tcPr>
            <w:tcW w:w="622" w:type="dxa"/>
            <w:noWrap/>
            <w:vAlign w:val="center"/>
          </w:tcPr>
          <w:p w14:paraId="70E1ECE8">
            <w:pPr>
              <w:pStyle w:val="22"/>
              <w:spacing w:line="280" w:lineRule="exact"/>
              <w:rPr>
                <w:rFonts w:cs="Times New Roman"/>
                <w:sz w:val="21"/>
                <w:szCs w:val="21"/>
              </w:rPr>
            </w:pPr>
            <w:r>
              <w:rPr>
                <w:rFonts w:cs="Times New Roman"/>
                <w:sz w:val="21"/>
                <w:szCs w:val="21"/>
              </w:rPr>
              <w:t>%</w:t>
            </w:r>
          </w:p>
        </w:tc>
        <w:tc>
          <w:tcPr>
            <w:tcW w:w="1100" w:type="dxa"/>
            <w:noWrap/>
            <w:vAlign w:val="center"/>
          </w:tcPr>
          <w:p w14:paraId="6F724BD1">
            <w:pPr>
              <w:pStyle w:val="22"/>
              <w:spacing w:line="280" w:lineRule="exact"/>
              <w:rPr>
                <w:rFonts w:cs="Times New Roman"/>
                <w:sz w:val="21"/>
                <w:szCs w:val="21"/>
              </w:rPr>
            </w:pPr>
            <w:r>
              <w:rPr>
                <w:rFonts w:cs="Times New Roman"/>
                <w:sz w:val="21"/>
                <w:szCs w:val="21"/>
              </w:rPr>
              <w:t>—</w:t>
            </w:r>
          </w:p>
        </w:tc>
        <w:tc>
          <w:tcPr>
            <w:tcW w:w="1100" w:type="dxa"/>
            <w:noWrap/>
            <w:vAlign w:val="center"/>
          </w:tcPr>
          <w:p w14:paraId="3B0FC813">
            <w:pPr>
              <w:pStyle w:val="22"/>
              <w:spacing w:line="280" w:lineRule="exact"/>
              <w:rPr>
                <w:rFonts w:cs="Times New Roman"/>
                <w:sz w:val="21"/>
                <w:szCs w:val="21"/>
              </w:rPr>
            </w:pPr>
            <w:r>
              <w:rPr>
                <w:rFonts w:cs="Times New Roman"/>
                <w:sz w:val="21"/>
                <w:szCs w:val="21"/>
              </w:rPr>
              <w:t>≥2</w:t>
            </w:r>
          </w:p>
          <w:p w14:paraId="4977BEFB">
            <w:pPr>
              <w:pStyle w:val="22"/>
              <w:spacing w:line="280" w:lineRule="exact"/>
              <w:rPr>
                <w:rFonts w:cs="Times New Roman"/>
                <w:spacing w:val="-10"/>
                <w:sz w:val="21"/>
                <w:szCs w:val="21"/>
              </w:rPr>
            </w:pPr>
            <w:r>
              <w:rPr>
                <w:rFonts w:cs="Times New Roman"/>
                <w:spacing w:val="-10"/>
                <w:sz w:val="21"/>
                <w:szCs w:val="21"/>
              </w:rPr>
              <w:t>保持稳定或持续改善</w:t>
            </w:r>
          </w:p>
        </w:tc>
        <w:tc>
          <w:tcPr>
            <w:tcW w:w="1034" w:type="dxa"/>
            <w:noWrap/>
            <w:vAlign w:val="center"/>
          </w:tcPr>
          <w:p w14:paraId="3B355946">
            <w:pPr>
              <w:pStyle w:val="22"/>
              <w:spacing w:line="280" w:lineRule="exact"/>
              <w:rPr>
                <w:rFonts w:cs="Times New Roman"/>
                <w:sz w:val="21"/>
                <w:szCs w:val="21"/>
              </w:rPr>
            </w:pPr>
            <w:r>
              <w:rPr>
                <w:rFonts w:cs="Times New Roman"/>
                <w:sz w:val="21"/>
                <w:szCs w:val="21"/>
              </w:rPr>
              <w:t>参考性</w:t>
            </w:r>
          </w:p>
        </w:tc>
        <w:tc>
          <w:tcPr>
            <w:tcW w:w="1366" w:type="dxa"/>
            <w:noWrap/>
            <w:vAlign w:val="center"/>
          </w:tcPr>
          <w:p w14:paraId="62CA0874">
            <w:pPr>
              <w:pStyle w:val="22"/>
              <w:spacing w:line="280" w:lineRule="exact"/>
              <w:rPr>
                <w:rFonts w:cs="Times New Roman"/>
                <w:sz w:val="21"/>
                <w:szCs w:val="21"/>
              </w:rPr>
            </w:pPr>
            <w:r>
              <w:rPr>
                <w:rFonts w:cs="Times New Roman"/>
                <w:sz w:val="21"/>
                <w:szCs w:val="21"/>
              </w:rPr>
              <w:t>—0.53</w:t>
            </w:r>
          </w:p>
        </w:tc>
        <w:tc>
          <w:tcPr>
            <w:tcW w:w="853" w:type="dxa"/>
            <w:noWrap/>
            <w:vAlign w:val="center"/>
          </w:tcPr>
          <w:p w14:paraId="32792DEC">
            <w:pPr>
              <w:pStyle w:val="22"/>
              <w:spacing w:line="280" w:lineRule="exact"/>
              <w:rPr>
                <w:rFonts w:cs="Times New Roman"/>
                <w:sz w:val="21"/>
                <w:szCs w:val="21"/>
              </w:rPr>
            </w:pPr>
            <w:r>
              <w:rPr>
                <w:rFonts w:cs="Times New Roman"/>
                <w:sz w:val="21"/>
                <w:szCs w:val="21"/>
              </w:rPr>
              <w:t>未达标</w:t>
            </w:r>
          </w:p>
        </w:tc>
        <w:tc>
          <w:tcPr>
            <w:tcW w:w="1110" w:type="dxa"/>
            <w:noWrap/>
            <w:vAlign w:val="center"/>
          </w:tcPr>
          <w:p w14:paraId="28373740">
            <w:pPr>
              <w:pStyle w:val="22"/>
              <w:spacing w:line="280" w:lineRule="exact"/>
              <w:rPr>
                <w:rFonts w:cs="Times New Roman"/>
                <w:spacing w:val="-10"/>
                <w:sz w:val="21"/>
                <w:szCs w:val="21"/>
              </w:rPr>
            </w:pPr>
            <w:r>
              <w:rPr>
                <w:rFonts w:cs="Times New Roman"/>
                <w:spacing w:val="-10"/>
                <w:sz w:val="21"/>
                <w:szCs w:val="21"/>
              </w:rPr>
              <w:t>保持稳定或持续改善</w:t>
            </w:r>
          </w:p>
        </w:tc>
        <w:tc>
          <w:tcPr>
            <w:tcW w:w="1080" w:type="dxa"/>
            <w:noWrap/>
            <w:vAlign w:val="center"/>
          </w:tcPr>
          <w:p w14:paraId="274C8EDD">
            <w:pPr>
              <w:pStyle w:val="22"/>
              <w:spacing w:line="280" w:lineRule="exact"/>
              <w:rPr>
                <w:rFonts w:cs="Times New Roman"/>
                <w:spacing w:val="-10"/>
                <w:sz w:val="21"/>
                <w:szCs w:val="21"/>
              </w:rPr>
            </w:pPr>
            <w:r>
              <w:rPr>
                <w:rFonts w:cs="Times New Roman"/>
                <w:spacing w:val="-10"/>
                <w:sz w:val="21"/>
                <w:szCs w:val="21"/>
              </w:rPr>
              <w:t>保持稳定或持续改善</w:t>
            </w:r>
          </w:p>
        </w:tc>
        <w:tc>
          <w:tcPr>
            <w:tcW w:w="1162" w:type="dxa"/>
            <w:noWrap/>
            <w:vAlign w:val="center"/>
          </w:tcPr>
          <w:p w14:paraId="523FCA4E">
            <w:pPr>
              <w:pStyle w:val="22"/>
              <w:spacing w:line="280" w:lineRule="exact"/>
              <w:rPr>
                <w:rFonts w:cs="Times New Roman"/>
                <w:spacing w:val="-10"/>
                <w:sz w:val="21"/>
                <w:szCs w:val="21"/>
              </w:rPr>
            </w:pPr>
            <w:r>
              <w:rPr>
                <w:rFonts w:cs="Times New Roman"/>
                <w:spacing w:val="-10"/>
                <w:sz w:val="21"/>
                <w:szCs w:val="21"/>
              </w:rPr>
              <w:t>保持稳定或持续改善</w:t>
            </w:r>
          </w:p>
        </w:tc>
      </w:tr>
      <w:tr w14:paraId="0EE6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continue"/>
            <w:noWrap/>
            <w:vAlign w:val="center"/>
          </w:tcPr>
          <w:p w14:paraId="1A091BFD">
            <w:pPr>
              <w:pStyle w:val="22"/>
              <w:spacing w:line="300" w:lineRule="exact"/>
              <w:rPr>
                <w:rFonts w:cs="Times New Roman"/>
                <w:sz w:val="21"/>
                <w:szCs w:val="21"/>
              </w:rPr>
            </w:pPr>
          </w:p>
        </w:tc>
        <w:tc>
          <w:tcPr>
            <w:tcW w:w="828" w:type="dxa"/>
            <w:vMerge w:val="continue"/>
            <w:noWrap/>
            <w:vAlign w:val="center"/>
          </w:tcPr>
          <w:p w14:paraId="59246750">
            <w:pPr>
              <w:pStyle w:val="22"/>
              <w:spacing w:line="300" w:lineRule="exact"/>
              <w:rPr>
                <w:rFonts w:cs="Times New Roman"/>
                <w:sz w:val="21"/>
                <w:szCs w:val="21"/>
              </w:rPr>
            </w:pPr>
          </w:p>
        </w:tc>
        <w:tc>
          <w:tcPr>
            <w:tcW w:w="440" w:type="dxa"/>
            <w:noWrap/>
            <w:vAlign w:val="center"/>
          </w:tcPr>
          <w:p w14:paraId="64F1AFED">
            <w:pPr>
              <w:pStyle w:val="22"/>
              <w:spacing w:line="300" w:lineRule="exact"/>
              <w:rPr>
                <w:rFonts w:cs="Times New Roman"/>
                <w:sz w:val="21"/>
                <w:szCs w:val="21"/>
              </w:rPr>
            </w:pPr>
            <w:r>
              <w:rPr>
                <w:rFonts w:cs="Times New Roman"/>
                <w:sz w:val="21"/>
                <w:szCs w:val="21"/>
              </w:rPr>
              <w:t>25</w:t>
            </w:r>
          </w:p>
        </w:tc>
        <w:tc>
          <w:tcPr>
            <w:tcW w:w="2723" w:type="dxa"/>
            <w:noWrap/>
            <w:vAlign w:val="center"/>
          </w:tcPr>
          <w:p w14:paraId="3D3E8EB6">
            <w:pPr>
              <w:pStyle w:val="22"/>
              <w:spacing w:line="280" w:lineRule="exact"/>
              <w:jc w:val="both"/>
              <w:rPr>
                <w:rFonts w:cs="Times New Roman"/>
                <w:spacing w:val="-6"/>
                <w:sz w:val="21"/>
                <w:szCs w:val="21"/>
              </w:rPr>
            </w:pPr>
            <w:r>
              <w:rPr>
                <w:rFonts w:cs="Times New Roman"/>
                <w:spacing w:val="-6"/>
                <w:sz w:val="21"/>
                <w:szCs w:val="21"/>
              </w:rPr>
              <w:t>一般工业固体废物综合利用率</w:t>
            </w:r>
          </w:p>
        </w:tc>
        <w:tc>
          <w:tcPr>
            <w:tcW w:w="622" w:type="dxa"/>
            <w:noWrap/>
            <w:vAlign w:val="center"/>
          </w:tcPr>
          <w:p w14:paraId="393CC8C0">
            <w:pPr>
              <w:pStyle w:val="22"/>
              <w:spacing w:line="280" w:lineRule="exact"/>
              <w:rPr>
                <w:rFonts w:cs="Times New Roman"/>
                <w:sz w:val="21"/>
                <w:szCs w:val="21"/>
              </w:rPr>
            </w:pPr>
            <w:r>
              <w:rPr>
                <w:rFonts w:cs="Times New Roman"/>
                <w:sz w:val="21"/>
                <w:szCs w:val="21"/>
              </w:rPr>
              <w:t>%</w:t>
            </w:r>
          </w:p>
        </w:tc>
        <w:tc>
          <w:tcPr>
            <w:tcW w:w="1100" w:type="dxa"/>
            <w:noWrap/>
            <w:vAlign w:val="center"/>
          </w:tcPr>
          <w:p w14:paraId="75DDB916">
            <w:pPr>
              <w:pStyle w:val="22"/>
              <w:spacing w:line="280" w:lineRule="exact"/>
              <w:rPr>
                <w:rFonts w:cs="Times New Roman"/>
                <w:sz w:val="21"/>
                <w:szCs w:val="21"/>
              </w:rPr>
            </w:pPr>
            <w:r>
              <w:rPr>
                <w:rFonts w:cs="Times New Roman"/>
                <w:sz w:val="21"/>
                <w:szCs w:val="21"/>
              </w:rPr>
              <w:t>≥80</w:t>
            </w:r>
          </w:p>
        </w:tc>
        <w:tc>
          <w:tcPr>
            <w:tcW w:w="1100" w:type="dxa"/>
            <w:noWrap/>
            <w:vAlign w:val="center"/>
          </w:tcPr>
          <w:p w14:paraId="5FF677D5">
            <w:pPr>
              <w:pStyle w:val="22"/>
              <w:spacing w:line="280" w:lineRule="exact"/>
              <w:rPr>
                <w:rFonts w:cs="Times New Roman"/>
                <w:sz w:val="21"/>
                <w:szCs w:val="21"/>
              </w:rPr>
            </w:pPr>
            <w:r>
              <w:rPr>
                <w:rFonts w:cs="Times New Roman"/>
                <w:sz w:val="21"/>
                <w:szCs w:val="21"/>
              </w:rPr>
              <w:t>—</w:t>
            </w:r>
          </w:p>
        </w:tc>
        <w:tc>
          <w:tcPr>
            <w:tcW w:w="1034" w:type="dxa"/>
            <w:noWrap/>
            <w:vAlign w:val="center"/>
          </w:tcPr>
          <w:p w14:paraId="0172A571">
            <w:pPr>
              <w:pStyle w:val="22"/>
              <w:spacing w:line="280" w:lineRule="exact"/>
              <w:rPr>
                <w:rFonts w:cs="Times New Roman"/>
                <w:sz w:val="21"/>
                <w:szCs w:val="21"/>
              </w:rPr>
            </w:pPr>
            <w:r>
              <w:rPr>
                <w:rFonts w:cs="Times New Roman"/>
                <w:sz w:val="21"/>
                <w:szCs w:val="21"/>
              </w:rPr>
              <w:t>参考性</w:t>
            </w:r>
          </w:p>
        </w:tc>
        <w:tc>
          <w:tcPr>
            <w:tcW w:w="1366" w:type="dxa"/>
            <w:noWrap/>
            <w:vAlign w:val="center"/>
          </w:tcPr>
          <w:p w14:paraId="7CBE021A">
            <w:pPr>
              <w:pStyle w:val="22"/>
              <w:spacing w:line="280" w:lineRule="exact"/>
              <w:rPr>
                <w:rFonts w:cs="Times New Roman"/>
                <w:sz w:val="21"/>
                <w:szCs w:val="21"/>
              </w:rPr>
            </w:pPr>
            <w:r>
              <w:rPr>
                <w:rFonts w:cs="Times New Roman"/>
                <w:sz w:val="21"/>
                <w:szCs w:val="21"/>
              </w:rPr>
              <w:t>98.84</w:t>
            </w:r>
          </w:p>
        </w:tc>
        <w:tc>
          <w:tcPr>
            <w:tcW w:w="853" w:type="dxa"/>
            <w:noWrap/>
            <w:vAlign w:val="center"/>
          </w:tcPr>
          <w:p w14:paraId="4DE9F97C">
            <w:pPr>
              <w:pStyle w:val="22"/>
              <w:spacing w:line="280" w:lineRule="exact"/>
              <w:rPr>
                <w:rFonts w:cs="Times New Roman"/>
                <w:sz w:val="21"/>
                <w:szCs w:val="21"/>
              </w:rPr>
            </w:pPr>
            <w:r>
              <w:rPr>
                <w:rFonts w:cs="Times New Roman"/>
                <w:sz w:val="21"/>
                <w:szCs w:val="21"/>
              </w:rPr>
              <w:t>达标</w:t>
            </w:r>
          </w:p>
        </w:tc>
        <w:tc>
          <w:tcPr>
            <w:tcW w:w="1110" w:type="dxa"/>
            <w:noWrap/>
            <w:vAlign w:val="center"/>
          </w:tcPr>
          <w:p w14:paraId="2E22311B">
            <w:pPr>
              <w:pStyle w:val="22"/>
              <w:spacing w:line="280" w:lineRule="exact"/>
              <w:rPr>
                <w:rFonts w:cs="Times New Roman"/>
                <w:sz w:val="21"/>
                <w:szCs w:val="21"/>
              </w:rPr>
            </w:pPr>
            <w:r>
              <w:rPr>
                <w:rFonts w:cs="Times New Roman"/>
                <w:sz w:val="21"/>
                <w:szCs w:val="21"/>
              </w:rPr>
              <w:t>98.86</w:t>
            </w:r>
          </w:p>
        </w:tc>
        <w:tc>
          <w:tcPr>
            <w:tcW w:w="1080" w:type="dxa"/>
            <w:noWrap/>
            <w:vAlign w:val="center"/>
          </w:tcPr>
          <w:p w14:paraId="44EF5779">
            <w:pPr>
              <w:pStyle w:val="22"/>
              <w:spacing w:line="280" w:lineRule="exact"/>
              <w:rPr>
                <w:rFonts w:cs="Times New Roman"/>
                <w:sz w:val="21"/>
                <w:szCs w:val="21"/>
              </w:rPr>
            </w:pPr>
            <w:r>
              <w:rPr>
                <w:rFonts w:cs="Times New Roman"/>
                <w:sz w:val="21"/>
                <w:szCs w:val="21"/>
              </w:rPr>
              <w:t>98.91</w:t>
            </w:r>
          </w:p>
        </w:tc>
        <w:tc>
          <w:tcPr>
            <w:tcW w:w="1162" w:type="dxa"/>
            <w:noWrap/>
            <w:vAlign w:val="center"/>
          </w:tcPr>
          <w:p w14:paraId="52D45B6D">
            <w:pPr>
              <w:pStyle w:val="22"/>
              <w:spacing w:line="280" w:lineRule="exact"/>
              <w:rPr>
                <w:rFonts w:cs="Times New Roman"/>
                <w:sz w:val="21"/>
                <w:szCs w:val="21"/>
              </w:rPr>
            </w:pPr>
            <w:r>
              <w:rPr>
                <w:rFonts w:cs="Times New Roman"/>
                <w:sz w:val="21"/>
                <w:szCs w:val="21"/>
              </w:rPr>
              <w:t>98.95</w:t>
            </w:r>
          </w:p>
        </w:tc>
      </w:tr>
      <w:tr w14:paraId="6564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restart"/>
            <w:noWrap/>
            <w:vAlign w:val="center"/>
          </w:tcPr>
          <w:p w14:paraId="74FBA3EF">
            <w:pPr>
              <w:pStyle w:val="22"/>
              <w:spacing w:line="300" w:lineRule="exact"/>
              <w:rPr>
                <w:rFonts w:cs="Times New Roman"/>
                <w:sz w:val="21"/>
                <w:szCs w:val="21"/>
              </w:rPr>
            </w:pPr>
            <w:r>
              <w:rPr>
                <w:rFonts w:cs="Times New Roman"/>
                <w:sz w:val="21"/>
                <w:szCs w:val="21"/>
              </w:rPr>
              <w:t>生</w:t>
            </w:r>
          </w:p>
          <w:p w14:paraId="11EB5217">
            <w:pPr>
              <w:pStyle w:val="22"/>
              <w:spacing w:line="300" w:lineRule="exact"/>
              <w:rPr>
                <w:rFonts w:cs="Times New Roman"/>
                <w:sz w:val="21"/>
                <w:szCs w:val="21"/>
              </w:rPr>
            </w:pPr>
            <w:r>
              <w:rPr>
                <w:rFonts w:cs="Times New Roman"/>
                <w:sz w:val="21"/>
                <w:szCs w:val="21"/>
              </w:rPr>
              <w:t>态</w:t>
            </w:r>
          </w:p>
          <w:p w14:paraId="248DE4C6">
            <w:pPr>
              <w:pStyle w:val="22"/>
              <w:spacing w:line="300" w:lineRule="exact"/>
              <w:rPr>
                <w:rFonts w:cs="Times New Roman"/>
                <w:sz w:val="21"/>
                <w:szCs w:val="21"/>
              </w:rPr>
            </w:pPr>
            <w:r>
              <w:rPr>
                <w:rFonts w:cs="Times New Roman"/>
                <w:sz w:val="21"/>
                <w:szCs w:val="21"/>
              </w:rPr>
              <w:t>生</w:t>
            </w:r>
          </w:p>
          <w:p w14:paraId="2402F52D">
            <w:pPr>
              <w:pStyle w:val="22"/>
              <w:spacing w:line="300" w:lineRule="exact"/>
              <w:rPr>
                <w:rFonts w:cs="Times New Roman"/>
                <w:sz w:val="21"/>
                <w:szCs w:val="21"/>
              </w:rPr>
            </w:pPr>
            <w:r>
              <w:rPr>
                <w:rFonts w:cs="Times New Roman"/>
                <w:sz w:val="21"/>
                <w:szCs w:val="21"/>
              </w:rPr>
              <w:t>活</w:t>
            </w:r>
          </w:p>
        </w:tc>
        <w:tc>
          <w:tcPr>
            <w:tcW w:w="828" w:type="dxa"/>
            <w:vMerge w:val="restart"/>
            <w:noWrap/>
            <w:vAlign w:val="center"/>
          </w:tcPr>
          <w:p w14:paraId="7293A59A">
            <w:pPr>
              <w:pStyle w:val="22"/>
              <w:spacing w:line="300" w:lineRule="exact"/>
              <w:rPr>
                <w:rFonts w:cs="Times New Roman"/>
                <w:sz w:val="21"/>
                <w:szCs w:val="21"/>
              </w:rPr>
            </w:pPr>
            <w:r>
              <w:rPr>
                <w:rFonts w:cs="Times New Roman"/>
                <w:sz w:val="21"/>
                <w:szCs w:val="21"/>
              </w:rPr>
              <w:t>（八）</w:t>
            </w:r>
          </w:p>
          <w:p w14:paraId="44C8B49A">
            <w:pPr>
              <w:pStyle w:val="22"/>
              <w:spacing w:line="300" w:lineRule="exact"/>
              <w:rPr>
                <w:rFonts w:cs="Times New Roman"/>
                <w:sz w:val="21"/>
                <w:szCs w:val="21"/>
              </w:rPr>
            </w:pPr>
            <w:r>
              <w:rPr>
                <w:rFonts w:cs="Times New Roman"/>
                <w:sz w:val="21"/>
                <w:szCs w:val="21"/>
              </w:rPr>
              <w:t>人居环境改善</w:t>
            </w:r>
          </w:p>
        </w:tc>
        <w:tc>
          <w:tcPr>
            <w:tcW w:w="440" w:type="dxa"/>
            <w:noWrap/>
            <w:vAlign w:val="center"/>
          </w:tcPr>
          <w:p w14:paraId="19F5CA85">
            <w:pPr>
              <w:pStyle w:val="22"/>
              <w:spacing w:line="300" w:lineRule="exact"/>
              <w:rPr>
                <w:rFonts w:cs="Times New Roman"/>
                <w:sz w:val="21"/>
                <w:szCs w:val="21"/>
              </w:rPr>
            </w:pPr>
            <w:r>
              <w:rPr>
                <w:rFonts w:cs="Times New Roman"/>
                <w:sz w:val="21"/>
                <w:szCs w:val="21"/>
              </w:rPr>
              <w:t>26</w:t>
            </w:r>
          </w:p>
        </w:tc>
        <w:tc>
          <w:tcPr>
            <w:tcW w:w="2723" w:type="dxa"/>
            <w:noWrap/>
            <w:vAlign w:val="center"/>
          </w:tcPr>
          <w:p w14:paraId="021898AA">
            <w:pPr>
              <w:pStyle w:val="22"/>
              <w:spacing w:line="280" w:lineRule="exact"/>
              <w:jc w:val="both"/>
              <w:rPr>
                <w:rFonts w:cs="Times New Roman"/>
                <w:sz w:val="21"/>
                <w:szCs w:val="21"/>
              </w:rPr>
            </w:pPr>
            <w:r>
              <w:rPr>
                <w:rFonts w:cs="Times New Roman"/>
                <w:sz w:val="21"/>
                <w:szCs w:val="21"/>
              </w:rPr>
              <w:t>集中式饮用水水源地水质优良比例</w:t>
            </w:r>
          </w:p>
        </w:tc>
        <w:tc>
          <w:tcPr>
            <w:tcW w:w="622" w:type="dxa"/>
            <w:noWrap/>
            <w:vAlign w:val="center"/>
          </w:tcPr>
          <w:p w14:paraId="196EC475">
            <w:pPr>
              <w:pStyle w:val="22"/>
              <w:spacing w:line="280" w:lineRule="exact"/>
              <w:rPr>
                <w:rFonts w:cs="Times New Roman"/>
                <w:sz w:val="21"/>
                <w:szCs w:val="21"/>
              </w:rPr>
            </w:pPr>
            <w:r>
              <w:rPr>
                <w:rFonts w:cs="Times New Roman"/>
                <w:sz w:val="21"/>
                <w:szCs w:val="21"/>
              </w:rPr>
              <w:t>%</w:t>
            </w:r>
          </w:p>
        </w:tc>
        <w:tc>
          <w:tcPr>
            <w:tcW w:w="1100" w:type="dxa"/>
            <w:noWrap/>
            <w:vAlign w:val="center"/>
          </w:tcPr>
          <w:p w14:paraId="368C04FB">
            <w:pPr>
              <w:pStyle w:val="22"/>
              <w:spacing w:line="280" w:lineRule="exact"/>
              <w:rPr>
                <w:rFonts w:cs="Times New Roman"/>
                <w:sz w:val="21"/>
                <w:szCs w:val="21"/>
              </w:rPr>
            </w:pPr>
            <w:r>
              <w:rPr>
                <w:rFonts w:cs="Times New Roman"/>
                <w:sz w:val="21"/>
                <w:szCs w:val="21"/>
              </w:rPr>
              <w:t>100</w:t>
            </w:r>
          </w:p>
        </w:tc>
        <w:tc>
          <w:tcPr>
            <w:tcW w:w="1100" w:type="dxa"/>
            <w:noWrap/>
            <w:vAlign w:val="center"/>
          </w:tcPr>
          <w:p w14:paraId="48E82D92">
            <w:pPr>
              <w:pStyle w:val="22"/>
              <w:spacing w:line="280" w:lineRule="exact"/>
              <w:rPr>
                <w:rFonts w:cs="Times New Roman"/>
                <w:sz w:val="21"/>
                <w:szCs w:val="21"/>
              </w:rPr>
            </w:pPr>
            <w:r>
              <w:rPr>
                <w:rFonts w:cs="Times New Roman"/>
                <w:sz w:val="21"/>
                <w:szCs w:val="21"/>
              </w:rPr>
              <w:t>100</w:t>
            </w:r>
          </w:p>
        </w:tc>
        <w:tc>
          <w:tcPr>
            <w:tcW w:w="1034" w:type="dxa"/>
            <w:noWrap/>
            <w:vAlign w:val="center"/>
          </w:tcPr>
          <w:p w14:paraId="636BB44C">
            <w:pPr>
              <w:pStyle w:val="22"/>
              <w:spacing w:line="280" w:lineRule="exact"/>
              <w:rPr>
                <w:rFonts w:cs="Times New Roman"/>
                <w:sz w:val="21"/>
                <w:szCs w:val="21"/>
              </w:rPr>
            </w:pPr>
            <w:r>
              <w:rPr>
                <w:rFonts w:cs="Times New Roman"/>
                <w:sz w:val="21"/>
                <w:szCs w:val="21"/>
              </w:rPr>
              <w:t>约束性</w:t>
            </w:r>
          </w:p>
        </w:tc>
        <w:tc>
          <w:tcPr>
            <w:tcW w:w="1366" w:type="dxa"/>
            <w:noWrap/>
            <w:vAlign w:val="center"/>
          </w:tcPr>
          <w:p w14:paraId="7E96DFF3">
            <w:pPr>
              <w:pStyle w:val="22"/>
              <w:spacing w:line="280" w:lineRule="exact"/>
              <w:rPr>
                <w:rFonts w:cs="Times New Roman"/>
                <w:sz w:val="21"/>
                <w:szCs w:val="21"/>
              </w:rPr>
            </w:pPr>
            <w:r>
              <w:rPr>
                <w:rFonts w:cs="Times New Roman"/>
                <w:sz w:val="21"/>
                <w:szCs w:val="21"/>
              </w:rPr>
              <w:t>100</w:t>
            </w:r>
          </w:p>
        </w:tc>
        <w:tc>
          <w:tcPr>
            <w:tcW w:w="853" w:type="dxa"/>
            <w:noWrap/>
            <w:vAlign w:val="center"/>
          </w:tcPr>
          <w:p w14:paraId="31C5926B">
            <w:pPr>
              <w:pStyle w:val="22"/>
              <w:spacing w:line="280" w:lineRule="exact"/>
              <w:rPr>
                <w:rFonts w:cs="Times New Roman"/>
                <w:sz w:val="21"/>
                <w:szCs w:val="21"/>
              </w:rPr>
            </w:pPr>
            <w:r>
              <w:rPr>
                <w:rFonts w:cs="Times New Roman"/>
                <w:sz w:val="21"/>
                <w:szCs w:val="21"/>
              </w:rPr>
              <w:t>达标</w:t>
            </w:r>
          </w:p>
        </w:tc>
        <w:tc>
          <w:tcPr>
            <w:tcW w:w="1110" w:type="dxa"/>
            <w:noWrap/>
            <w:vAlign w:val="center"/>
          </w:tcPr>
          <w:p w14:paraId="43DD3C08">
            <w:pPr>
              <w:pStyle w:val="22"/>
              <w:spacing w:line="280" w:lineRule="exact"/>
              <w:rPr>
                <w:rFonts w:cs="Times New Roman"/>
                <w:sz w:val="21"/>
                <w:szCs w:val="21"/>
              </w:rPr>
            </w:pPr>
            <w:r>
              <w:rPr>
                <w:rFonts w:cs="Times New Roman"/>
                <w:sz w:val="21"/>
                <w:szCs w:val="21"/>
              </w:rPr>
              <w:t>100</w:t>
            </w:r>
          </w:p>
        </w:tc>
        <w:tc>
          <w:tcPr>
            <w:tcW w:w="1080" w:type="dxa"/>
            <w:noWrap/>
            <w:vAlign w:val="center"/>
          </w:tcPr>
          <w:p w14:paraId="05694F4F">
            <w:pPr>
              <w:pStyle w:val="22"/>
              <w:spacing w:line="280" w:lineRule="exact"/>
              <w:rPr>
                <w:rFonts w:cs="Times New Roman"/>
                <w:sz w:val="21"/>
                <w:szCs w:val="21"/>
              </w:rPr>
            </w:pPr>
            <w:r>
              <w:rPr>
                <w:rFonts w:cs="Times New Roman"/>
                <w:sz w:val="21"/>
                <w:szCs w:val="21"/>
              </w:rPr>
              <w:t>100</w:t>
            </w:r>
          </w:p>
        </w:tc>
        <w:tc>
          <w:tcPr>
            <w:tcW w:w="1162" w:type="dxa"/>
            <w:noWrap/>
            <w:vAlign w:val="center"/>
          </w:tcPr>
          <w:p w14:paraId="71600CEE">
            <w:pPr>
              <w:pStyle w:val="22"/>
              <w:spacing w:line="280" w:lineRule="exact"/>
              <w:rPr>
                <w:rFonts w:cs="Times New Roman"/>
                <w:sz w:val="21"/>
                <w:szCs w:val="21"/>
              </w:rPr>
            </w:pPr>
            <w:r>
              <w:rPr>
                <w:rFonts w:cs="Times New Roman"/>
                <w:sz w:val="21"/>
                <w:szCs w:val="21"/>
              </w:rPr>
              <w:t>100</w:t>
            </w:r>
          </w:p>
        </w:tc>
      </w:tr>
      <w:tr w14:paraId="3F50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continue"/>
            <w:noWrap/>
            <w:vAlign w:val="center"/>
          </w:tcPr>
          <w:p w14:paraId="5646B443">
            <w:pPr>
              <w:pStyle w:val="22"/>
              <w:spacing w:line="300" w:lineRule="exact"/>
              <w:rPr>
                <w:rFonts w:cs="Times New Roman"/>
                <w:sz w:val="21"/>
                <w:szCs w:val="21"/>
              </w:rPr>
            </w:pPr>
          </w:p>
        </w:tc>
        <w:tc>
          <w:tcPr>
            <w:tcW w:w="828" w:type="dxa"/>
            <w:vMerge w:val="continue"/>
            <w:noWrap/>
            <w:vAlign w:val="center"/>
          </w:tcPr>
          <w:p w14:paraId="2ADBF8DD">
            <w:pPr>
              <w:pStyle w:val="22"/>
              <w:spacing w:line="300" w:lineRule="exact"/>
              <w:rPr>
                <w:rFonts w:cs="Times New Roman"/>
                <w:sz w:val="21"/>
                <w:szCs w:val="21"/>
              </w:rPr>
            </w:pPr>
          </w:p>
        </w:tc>
        <w:tc>
          <w:tcPr>
            <w:tcW w:w="440" w:type="dxa"/>
            <w:noWrap/>
            <w:vAlign w:val="center"/>
          </w:tcPr>
          <w:p w14:paraId="22E4A4B0">
            <w:pPr>
              <w:pStyle w:val="22"/>
              <w:spacing w:line="300" w:lineRule="exact"/>
              <w:rPr>
                <w:rFonts w:cs="Times New Roman"/>
                <w:sz w:val="21"/>
                <w:szCs w:val="21"/>
              </w:rPr>
            </w:pPr>
            <w:r>
              <w:rPr>
                <w:rFonts w:cs="Times New Roman"/>
                <w:sz w:val="21"/>
                <w:szCs w:val="21"/>
              </w:rPr>
              <w:t>27</w:t>
            </w:r>
          </w:p>
        </w:tc>
        <w:tc>
          <w:tcPr>
            <w:tcW w:w="2723" w:type="dxa"/>
            <w:noWrap/>
            <w:vAlign w:val="center"/>
          </w:tcPr>
          <w:p w14:paraId="4573BBBA">
            <w:pPr>
              <w:pStyle w:val="22"/>
              <w:spacing w:line="280" w:lineRule="exact"/>
              <w:jc w:val="both"/>
              <w:rPr>
                <w:rFonts w:cs="Times New Roman"/>
                <w:sz w:val="21"/>
                <w:szCs w:val="21"/>
              </w:rPr>
            </w:pPr>
            <w:r>
              <w:rPr>
                <w:rFonts w:cs="Times New Roman"/>
                <w:sz w:val="21"/>
                <w:szCs w:val="21"/>
              </w:rPr>
              <w:t>村镇饮用水卫生合格率</w:t>
            </w:r>
          </w:p>
        </w:tc>
        <w:tc>
          <w:tcPr>
            <w:tcW w:w="622" w:type="dxa"/>
            <w:noWrap/>
            <w:vAlign w:val="center"/>
          </w:tcPr>
          <w:p w14:paraId="4EF91F4F">
            <w:pPr>
              <w:pStyle w:val="22"/>
              <w:spacing w:line="280" w:lineRule="exact"/>
              <w:rPr>
                <w:rFonts w:cs="Times New Roman"/>
                <w:sz w:val="21"/>
                <w:szCs w:val="21"/>
              </w:rPr>
            </w:pPr>
            <w:r>
              <w:rPr>
                <w:rFonts w:cs="Times New Roman"/>
                <w:sz w:val="21"/>
                <w:szCs w:val="21"/>
              </w:rPr>
              <w:t>%</w:t>
            </w:r>
          </w:p>
        </w:tc>
        <w:tc>
          <w:tcPr>
            <w:tcW w:w="1100" w:type="dxa"/>
            <w:noWrap/>
            <w:vAlign w:val="center"/>
          </w:tcPr>
          <w:p w14:paraId="3074A103">
            <w:pPr>
              <w:pStyle w:val="22"/>
              <w:spacing w:line="280" w:lineRule="exact"/>
              <w:rPr>
                <w:rFonts w:cs="Times New Roman"/>
                <w:sz w:val="21"/>
                <w:szCs w:val="21"/>
              </w:rPr>
            </w:pPr>
            <w:r>
              <w:rPr>
                <w:rFonts w:cs="Times New Roman"/>
                <w:sz w:val="21"/>
                <w:szCs w:val="21"/>
              </w:rPr>
              <w:t>100</w:t>
            </w:r>
          </w:p>
        </w:tc>
        <w:tc>
          <w:tcPr>
            <w:tcW w:w="1100" w:type="dxa"/>
            <w:noWrap/>
            <w:vAlign w:val="center"/>
          </w:tcPr>
          <w:p w14:paraId="6C9AEF83">
            <w:pPr>
              <w:pStyle w:val="22"/>
              <w:spacing w:line="280" w:lineRule="exact"/>
              <w:rPr>
                <w:rFonts w:cs="Times New Roman"/>
                <w:sz w:val="21"/>
                <w:szCs w:val="21"/>
              </w:rPr>
            </w:pPr>
            <w:r>
              <w:rPr>
                <w:rFonts w:cs="Times New Roman"/>
                <w:sz w:val="21"/>
                <w:szCs w:val="21"/>
              </w:rPr>
              <w:t>100</w:t>
            </w:r>
          </w:p>
        </w:tc>
        <w:tc>
          <w:tcPr>
            <w:tcW w:w="1034" w:type="dxa"/>
            <w:noWrap/>
            <w:vAlign w:val="center"/>
          </w:tcPr>
          <w:p w14:paraId="391D66FB">
            <w:pPr>
              <w:pStyle w:val="22"/>
              <w:spacing w:line="280" w:lineRule="exact"/>
              <w:rPr>
                <w:rFonts w:cs="Times New Roman"/>
                <w:sz w:val="21"/>
                <w:szCs w:val="21"/>
              </w:rPr>
            </w:pPr>
            <w:r>
              <w:rPr>
                <w:rFonts w:cs="Times New Roman"/>
                <w:sz w:val="21"/>
                <w:szCs w:val="21"/>
              </w:rPr>
              <w:t>约束性</w:t>
            </w:r>
          </w:p>
        </w:tc>
        <w:tc>
          <w:tcPr>
            <w:tcW w:w="1366" w:type="dxa"/>
            <w:noWrap/>
            <w:vAlign w:val="center"/>
          </w:tcPr>
          <w:p w14:paraId="67E6E4A1">
            <w:pPr>
              <w:pStyle w:val="22"/>
              <w:spacing w:line="280" w:lineRule="exact"/>
              <w:rPr>
                <w:rFonts w:cs="Times New Roman"/>
                <w:sz w:val="21"/>
                <w:szCs w:val="21"/>
              </w:rPr>
            </w:pPr>
            <w:r>
              <w:rPr>
                <w:rFonts w:cs="Times New Roman"/>
                <w:sz w:val="21"/>
                <w:szCs w:val="21"/>
              </w:rPr>
              <w:t>100</w:t>
            </w:r>
          </w:p>
        </w:tc>
        <w:tc>
          <w:tcPr>
            <w:tcW w:w="853" w:type="dxa"/>
            <w:noWrap/>
            <w:vAlign w:val="center"/>
          </w:tcPr>
          <w:p w14:paraId="6C88011B">
            <w:pPr>
              <w:pStyle w:val="22"/>
              <w:spacing w:line="280" w:lineRule="exact"/>
              <w:rPr>
                <w:rFonts w:cs="Times New Roman"/>
                <w:sz w:val="21"/>
                <w:szCs w:val="21"/>
              </w:rPr>
            </w:pPr>
            <w:r>
              <w:rPr>
                <w:rFonts w:cs="Times New Roman"/>
                <w:sz w:val="21"/>
                <w:szCs w:val="21"/>
              </w:rPr>
              <w:t>达标</w:t>
            </w:r>
          </w:p>
        </w:tc>
        <w:tc>
          <w:tcPr>
            <w:tcW w:w="1110" w:type="dxa"/>
            <w:noWrap/>
            <w:vAlign w:val="center"/>
          </w:tcPr>
          <w:p w14:paraId="37EEF6AE">
            <w:pPr>
              <w:pStyle w:val="22"/>
              <w:spacing w:line="280" w:lineRule="exact"/>
              <w:rPr>
                <w:rFonts w:cs="Times New Roman"/>
                <w:sz w:val="21"/>
                <w:szCs w:val="21"/>
              </w:rPr>
            </w:pPr>
            <w:r>
              <w:rPr>
                <w:rFonts w:cs="Times New Roman"/>
                <w:sz w:val="21"/>
                <w:szCs w:val="21"/>
              </w:rPr>
              <w:t>100</w:t>
            </w:r>
          </w:p>
        </w:tc>
        <w:tc>
          <w:tcPr>
            <w:tcW w:w="1080" w:type="dxa"/>
            <w:noWrap/>
            <w:vAlign w:val="center"/>
          </w:tcPr>
          <w:p w14:paraId="128310FD">
            <w:pPr>
              <w:pStyle w:val="22"/>
              <w:spacing w:line="280" w:lineRule="exact"/>
              <w:rPr>
                <w:rFonts w:cs="Times New Roman"/>
                <w:sz w:val="21"/>
                <w:szCs w:val="21"/>
              </w:rPr>
            </w:pPr>
            <w:r>
              <w:rPr>
                <w:rFonts w:cs="Times New Roman"/>
                <w:sz w:val="21"/>
                <w:szCs w:val="21"/>
              </w:rPr>
              <w:t>100</w:t>
            </w:r>
          </w:p>
        </w:tc>
        <w:tc>
          <w:tcPr>
            <w:tcW w:w="1162" w:type="dxa"/>
            <w:noWrap/>
            <w:vAlign w:val="center"/>
          </w:tcPr>
          <w:p w14:paraId="5C80C037">
            <w:pPr>
              <w:pStyle w:val="22"/>
              <w:spacing w:line="280" w:lineRule="exact"/>
              <w:rPr>
                <w:rFonts w:cs="Times New Roman"/>
                <w:sz w:val="21"/>
                <w:szCs w:val="21"/>
              </w:rPr>
            </w:pPr>
            <w:r>
              <w:rPr>
                <w:rFonts w:cs="Times New Roman"/>
                <w:sz w:val="21"/>
                <w:szCs w:val="21"/>
              </w:rPr>
              <w:t>100</w:t>
            </w:r>
          </w:p>
        </w:tc>
      </w:tr>
      <w:tr w14:paraId="4125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continue"/>
            <w:noWrap/>
            <w:vAlign w:val="center"/>
          </w:tcPr>
          <w:p w14:paraId="304CD16F">
            <w:pPr>
              <w:pStyle w:val="22"/>
              <w:spacing w:line="300" w:lineRule="exact"/>
              <w:rPr>
                <w:rFonts w:cs="Times New Roman"/>
                <w:sz w:val="21"/>
                <w:szCs w:val="21"/>
              </w:rPr>
            </w:pPr>
          </w:p>
        </w:tc>
        <w:tc>
          <w:tcPr>
            <w:tcW w:w="828" w:type="dxa"/>
            <w:vMerge w:val="continue"/>
            <w:noWrap/>
            <w:vAlign w:val="center"/>
          </w:tcPr>
          <w:p w14:paraId="4762417F">
            <w:pPr>
              <w:pStyle w:val="22"/>
              <w:spacing w:line="300" w:lineRule="exact"/>
              <w:rPr>
                <w:rFonts w:cs="Times New Roman"/>
                <w:sz w:val="21"/>
                <w:szCs w:val="21"/>
              </w:rPr>
            </w:pPr>
          </w:p>
        </w:tc>
        <w:tc>
          <w:tcPr>
            <w:tcW w:w="440" w:type="dxa"/>
            <w:noWrap/>
            <w:vAlign w:val="center"/>
          </w:tcPr>
          <w:p w14:paraId="018823C6">
            <w:pPr>
              <w:pStyle w:val="22"/>
              <w:spacing w:line="300" w:lineRule="exact"/>
              <w:rPr>
                <w:rFonts w:cs="Times New Roman"/>
                <w:sz w:val="21"/>
                <w:szCs w:val="21"/>
              </w:rPr>
            </w:pPr>
            <w:r>
              <w:rPr>
                <w:rFonts w:cs="Times New Roman"/>
                <w:sz w:val="21"/>
                <w:szCs w:val="21"/>
              </w:rPr>
              <w:t>28</w:t>
            </w:r>
          </w:p>
        </w:tc>
        <w:tc>
          <w:tcPr>
            <w:tcW w:w="2723" w:type="dxa"/>
            <w:noWrap/>
            <w:vAlign w:val="center"/>
          </w:tcPr>
          <w:p w14:paraId="009B3F26">
            <w:pPr>
              <w:pStyle w:val="22"/>
              <w:spacing w:line="280" w:lineRule="exact"/>
              <w:jc w:val="both"/>
              <w:rPr>
                <w:rFonts w:cs="Times New Roman"/>
                <w:sz w:val="21"/>
                <w:szCs w:val="21"/>
              </w:rPr>
            </w:pPr>
            <w:r>
              <w:rPr>
                <w:rFonts w:cs="Times New Roman"/>
                <w:sz w:val="21"/>
                <w:szCs w:val="21"/>
              </w:rPr>
              <w:t>城镇污水处理率</w:t>
            </w:r>
          </w:p>
        </w:tc>
        <w:tc>
          <w:tcPr>
            <w:tcW w:w="622" w:type="dxa"/>
            <w:noWrap/>
            <w:vAlign w:val="center"/>
          </w:tcPr>
          <w:p w14:paraId="337CBB10">
            <w:pPr>
              <w:pStyle w:val="22"/>
              <w:spacing w:line="280" w:lineRule="exact"/>
              <w:rPr>
                <w:rFonts w:cs="Times New Roman"/>
                <w:sz w:val="21"/>
                <w:szCs w:val="21"/>
              </w:rPr>
            </w:pPr>
            <w:r>
              <w:rPr>
                <w:rFonts w:cs="Times New Roman"/>
                <w:sz w:val="21"/>
                <w:szCs w:val="21"/>
              </w:rPr>
              <w:t>%</w:t>
            </w:r>
          </w:p>
        </w:tc>
        <w:tc>
          <w:tcPr>
            <w:tcW w:w="1100" w:type="dxa"/>
            <w:noWrap/>
            <w:vAlign w:val="center"/>
          </w:tcPr>
          <w:p w14:paraId="7E48E322">
            <w:pPr>
              <w:pStyle w:val="22"/>
              <w:spacing w:line="280" w:lineRule="exact"/>
              <w:rPr>
                <w:rFonts w:cs="Times New Roman"/>
                <w:sz w:val="21"/>
                <w:szCs w:val="21"/>
              </w:rPr>
            </w:pPr>
            <w:r>
              <w:rPr>
                <w:rFonts w:cs="Times New Roman"/>
                <w:sz w:val="21"/>
                <w:szCs w:val="21"/>
              </w:rPr>
              <w:t>≥85</w:t>
            </w:r>
          </w:p>
        </w:tc>
        <w:tc>
          <w:tcPr>
            <w:tcW w:w="1100" w:type="dxa"/>
            <w:noWrap/>
            <w:vAlign w:val="center"/>
          </w:tcPr>
          <w:p w14:paraId="324D7683">
            <w:pPr>
              <w:pStyle w:val="22"/>
              <w:spacing w:line="280" w:lineRule="exact"/>
              <w:rPr>
                <w:rFonts w:cs="Times New Roman"/>
                <w:sz w:val="21"/>
                <w:szCs w:val="21"/>
              </w:rPr>
            </w:pPr>
            <w:r>
              <w:rPr>
                <w:rFonts w:cs="Times New Roman"/>
                <w:sz w:val="21"/>
                <w:szCs w:val="21"/>
              </w:rPr>
              <w:t>≥85</w:t>
            </w:r>
          </w:p>
        </w:tc>
        <w:tc>
          <w:tcPr>
            <w:tcW w:w="1034" w:type="dxa"/>
            <w:noWrap/>
            <w:vAlign w:val="center"/>
          </w:tcPr>
          <w:p w14:paraId="2FFB5ACB">
            <w:pPr>
              <w:pStyle w:val="22"/>
              <w:spacing w:line="280" w:lineRule="exact"/>
              <w:rPr>
                <w:rFonts w:cs="Times New Roman"/>
                <w:sz w:val="21"/>
                <w:szCs w:val="21"/>
              </w:rPr>
            </w:pPr>
            <w:r>
              <w:rPr>
                <w:rFonts w:cs="Times New Roman"/>
                <w:sz w:val="21"/>
                <w:szCs w:val="21"/>
              </w:rPr>
              <w:t>约束性</w:t>
            </w:r>
          </w:p>
        </w:tc>
        <w:tc>
          <w:tcPr>
            <w:tcW w:w="1366" w:type="dxa"/>
            <w:noWrap/>
            <w:vAlign w:val="center"/>
          </w:tcPr>
          <w:p w14:paraId="4E377B99">
            <w:pPr>
              <w:pStyle w:val="22"/>
              <w:spacing w:line="280" w:lineRule="exact"/>
              <w:rPr>
                <w:rFonts w:cs="Times New Roman"/>
                <w:sz w:val="21"/>
                <w:szCs w:val="21"/>
              </w:rPr>
            </w:pPr>
            <w:r>
              <w:rPr>
                <w:rFonts w:cs="Times New Roman"/>
                <w:sz w:val="21"/>
                <w:szCs w:val="21"/>
              </w:rPr>
              <w:t>95.2</w:t>
            </w:r>
          </w:p>
        </w:tc>
        <w:tc>
          <w:tcPr>
            <w:tcW w:w="853" w:type="dxa"/>
            <w:noWrap/>
            <w:vAlign w:val="center"/>
          </w:tcPr>
          <w:p w14:paraId="5CAAFE12">
            <w:pPr>
              <w:pStyle w:val="22"/>
              <w:spacing w:line="280" w:lineRule="exact"/>
              <w:rPr>
                <w:rFonts w:cs="Times New Roman"/>
                <w:sz w:val="21"/>
                <w:szCs w:val="21"/>
              </w:rPr>
            </w:pPr>
            <w:r>
              <w:rPr>
                <w:rFonts w:cs="Times New Roman"/>
                <w:sz w:val="21"/>
                <w:szCs w:val="21"/>
              </w:rPr>
              <w:t>达标</w:t>
            </w:r>
          </w:p>
        </w:tc>
        <w:tc>
          <w:tcPr>
            <w:tcW w:w="1110" w:type="dxa"/>
            <w:noWrap/>
            <w:vAlign w:val="center"/>
          </w:tcPr>
          <w:p w14:paraId="4D7E50C5">
            <w:pPr>
              <w:pStyle w:val="22"/>
              <w:spacing w:line="280" w:lineRule="exact"/>
              <w:rPr>
                <w:rFonts w:cs="Times New Roman"/>
                <w:sz w:val="21"/>
                <w:szCs w:val="21"/>
              </w:rPr>
            </w:pPr>
            <w:r>
              <w:rPr>
                <w:rFonts w:cs="Times New Roman"/>
                <w:sz w:val="21"/>
                <w:szCs w:val="21"/>
              </w:rPr>
              <w:t>95.3</w:t>
            </w:r>
          </w:p>
        </w:tc>
        <w:tc>
          <w:tcPr>
            <w:tcW w:w="1080" w:type="dxa"/>
            <w:noWrap/>
            <w:vAlign w:val="center"/>
          </w:tcPr>
          <w:p w14:paraId="65F3D60A">
            <w:pPr>
              <w:pStyle w:val="22"/>
              <w:spacing w:line="280" w:lineRule="exact"/>
              <w:rPr>
                <w:rFonts w:cs="Times New Roman"/>
                <w:sz w:val="21"/>
                <w:szCs w:val="21"/>
              </w:rPr>
            </w:pPr>
            <w:r>
              <w:rPr>
                <w:rFonts w:cs="Times New Roman"/>
                <w:sz w:val="21"/>
                <w:szCs w:val="21"/>
              </w:rPr>
              <w:t>95.5</w:t>
            </w:r>
          </w:p>
        </w:tc>
        <w:tc>
          <w:tcPr>
            <w:tcW w:w="1162" w:type="dxa"/>
            <w:noWrap/>
            <w:vAlign w:val="center"/>
          </w:tcPr>
          <w:p w14:paraId="4235B996">
            <w:pPr>
              <w:pStyle w:val="22"/>
              <w:spacing w:line="280" w:lineRule="exact"/>
              <w:rPr>
                <w:rFonts w:cs="Times New Roman"/>
                <w:sz w:val="21"/>
                <w:szCs w:val="21"/>
              </w:rPr>
            </w:pPr>
            <w:r>
              <w:rPr>
                <w:rFonts w:cs="Times New Roman"/>
                <w:sz w:val="21"/>
                <w:szCs w:val="21"/>
              </w:rPr>
              <w:t>95.8</w:t>
            </w:r>
          </w:p>
        </w:tc>
      </w:tr>
      <w:tr w14:paraId="213D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continue"/>
            <w:noWrap/>
            <w:vAlign w:val="center"/>
          </w:tcPr>
          <w:p w14:paraId="4A338E40">
            <w:pPr>
              <w:pStyle w:val="22"/>
              <w:spacing w:line="300" w:lineRule="exact"/>
              <w:rPr>
                <w:rFonts w:cs="Times New Roman"/>
                <w:sz w:val="21"/>
                <w:szCs w:val="21"/>
              </w:rPr>
            </w:pPr>
          </w:p>
        </w:tc>
        <w:tc>
          <w:tcPr>
            <w:tcW w:w="828" w:type="dxa"/>
            <w:vMerge w:val="continue"/>
            <w:noWrap/>
            <w:vAlign w:val="center"/>
          </w:tcPr>
          <w:p w14:paraId="051DF5FB">
            <w:pPr>
              <w:pStyle w:val="22"/>
              <w:spacing w:line="300" w:lineRule="exact"/>
              <w:rPr>
                <w:rFonts w:cs="Times New Roman"/>
                <w:sz w:val="21"/>
                <w:szCs w:val="21"/>
              </w:rPr>
            </w:pPr>
          </w:p>
        </w:tc>
        <w:tc>
          <w:tcPr>
            <w:tcW w:w="440" w:type="dxa"/>
            <w:noWrap/>
            <w:vAlign w:val="center"/>
          </w:tcPr>
          <w:p w14:paraId="348138BC">
            <w:pPr>
              <w:pStyle w:val="22"/>
              <w:spacing w:line="300" w:lineRule="exact"/>
              <w:rPr>
                <w:rFonts w:cs="Times New Roman"/>
                <w:sz w:val="21"/>
                <w:szCs w:val="21"/>
              </w:rPr>
            </w:pPr>
            <w:r>
              <w:rPr>
                <w:rFonts w:cs="Times New Roman"/>
                <w:sz w:val="21"/>
                <w:szCs w:val="21"/>
              </w:rPr>
              <w:t>29</w:t>
            </w:r>
          </w:p>
        </w:tc>
        <w:tc>
          <w:tcPr>
            <w:tcW w:w="2723" w:type="dxa"/>
            <w:noWrap/>
            <w:vAlign w:val="center"/>
          </w:tcPr>
          <w:p w14:paraId="045C880F">
            <w:pPr>
              <w:adjustRightInd w:val="0"/>
              <w:snapToGrid w:val="0"/>
              <w:spacing w:line="280" w:lineRule="exact"/>
              <w:ind w:firstLine="0" w:firstLineChars="0"/>
              <w:rPr>
                <w:rFonts w:cs="Times New Roman"/>
                <w:bCs/>
                <w:sz w:val="21"/>
                <w:szCs w:val="21"/>
              </w:rPr>
            </w:pPr>
            <w:r>
              <w:rPr>
                <w:rFonts w:cs="Times New Roman"/>
                <w:bCs/>
                <w:sz w:val="21"/>
                <w:szCs w:val="21"/>
              </w:rPr>
              <w:t>农村生活污水治理率</w:t>
            </w:r>
          </w:p>
        </w:tc>
        <w:tc>
          <w:tcPr>
            <w:tcW w:w="622" w:type="dxa"/>
            <w:noWrap/>
            <w:vAlign w:val="center"/>
          </w:tcPr>
          <w:p w14:paraId="0036B478">
            <w:pPr>
              <w:adjustRightInd w:val="0"/>
              <w:snapToGrid w:val="0"/>
              <w:spacing w:line="280" w:lineRule="exact"/>
              <w:ind w:firstLine="0" w:firstLineChars="0"/>
              <w:jc w:val="center"/>
              <w:rPr>
                <w:rFonts w:cs="Times New Roman"/>
                <w:bCs/>
                <w:sz w:val="21"/>
                <w:szCs w:val="21"/>
              </w:rPr>
            </w:pPr>
            <w:r>
              <w:rPr>
                <w:rFonts w:cs="Times New Roman"/>
                <w:bCs/>
                <w:sz w:val="21"/>
                <w:szCs w:val="21"/>
              </w:rPr>
              <w:t>%</w:t>
            </w:r>
          </w:p>
        </w:tc>
        <w:tc>
          <w:tcPr>
            <w:tcW w:w="1100" w:type="dxa"/>
            <w:noWrap/>
            <w:vAlign w:val="center"/>
          </w:tcPr>
          <w:p w14:paraId="1A2DE407">
            <w:pPr>
              <w:adjustRightInd w:val="0"/>
              <w:snapToGrid w:val="0"/>
              <w:spacing w:line="280" w:lineRule="exact"/>
              <w:ind w:firstLine="420"/>
              <w:rPr>
                <w:rFonts w:cs="Times New Roman"/>
                <w:bCs/>
                <w:sz w:val="21"/>
                <w:szCs w:val="21"/>
              </w:rPr>
            </w:pPr>
            <w:r>
              <w:rPr>
                <w:rFonts w:cs="Times New Roman"/>
                <w:bCs/>
                <w:sz w:val="21"/>
                <w:szCs w:val="21"/>
              </w:rPr>
              <w:t>—</w:t>
            </w:r>
          </w:p>
        </w:tc>
        <w:tc>
          <w:tcPr>
            <w:tcW w:w="1100" w:type="dxa"/>
            <w:noWrap/>
            <w:vAlign w:val="center"/>
          </w:tcPr>
          <w:p w14:paraId="1817BBAB">
            <w:pPr>
              <w:adjustRightInd w:val="0"/>
              <w:snapToGrid w:val="0"/>
              <w:spacing w:line="280" w:lineRule="exact"/>
              <w:ind w:firstLine="420"/>
              <w:rPr>
                <w:rFonts w:cs="Times New Roman"/>
                <w:bCs/>
                <w:sz w:val="21"/>
                <w:szCs w:val="21"/>
              </w:rPr>
            </w:pPr>
            <w:r>
              <w:rPr>
                <w:rFonts w:cs="Times New Roman"/>
                <w:bCs/>
                <w:sz w:val="21"/>
                <w:szCs w:val="21"/>
              </w:rPr>
              <w:t>≥50</w:t>
            </w:r>
          </w:p>
        </w:tc>
        <w:tc>
          <w:tcPr>
            <w:tcW w:w="1034" w:type="dxa"/>
            <w:noWrap/>
            <w:vAlign w:val="center"/>
          </w:tcPr>
          <w:p w14:paraId="0ACAEE56">
            <w:pPr>
              <w:pStyle w:val="22"/>
              <w:spacing w:line="280" w:lineRule="exact"/>
              <w:rPr>
                <w:rFonts w:cs="Times New Roman"/>
                <w:sz w:val="21"/>
                <w:szCs w:val="21"/>
              </w:rPr>
            </w:pPr>
            <w:r>
              <w:rPr>
                <w:rFonts w:cs="Times New Roman"/>
                <w:sz w:val="21"/>
                <w:szCs w:val="21"/>
              </w:rPr>
              <w:t>参考性</w:t>
            </w:r>
          </w:p>
        </w:tc>
        <w:tc>
          <w:tcPr>
            <w:tcW w:w="1366" w:type="dxa"/>
            <w:noWrap/>
            <w:vAlign w:val="center"/>
          </w:tcPr>
          <w:p w14:paraId="2F3F2758">
            <w:pPr>
              <w:pStyle w:val="22"/>
              <w:spacing w:line="280" w:lineRule="exact"/>
              <w:rPr>
                <w:rFonts w:cs="Times New Roman"/>
                <w:sz w:val="21"/>
                <w:szCs w:val="21"/>
              </w:rPr>
            </w:pPr>
            <w:r>
              <w:rPr>
                <w:rFonts w:cs="Times New Roman"/>
                <w:sz w:val="21"/>
                <w:szCs w:val="21"/>
              </w:rPr>
              <w:t>47.2</w:t>
            </w:r>
          </w:p>
        </w:tc>
        <w:tc>
          <w:tcPr>
            <w:tcW w:w="853" w:type="dxa"/>
            <w:noWrap/>
            <w:vAlign w:val="center"/>
          </w:tcPr>
          <w:p w14:paraId="6E7D2695">
            <w:pPr>
              <w:pStyle w:val="22"/>
              <w:spacing w:line="280" w:lineRule="exact"/>
              <w:rPr>
                <w:rFonts w:cs="Times New Roman"/>
                <w:sz w:val="21"/>
                <w:szCs w:val="21"/>
              </w:rPr>
            </w:pPr>
            <w:r>
              <w:rPr>
                <w:rFonts w:cs="Times New Roman"/>
                <w:sz w:val="21"/>
                <w:szCs w:val="21"/>
              </w:rPr>
              <w:t>未达标</w:t>
            </w:r>
          </w:p>
        </w:tc>
        <w:tc>
          <w:tcPr>
            <w:tcW w:w="1110" w:type="dxa"/>
            <w:noWrap/>
            <w:vAlign w:val="center"/>
          </w:tcPr>
          <w:p w14:paraId="55ECD3F9">
            <w:pPr>
              <w:pStyle w:val="22"/>
              <w:spacing w:line="280" w:lineRule="exact"/>
              <w:rPr>
                <w:rFonts w:cs="Times New Roman"/>
                <w:sz w:val="21"/>
                <w:szCs w:val="21"/>
              </w:rPr>
            </w:pPr>
            <w:r>
              <w:rPr>
                <w:rFonts w:cs="Times New Roman"/>
                <w:sz w:val="21"/>
                <w:szCs w:val="21"/>
              </w:rPr>
              <w:t>50.2</w:t>
            </w:r>
          </w:p>
        </w:tc>
        <w:tc>
          <w:tcPr>
            <w:tcW w:w="1080" w:type="dxa"/>
            <w:noWrap/>
            <w:vAlign w:val="center"/>
          </w:tcPr>
          <w:p w14:paraId="274198C5">
            <w:pPr>
              <w:pStyle w:val="22"/>
              <w:spacing w:line="280" w:lineRule="exact"/>
              <w:rPr>
                <w:rFonts w:cs="Times New Roman"/>
                <w:sz w:val="21"/>
                <w:szCs w:val="21"/>
              </w:rPr>
            </w:pPr>
            <w:r>
              <w:rPr>
                <w:rFonts w:cs="Times New Roman"/>
                <w:sz w:val="21"/>
                <w:szCs w:val="21"/>
              </w:rPr>
              <w:t>50.5</w:t>
            </w:r>
          </w:p>
        </w:tc>
        <w:tc>
          <w:tcPr>
            <w:tcW w:w="1162" w:type="dxa"/>
            <w:noWrap/>
            <w:vAlign w:val="center"/>
          </w:tcPr>
          <w:p w14:paraId="3B22E9C4">
            <w:pPr>
              <w:pStyle w:val="22"/>
              <w:spacing w:line="280" w:lineRule="exact"/>
              <w:rPr>
                <w:rFonts w:cs="Times New Roman"/>
                <w:sz w:val="21"/>
                <w:szCs w:val="21"/>
              </w:rPr>
            </w:pPr>
            <w:r>
              <w:rPr>
                <w:rFonts w:cs="Times New Roman"/>
                <w:sz w:val="21"/>
                <w:szCs w:val="21"/>
              </w:rPr>
              <w:t>50.8</w:t>
            </w:r>
          </w:p>
        </w:tc>
      </w:tr>
      <w:tr w14:paraId="3D3C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continue"/>
            <w:noWrap/>
            <w:vAlign w:val="center"/>
          </w:tcPr>
          <w:p w14:paraId="770118A9">
            <w:pPr>
              <w:pStyle w:val="22"/>
              <w:spacing w:line="300" w:lineRule="exact"/>
              <w:rPr>
                <w:rFonts w:cs="Times New Roman"/>
                <w:sz w:val="21"/>
                <w:szCs w:val="21"/>
              </w:rPr>
            </w:pPr>
          </w:p>
        </w:tc>
        <w:tc>
          <w:tcPr>
            <w:tcW w:w="828" w:type="dxa"/>
            <w:vMerge w:val="continue"/>
            <w:noWrap/>
            <w:vAlign w:val="center"/>
          </w:tcPr>
          <w:p w14:paraId="4EF65FE8">
            <w:pPr>
              <w:pStyle w:val="22"/>
              <w:spacing w:line="300" w:lineRule="exact"/>
              <w:rPr>
                <w:rFonts w:cs="Times New Roman"/>
                <w:sz w:val="21"/>
                <w:szCs w:val="21"/>
              </w:rPr>
            </w:pPr>
          </w:p>
        </w:tc>
        <w:tc>
          <w:tcPr>
            <w:tcW w:w="440" w:type="dxa"/>
            <w:noWrap/>
            <w:vAlign w:val="center"/>
          </w:tcPr>
          <w:p w14:paraId="724F7A81">
            <w:pPr>
              <w:pStyle w:val="22"/>
              <w:spacing w:line="300" w:lineRule="exact"/>
              <w:rPr>
                <w:rFonts w:cs="Times New Roman"/>
                <w:sz w:val="21"/>
                <w:szCs w:val="21"/>
              </w:rPr>
            </w:pPr>
            <w:r>
              <w:rPr>
                <w:rFonts w:cs="Times New Roman"/>
                <w:sz w:val="21"/>
                <w:szCs w:val="21"/>
              </w:rPr>
              <w:t>30</w:t>
            </w:r>
          </w:p>
        </w:tc>
        <w:tc>
          <w:tcPr>
            <w:tcW w:w="2723" w:type="dxa"/>
            <w:noWrap/>
            <w:vAlign w:val="center"/>
          </w:tcPr>
          <w:p w14:paraId="1E9D47BD">
            <w:pPr>
              <w:pStyle w:val="22"/>
              <w:spacing w:line="280" w:lineRule="exact"/>
              <w:jc w:val="both"/>
              <w:rPr>
                <w:rFonts w:cs="Times New Roman"/>
                <w:sz w:val="21"/>
                <w:szCs w:val="21"/>
              </w:rPr>
            </w:pPr>
            <w:r>
              <w:rPr>
                <w:rFonts w:cs="Times New Roman"/>
                <w:sz w:val="21"/>
                <w:szCs w:val="21"/>
              </w:rPr>
              <w:t>城镇生活垃圾无害化处理率</w:t>
            </w:r>
          </w:p>
        </w:tc>
        <w:tc>
          <w:tcPr>
            <w:tcW w:w="622" w:type="dxa"/>
            <w:noWrap/>
            <w:vAlign w:val="center"/>
          </w:tcPr>
          <w:p w14:paraId="170B6E58">
            <w:pPr>
              <w:pStyle w:val="22"/>
              <w:spacing w:line="280" w:lineRule="exact"/>
              <w:rPr>
                <w:rFonts w:cs="Times New Roman"/>
                <w:sz w:val="21"/>
                <w:szCs w:val="21"/>
              </w:rPr>
            </w:pPr>
            <w:r>
              <w:rPr>
                <w:rFonts w:cs="Times New Roman"/>
                <w:sz w:val="21"/>
                <w:szCs w:val="21"/>
              </w:rPr>
              <w:t>%</w:t>
            </w:r>
          </w:p>
        </w:tc>
        <w:tc>
          <w:tcPr>
            <w:tcW w:w="1100" w:type="dxa"/>
            <w:noWrap/>
            <w:vAlign w:val="center"/>
          </w:tcPr>
          <w:p w14:paraId="66341B7A">
            <w:pPr>
              <w:pStyle w:val="22"/>
              <w:spacing w:line="280" w:lineRule="exact"/>
              <w:rPr>
                <w:rFonts w:cs="Times New Roman"/>
                <w:sz w:val="21"/>
                <w:szCs w:val="21"/>
              </w:rPr>
            </w:pPr>
            <w:r>
              <w:rPr>
                <w:rFonts w:cs="Times New Roman"/>
                <w:sz w:val="21"/>
                <w:szCs w:val="21"/>
              </w:rPr>
              <w:t>≥80</w:t>
            </w:r>
          </w:p>
        </w:tc>
        <w:tc>
          <w:tcPr>
            <w:tcW w:w="1100" w:type="dxa"/>
            <w:noWrap/>
            <w:vAlign w:val="center"/>
          </w:tcPr>
          <w:p w14:paraId="6A036211">
            <w:pPr>
              <w:pStyle w:val="22"/>
              <w:spacing w:line="280" w:lineRule="exact"/>
              <w:rPr>
                <w:rFonts w:cs="Times New Roman"/>
                <w:sz w:val="21"/>
                <w:szCs w:val="21"/>
              </w:rPr>
            </w:pPr>
            <w:r>
              <w:rPr>
                <w:rFonts w:cs="Times New Roman"/>
                <w:sz w:val="21"/>
                <w:szCs w:val="21"/>
              </w:rPr>
              <w:t>≥80</w:t>
            </w:r>
          </w:p>
        </w:tc>
        <w:tc>
          <w:tcPr>
            <w:tcW w:w="1034" w:type="dxa"/>
            <w:noWrap/>
            <w:vAlign w:val="center"/>
          </w:tcPr>
          <w:p w14:paraId="08540AFB">
            <w:pPr>
              <w:pStyle w:val="22"/>
              <w:spacing w:line="280" w:lineRule="exact"/>
              <w:rPr>
                <w:rFonts w:cs="Times New Roman"/>
                <w:sz w:val="21"/>
                <w:szCs w:val="21"/>
              </w:rPr>
            </w:pPr>
            <w:r>
              <w:rPr>
                <w:rFonts w:cs="Times New Roman"/>
                <w:sz w:val="21"/>
                <w:szCs w:val="21"/>
              </w:rPr>
              <w:t>约束性</w:t>
            </w:r>
          </w:p>
        </w:tc>
        <w:tc>
          <w:tcPr>
            <w:tcW w:w="1366" w:type="dxa"/>
            <w:noWrap/>
            <w:vAlign w:val="center"/>
          </w:tcPr>
          <w:p w14:paraId="14F6288F">
            <w:pPr>
              <w:pStyle w:val="22"/>
              <w:spacing w:line="280" w:lineRule="exact"/>
              <w:rPr>
                <w:rFonts w:cs="Times New Roman"/>
                <w:sz w:val="21"/>
                <w:szCs w:val="21"/>
              </w:rPr>
            </w:pPr>
            <w:r>
              <w:rPr>
                <w:rFonts w:cs="Times New Roman"/>
                <w:sz w:val="21"/>
                <w:szCs w:val="21"/>
              </w:rPr>
              <w:t>100</w:t>
            </w:r>
          </w:p>
        </w:tc>
        <w:tc>
          <w:tcPr>
            <w:tcW w:w="853" w:type="dxa"/>
            <w:noWrap/>
            <w:vAlign w:val="center"/>
          </w:tcPr>
          <w:p w14:paraId="5C26A5F3">
            <w:pPr>
              <w:pStyle w:val="22"/>
              <w:spacing w:line="280" w:lineRule="exact"/>
              <w:rPr>
                <w:rFonts w:cs="Times New Roman"/>
                <w:sz w:val="21"/>
                <w:szCs w:val="21"/>
              </w:rPr>
            </w:pPr>
            <w:r>
              <w:rPr>
                <w:rFonts w:cs="Times New Roman"/>
                <w:sz w:val="21"/>
                <w:szCs w:val="21"/>
              </w:rPr>
              <w:t>达标</w:t>
            </w:r>
          </w:p>
        </w:tc>
        <w:tc>
          <w:tcPr>
            <w:tcW w:w="1110" w:type="dxa"/>
            <w:noWrap/>
            <w:vAlign w:val="center"/>
          </w:tcPr>
          <w:p w14:paraId="1C44CAD2">
            <w:pPr>
              <w:pStyle w:val="22"/>
              <w:spacing w:line="280" w:lineRule="exact"/>
              <w:rPr>
                <w:rFonts w:cs="Times New Roman"/>
                <w:sz w:val="21"/>
                <w:szCs w:val="21"/>
              </w:rPr>
            </w:pPr>
            <w:r>
              <w:rPr>
                <w:rFonts w:cs="Times New Roman"/>
                <w:sz w:val="21"/>
                <w:szCs w:val="21"/>
              </w:rPr>
              <w:t>100</w:t>
            </w:r>
          </w:p>
        </w:tc>
        <w:tc>
          <w:tcPr>
            <w:tcW w:w="1080" w:type="dxa"/>
            <w:noWrap/>
            <w:vAlign w:val="center"/>
          </w:tcPr>
          <w:p w14:paraId="2FEACB8D">
            <w:pPr>
              <w:pStyle w:val="22"/>
              <w:spacing w:line="280" w:lineRule="exact"/>
              <w:rPr>
                <w:rFonts w:cs="Times New Roman"/>
                <w:sz w:val="21"/>
                <w:szCs w:val="21"/>
              </w:rPr>
            </w:pPr>
            <w:r>
              <w:rPr>
                <w:rFonts w:cs="Times New Roman"/>
                <w:sz w:val="21"/>
                <w:szCs w:val="21"/>
              </w:rPr>
              <w:t>100</w:t>
            </w:r>
          </w:p>
        </w:tc>
        <w:tc>
          <w:tcPr>
            <w:tcW w:w="1162" w:type="dxa"/>
            <w:noWrap/>
            <w:vAlign w:val="center"/>
          </w:tcPr>
          <w:p w14:paraId="45C103FB">
            <w:pPr>
              <w:pStyle w:val="22"/>
              <w:spacing w:line="280" w:lineRule="exact"/>
              <w:rPr>
                <w:rFonts w:cs="Times New Roman"/>
                <w:sz w:val="21"/>
                <w:szCs w:val="21"/>
              </w:rPr>
            </w:pPr>
            <w:r>
              <w:rPr>
                <w:rFonts w:cs="Times New Roman"/>
                <w:sz w:val="21"/>
                <w:szCs w:val="21"/>
              </w:rPr>
              <w:t>100</w:t>
            </w:r>
          </w:p>
        </w:tc>
      </w:tr>
      <w:tr w14:paraId="19BD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503" w:type="dxa"/>
            <w:vMerge w:val="continue"/>
            <w:noWrap/>
            <w:vAlign w:val="center"/>
          </w:tcPr>
          <w:p w14:paraId="058D5719">
            <w:pPr>
              <w:pStyle w:val="22"/>
              <w:spacing w:line="300" w:lineRule="exact"/>
              <w:rPr>
                <w:rFonts w:cs="Times New Roman"/>
                <w:sz w:val="21"/>
                <w:szCs w:val="21"/>
              </w:rPr>
            </w:pPr>
          </w:p>
        </w:tc>
        <w:tc>
          <w:tcPr>
            <w:tcW w:w="828" w:type="dxa"/>
            <w:vMerge w:val="continue"/>
            <w:noWrap/>
            <w:vAlign w:val="center"/>
          </w:tcPr>
          <w:p w14:paraId="33825825">
            <w:pPr>
              <w:pStyle w:val="22"/>
              <w:spacing w:line="300" w:lineRule="exact"/>
              <w:rPr>
                <w:rFonts w:cs="Times New Roman"/>
                <w:sz w:val="21"/>
                <w:szCs w:val="21"/>
              </w:rPr>
            </w:pPr>
          </w:p>
        </w:tc>
        <w:tc>
          <w:tcPr>
            <w:tcW w:w="440" w:type="dxa"/>
            <w:noWrap/>
            <w:vAlign w:val="center"/>
          </w:tcPr>
          <w:p w14:paraId="434E429B">
            <w:pPr>
              <w:pStyle w:val="22"/>
              <w:spacing w:line="300" w:lineRule="exact"/>
              <w:rPr>
                <w:rFonts w:cs="Times New Roman"/>
                <w:sz w:val="21"/>
                <w:szCs w:val="21"/>
              </w:rPr>
            </w:pPr>
            <w:r>
              <w:rPr>
                <w:rFonts w:cs="Times New Roman"/>
                <w:sz w:val="21"/>
                <w:szCs w:val="21"/>
              </w:rPr>
              <w:t>31</w:t>
            </w:r>
          </w:p>
        </w:tc>
        <w:tc>
          <w:tcPr>
            <w:tcW w:w="2723" w:type="dxa"/>
            <w:noWrap/>
            <w:vAlign w:val="center"/>
          </w:tcPr>
          <w:p w14:paraId="595B41A2">
            <w:pPr>
              <w:adjustRightInd w:val="0"/>
              <w:snapToGrid w:val="0"/>
              <w:spacing w:line="280" w:lineRule="exact"/>
              <w:ind w:firstLine="0" w:firstLineChars="0"/>
              <w:rPr>
                <w:rFonts w:cs="Times New Roman"/>
                <w:bCs/>
                <w:sz w:val="21"/>
                <w:szCs w:val="21"/>
              </w:rPr>
            </w:pPr>
            <w:r>
              <w:rPr>
                <w:rFonts w:cs="Times New Roman"/>
                <w:bCs/>
                <w:sz w:val="21"/>
                <w:szCs w:val="21"/>
              </w:rPr>
              <w:t>农村生活垃圾无害化处理村占比</w:t>
            </w:r>
          </w:p>
        </w:tc>
        <w:tc>
          <w:tcPr>
            <w:tcW w:w="622" w:type="dxa"/>
            <w:noWrap/>
            <w:vAlign w:val="center"/>
          </w:tcPr>
          <w:p w14:paraId="4F172B2E">
            <w:pPr>
              <w:adjustRightInd w:val="0"/>
              <w:snapToGrid w:val="0"/>
              <w:spacing w:line="280" w:lineRule="exact"/>
              <w:ind w:firstLine="0" w:firstLineChars="0"/>
              <w:jc w:val="center"/>
              <w:rPr>
                <w:rFonts w:cs="Times New Roman"/>
                <w:bCs/>
                <w:sz w:val="21"/>
                <w:szCs w:val="21"/>
              </w:rPr>
            </w:pPr>
            <w:r>
              <w:rPr>
                <w:rFonts w:cs="Times New Roman"/>
                <w:bCs/>
                <w:sz w:val="21"/>
                <w:szCs w:val="21"/>
              </w:rPr>
              <w:t>%</w:t>
            </w:r>
          </w:p>
        </w:tc>
        <w:tc>
          <w:tcPr>
            <w:tcW w:w="1100" w:type="dxa"/>
            <w:noWrap/>
            <w:vAlign w:val="center"/>
          </w:tcPr>
          <w:p w14:paraId="7951ADFD">
            <w:pPr>
              <w:adjustRightInd w:val="0"/>
              <w:snapToGrid w:val="0"/>
              <w:spacing w:line="280" w:lineRule="exact"/>
              <w:ind w:firstLine="420"/>
              <w:rPr>
                <w:rFonts w:cs="Times New Roman"/>
                <w:bCs/>
                <w:sz w:val="21"/>
                <w:szCs w:val="21"/>
              </w:rPr>
            </w:pPr>
            <w:r>
              <w:rPr>
                <w:rFonts w:cs="Times New Roman"/>
                <w:bCs/>
                <w:sz w:val="21"/>
                <w:szCs w:val="21"/>
              </w:rPr>
              <w:t>—</w:t>
            </w:r>
          </w:p>
        </w:tc>
        <w:tc>
          <w:tcPr>
            <w:tcW w:w="1100" w:type="dxa"/>
            <w:noWrap/>
            <w:vAlign w:val="center"/>
          </w:tcPr>
          <w:p w14:paraId="25F8E483">
            <w:pPr>
              <w:pStyle w:val="22"/>
              <w:spacing w:line="280" w:lineRule="exact"/>
              <w:rPr>
                <w:rFonts w:cs="Times New Roman"/>
                <w:sz w:val="21"/>
                <w:szCs w:val="21"/>
              </w:rPr>
            </w:pPr>
            <w:r>
              <w:rPr>
                <w:rFonts w:cs="Times New Roman"/>
                <w:sz w:val="21"/>
                <w:szCs w:val="21"/>
              </w:rPr>
              <w:t>≥80</w:t>
            </w:r>
          </w:p>
        </w:tc>
        <w:tc>
          <w:tcPr>
            <w:tcW w:w="1034" w:type="dxa"/>
            <w:noWrap/>
            <w:vAlign w:val="center"/>
          </w:tcPr>
          <w:p w14:paraId="005435CB">
            <w:pPr>
              <w:pStyle w:val="22"/>
              <w:spacing w:line="280" w:lineRule="exact"/>
              <w:rPr>
                <w:rFonts w:cs="Times New Roman"/>
                <w:sz w:val="21"/>
                <w:szCs w:val="21"/>
              </w:rPr>
            </w:pPr>
            <w:r>
              <w:rPr>
                <w:rFonts w:cs="Times New Roman"/>
                <w:sz w:val="21"/>
                <w:szCs w:val="21"/>
              </w:rPr>
              <w:t>参考性</w:t>
            </w:r>
          </w:p>
        </w:tc>
        <w:tc>
          <w:tcPr>
            <w:tcW w:w="1366" w:type="dxa"/>
            <w:noWrap/>
            <w:vAlign w:val="center"/>
          </w:tcPr>
          <w:p w14:paraId="7B6E5F0B">
            <w:pPr>
              <w:pStyle w:val="22"/>
              <w:spacing w:line="280" w:lineRule="exact"/>
              <w:rPr>
                <w:rFonts w:cs="Times New Roman"/>
                <w:sz w:val="21"/>
                <w:szCs w:val="21"/>
              </w:rPr>
            </w:pPr>
            <w:r>
              <w:rPr>
                <w:rFonts w:cs="Times New Roman"/>
                <w:sz w:val="21"/>
                <w:szCs w:val="21"/>
              </w:rPr>
              <w:t>100</w:t>
            </w:r>
          </w:p>
        </w:tc>
        <w:tc>
          <w:tcPr>
            <w:tcW w:w="853" w:type="dxa"/>
            <w:noWrap/>
            <w:vAlign w:val="center"/>
          </w:tcPr>
          <w:p w14:paraId="66645A31">
            <w:pPr>
              <w:pStyle w:val="22"/>
              <w:spacing w:line="280" w:lineRule="exact"/>
              <w:rPr>
                <w:rFonts w:cs="Times New Roman"/>
                <w:sz w:val="21"/>
                <w:szCs w:val="21"/>
              </w:rPr>
            </w:pPr>
            <w:r>
              <w:rPr>
                <w:rFonts w:cs="Times New Roman"/>
                <w:sz w:val="21"/>
                <w:szCs w:val="21"/>
              </w:rPr>
              <w:t>达标</w:t>
            </w:r>
          </w:p>
        </w:tc>
        <w:tc>
          <w:tcPr>
            <w:tcW w:w="1110" w:type="dxa"/>
            <w:noWrap/>
            <w:vAlign w:val="center"/>
          </w:tcPr>
          <w:p w14:paraId="56BA7CC5">
            <w:pPr>
              <w:pStyle w:val="22"/>
              <w:spacing w:line="280" w:lineRule="exact"/>
              <w:rPr>
                <w:rFonts w:cs="Times New Roman"/>
                <w:sz w:val="21"/>
                <w:szCs w:val="21"/>
              </w:rPr>
            </w:pPr>
            <w:r>
              <w:rPr>
                <w:rFonts w:cs="Times New Roman"/>
                <w:sz w:val="21"/>
                <w:szCs w:val="21"/>
              </w:rPr>
              <w:t>100</w:t>
            </w:r>
          </w:p>
        </w:tc>
        <w:tc>
          <w:tcPr>
            <w:tcW w:w="1080" w:type="dxa"/>
            <w:noWrap/>
            <w:vAlign w:val="center"/>
          </w:tcPr>
          <w:p w14:paraId="055210F7">
            <w:pPr>
              <w:pStyle w:val="22"/>
              <w:spacing w:line="280" w:lineRule="exact"/>
              <w:rPr>
                <w:rFonts w:cs="Times New Roman"/>
                <w:sz w:val="21"/>
                <w:szCs w:val="21"/>
              </w:rPr>
            </w:pPr>
            <w:r>
              <w:rPr>
                <w:rFonts w:cs="Times New Roman"/>
                <w:sz w:val="21"/>
                <w:szCs w:val="21"/>
              </w:rPr>
              <w:t>100</w:t>
            </w:r>
          </w:p>
        </w:tc>
        <w:tc>
          <w:tcPr>
            <w:tcW w:w="1162" w:type="dxa"/>
            <w:noWrap/>
            <w:vAlign w:val="center"/>
          </w:tcPr>
          <w:p w14:paraId="320EDE9E">
            <w:pPr>
              <w:pStyle w:val="22"/>
              <w:spacing w:line="280" w:lineRule="exact"/>
              <w:rPr>
                <w:rFonts w:cs="Times New Roman"/>
                <w:sz w:val="21"/>
                <w:szCs w:val="21"/>
              </w:rPr>
            </w:pPr>
            <w:r>
              <w:rPr>
                <w:rFonts w:cs="Times New Roman"/>
                <w:sz w:val="21"/>
                <w:szCs w:val="21"/>
              </w:rPr>
              <w:t>100</w:t>
            </w:r>
          </w:p>
        </w:tc>
      </w:tr>
      <w:tr w14:paraId="0D88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1AF20B64">
            <w:pPr>
              <w:pStyle w:val="22"/>
              <w:spacing w:line="300" w:lineRule="exact"/>
              <w:rPr>
                <w:rFonts w:cs="Times New Roman"/>
                <w:sz w:val="21"/>
                <w:szCs w:val="21"/>
              </w:rPr>
            </w:pPr>
          </w:p>
        </w:tc>
        <w:tc>
          <w:tcPr>
            <w:tcW w:w="828" w:type="dxa"/>
            <w:vMerge w:val="continue"/>
            <w:noWrap/>
            <w:vAlign w:val="center"/>
          </w:tcPr>
          <w:p w14:paraId="37866FB9">
            <w:pPr>
              <w:pStyle w:val="22"/>
              <w:spacing w:line="300" w:lineRule="exact"/>
              <w:rPr>
                <w:rFonts w:cs="Times New Roman"/>
                <w:sz w:val="21"/>
                <w:szCs w:val="21"/>
              </w:rPr>
            </w:pPr>
          </w:p>
        </w:tc>
        <w:tc>
          <w:tcPr>
            <w:tcW w:w="440" w:type="dxa"/>
            <w:noWrap/>
            <w:vAlign w:val="center"/>
          </w:tcPr>
          <w:p w14:paraId="309FD6CB">
            <w:pPr>
              <w:pStyle w:val="22"/>
              <w:spacing w:line="280" w:lineRule="exact"/>
              <w:rPr>
                <w:rFonts w:cs="Times New Roman"/>
                <w:sz w:val="21"/>
                <w:szCs w:val="21"/>
              </w:rPr>
            </w:pPr>
            <w:r>
              <w:rPr>
                <w:rFonts w:cs="Times New Roman"/>
                <w:sz w:val="21"/>
                <w:szCs w:val="21"/>
              </w:rPr>
              <w:t>32</w:t>
            </w:r>
          </w:p>
        </w:tc>
        <w:tc>
          <w:tcPr>
            <w:tcW w:w="2723" w:type="dxa"/>
            <w:noWrap/>
            <w:vAlign w:val="center"/>
          </w:tcPr>
          <w:p w14:paraId="584E6109">
            <w:pPr>
              <w:adjustRightInd w:val="0"/>
              <w:snapToGrid w:val="0"/>
              <w:spacing w:line="260" w:lineRule="exact"/>
              <w:ind w:firstLine="0" w:firstLineChars="0"/>
              <w:rPr>
                <w:rFonts w:cs="Times New Roman"/>
                <w:bCs/>
                <w:sz w:val="21"/>
                <w:szCs w:val="21"/>
              </w:rPr>
            </w:pPr>
            <w:r>
              <w:rPr>
                <w:rFonts w:cs="Times New Roman"/>
                <w:bCs/>
                <w:sz w:val="21"/>
                <w:szCs w:val="21"/>
              </w:rPr>
              <w:t>农村无害化卫生厕所普及率</w:t>
            </w:r>
          </w:p>
        </w:tc>
        <w:tc>
          <w:tcPr>
            <w:tcW w:w="622" w:type="dxa"/>
            <w:noWrap/>
            <w:vAlign w:val="center"/>
          </w:tcPr>
          <w:p w14:paraId="6CD6B36B">
            <w:pPr>
              <w:adjustRightInd w:val="0"/>
              <w:snapToGrid w:val="0"/>
              <w:spacing w:line="260" w:lineRule="exact"/>
              <w:ind w:firstLine="0" w:firstLineChars="0"/>
              <w:jc w:val="center"/>
              <w:rPr>
                <w:rFonts w:cs="Times New Roman"/>
                <w:bCs/>
                <w:sz w:val="21"/>
                <w:szCs w:val="21"/>
              </w:rPr>
            </w:pPr>
            <w:r>
              <w:rPr>
                <w:rFonts w:cs="Times New Roman"/>
                <w:bCs/>
                <w:sz w:val="21"/>
                <w:szCs w:val="21"/>
              </w:rPr>
              <w:t>%</w:t>
            </w:r>
          </w:p>
        </w:tc>
        <w:tc>
          <w:tcPr>
            <w:tcW w:w="1100" w:type="dxa"/>
            <w:noWrap/>
            <w:vAlign w:val="center"/>
          </w:tcPr>
          <w:p w14:paraId="44D6B8D5">
            <w:pPr>
              <w:adjustRightInd w:val="0"/>
              <w:snapToGrid w:val="0"/>
              <w:spacing w:line="260" w:lineRule="exact"/>
              <w:ind w:firstLine="0" w:firstLineChars="0"/>
              <w:jc w:val="center"/>
              <w:rPr>
                <w:rFonts w:cs="Times New Roman"/>
                <w:bCs/>
                <w:sz w:val="21"/>
                <w:szCs w:val="21"/>
              </w:rPr>
            </w:pPr>
            <w:r>
              <w:rPr>
                <w:rFonts w:cs="Times New Roman"/>
                <w:bCs/>
                <w:sz w:val="21"/>
                <w:szCs w:val="21"/>
              </w:rPr>
              <w:t>完成上级规定的目标任务</w:t>
            </w:r>
          </w:p>
        </w:tc>
        <w:tc>
          <w:tcPr>
            <w:tcW w:w="1100" w:type="dxa"/>
            <w:noWrap/>
            <w:vAlign w:val="center"/>
          </w:tcPr>
          <w:p w14:paraId="70C24E00">
            <w:pPr>
              <w:adjustRightInd w:val="0"/>
              <w:snapToGrid w:val="0"/>
              <w:spacing w:line="260" w:lineRule="exact"/>
              <w:ind w:firstLine="0" w:firstLineChars="0"/>
              <w:jc w:val="center"/>
              <w:rPr>
                <w:rFonts w:cs="Times New Roman"/>
                <w:bCs/>
                <w:sz w:val="21"/>
                <w:szCs w:val="21"/>
              </w:rPr>
            </w:pPr>
            <w:r>
              <w:rPr>
                <w:rFonts w:cs="Times New Roman"/>
                <w:bCs/>
                <w:sz w:val="21"/>
                <w:szCs w:val="21"/>
              </w:rPr>
              <w:t>完成上级规定的目标任务</w:t>
            </w:r>
          </w:p>
        </w:tc>
        <w:tc>
          <w:tcPr>
            <w:tcW w:w="1034" w:type="dxa"/>
            <w:noWrap/>
            <w:vAlign w:val="center"/>
          </w:tcPr>
          <w:p w14:paraId="1EC24E8B">
            <w:pPr>
              <w:adjustRightInd w:val="0"/>
              <w:snapToGrid w:val="0"/>
              <w:spacing w:line="260" w:lineRule="exact"/>
              <w:ind w:firstLine="0" w:firstLineChars="0"/>
              <w:jc w:val="center"/>
              <w:rPr>
                <w:rFonts w:cs="Times New Roman"/>
                <w:bCs/>
                <w:sz w:val="21"/>
                <w:szCs w:val="21"/>
              </w:rPr>
            </w:pPr>
            <w:r>
              <w:rPr>
                <w:rFonts w:cs="Times New Roman"/>
                <w:bCs/>
                <w:sz w:val="21"/>
                <w:szCs w:val="21"/>
              </w:rPr>
              <w:t>约束性</w:t>
            </w:r>
          </w:p>
        </w:tc>
        <w:tc>
          <w:tcPr>
            <w:tcW w:w="1366" w:type="dxa"/>
            <w:noWrap/>
            <w:vAlign w:val="center"/>
          </w:tcPr>
          <w:p w14:paraId="7E48A89A">
            <w:pPr>
              <w:pStyle w:val="22"/>
              <w:spacing w:line="260" w:lineRule="exact"/>
              <w:rPr>
                <w:rFonts w:cs="Times New Roman"/>
                <w:sz w:val="21"/>
                <w:szCs w:val="21"/>
              </w:rPr>
            </w:pPr>
            <w:r>
              <w:rPr>
                <w:rFonts w:cs="Times New Roman"/>
                <w:sz w:val="21"/>
                <w:szCs w:val="21"/>
              </w:rPr>
              <w:t>30.06</w:t>
            </w:r>
          </w:p>
        </w:tc>
        <w:tc>
          <w:tcPr>
            <w:tcW w:w="853" w:type="dxa"/>
            <w:noWrap/>
            <w:vAlign w:val="center"/>
          </w:tcPr>
          <w:p w14:paraId="04901154">
            <w:pPr>
              <w:pStyle w:val="22"/>
              <w:spacing w:line="260" w:lineRule="exact"/>
              <w:rPr>
                <w:rFonts w:cs="Times New Roman"/>
                <w:sz w:val="21"/>
                <w:szCs w:val="21"/>
              </w:rPr>
            </w:pPr>
            <w:r>
              <w:rPr>
                <w:rFonts w:cs="Times New Roman"/>
                <w:sz w:val="21"/>
                <w:szCs w:val="21"/>
              </w:rPr>
              <w:t>达标</w:t>
            </w:r>
          </w:p>
        </w:tc>
        <w:tc>
          <w:tcPr>
            <w:tcW w:w="1110" w:type="dxa"/>
            <w:noWrap/>
            <w:vAlign w:val="center"/>
          </w:tcPr>
          <w:p w14:paraId="0325D9BA">
            <w:pPr>
              <w:pStyle w:val="22"/>
              <w:spacing w:line="260" w:lineRule="exact"/>
              <w:rPr>
                <w:rFonts w:cs="Times New Roman"/>
                <w:sz w:val="21"/>
                <w:szCs w:val="21"/>
              </w:rPr>
            </w:pPr>
            <w:r>
              <w:rPr>
                <w:rFonts w:cs="Times New Roman"/>
                <w:sz w:val="21"/>
                <w:szCs w:val="21"/>
              </w:rPr>
              <w:t>完成上级规定的目标任务</w:t>
            </w:r>
          </w:p>
        </w:tc>
        <w:tc>
          <w:tcPr>
            <w:tcW w:w="1080" w:type="dxa"/>
            <w:noWrap/>
            <w:vAlign w:val="center"/>
          </w:tcPr>
          <w:p w14:paraId="61A1CDE3">
            <w:pPr>
              <w:pStyle w:val="22"/>
              <w:spacing w:line="260" w:lineRule="exact"/>
              <w:rPr>
                <w:rFonts w:cs="Times New Roman"/>
                <w:sz w:val="21"/>
                <w:szCs w:val="21"/>
              </w:rPr>
            </w:pPr>
            <w:r>
              <w:rPr>
                <w:rFonts w:cs="Times New Roman"/>
                <w:sz w:val="21"/>
                <w:szCs w:val="21"/>
              </w:rPr>
              <w:t>完成上级规定的目标任务</w:t>
            </w:r>
          </w:p>
        </w:tc>
        <w:tc>
          <w:tcPr>
            <w:tcW w:w="1162" w:type="dxa"/>
            <w:noWrap/>
            <w:vAlign w:val="center"/>
          </w:tcPr>
          <w:p w14:paraId="02EDBD20">
            <w:pPr>
              <w:pStyle w:val="22"/>
              <w:spacing w:line="260" w:lineRule="exact"/>
              <w:rPr>
                <w:rFonts w:cs="Times New Roman"/>
                <w:sz w:val="21"/>
                <w:szCs w:val="21"/>
              </w:rPr>
            </w:pPr>
            <w:r>
              <w:rPr>
                <w:rFonts w:cs="Times New Roman"/>
                <w:sz w:val="21"/>
                <w:szCs w:val="21"/>
              </w:rPr>
              <w:t>完成上级规定的目标任务</w:t>
            </w:r>
          </w:p>
        </w:tc>
      </w:tr>
      <w:tr w14:paraId="7162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restart"/>
            <w:noWrap/>
            <w:vAlign w:val="center"/>
          </w:tcPr>
          <w:p w14:paraId="323F271E">
            <w:pPr>
              <w:pStyle w:val="22"/>
              <w:spacing w:line="300" w:lineRule="exact"/>
              <w:rPr>
                <w:rFonts w:cs="Times New Roman"/>
                <w:sz w:val="21"/>
                <w:szCs w:val="21"/>
              </w:rPr>
            </w:pPr>
            <w:r>
              <w:rPr>
                <w:rFonts w:cs="Times New Roman"/>
                <w:sz w:val="21"/>
                <w:szCs w:val="21"/>
              </w:rPr>
              <w:t>生</w:t>
            </w:r>
          </w:p>
          <w:p w14:paraId="29CD019D">
            <w:pPr>
              <w:pStyle w:val="22"/>
              <w:spacing w:line="300" w:lineRule="exact"/>
              <w:rPr>
                <w:rFonts w:cs="Times New Roman"/>
                <w:sz w:val="21"/>
                <w:szCs w:val="21"/>
              </w:rPr>
            </w:pPr>
            <w:r>
              <w:rPr>
                <w:rFonts w:cs="Times New Roman"/>
                <w:sz w:val="21"/>
                <w:szCs w:val="21"/>
              </w:rPr>
              <w:t>态</w:t>
            </w:r>
          </w:p>
          <w:p w14:paraId="7938D6B0">
            <w:pPr>
              <w:pStyle w:val="22"/>
              <w:spacing w:line="300" w:lineRule="exact"/>
              <w:rPr>
                <w:rFonts w:cs="Times New Roman"/>
                <w:sz w:val="21"/>
                <w:szCs w:val="21"/>
              </w:rPr>
            </w:pPr>
            <w:r>
              <w:rPr>
                <w:rFonts w:cs="Times New Roman"/>
                <w:sz w:val="21"/>
                <w:szCs w:val="21"/>
              </w:rPr>
              <w:t>生</w:t>
            </w:r>
          </w:p>
          <w:p w14:paraId="3F1C23CE">
            <w:pPr>
              <w:pStyle w:val="22"/>
              <w:spacing w:line="300" w:lineRule="exact"/>
              <w:rPr>
                <w:rFonts w:cs="Times New Roman"/>
                <w:sz w:val="21"/>
                <w:szCs w:val="21"/>
              </w:rPr>
            </w:pPr>
            <w:r>
              <w:rPr>
                <w:rFonts w:cs="Times New Roman"/>
                <w:sz w:val="21"/>
                <w:szCs w:val="21"/>
              </w:rPr>
              <w:t>活</w:t>
            </w:r>
          </w:p>
        </w:tc>
        <w:tc>
          <w:tcPr>
            <w:tcW w:w="828" w:type="dxa"/>
            <w:vMerge w:val="restart"/>
            <w:noWrap/>
            <w:vAlign w:val="center"/>
          </w:tcPr>
          <w:p w14:paraId="08F84BD0">
            <w:pPr>
              <w:pStyle w:val="22"/>
              <w:spacing w:line="300" w:lineRule="exact"/>
              <w:rPr>
                <w:rFonts w:cs="Times New Roman"/>
                <w:sz w:val="21"/>
                <w:szCs w:val="21"/>
              </w:rPr>
            </w:pPr>
            <w:r>
              <w:rPr>
                <w:rFonts w:cs="Times New Roman"/>
                <w:sz w:val="21"/>
                <w:szCs w:val="21"/>
              </w:rPr>
              <w:t>（九）</w:t>
            </w:r>
          </w:p>
          <w:p w14:paraId="264730E1">
            <w:pPr>
              <w:pStyle w:val="22"/>
              <w:spacing w:line="300" w:lineRule="exact"/>
              <w:rPr>
                <w:rFonts w:cs="Times New Roman"/>
                <w:spacing w:val="-16"/>
                <w:sz w:val="21"/>
                <w:szCs w:val="21"/>
              </w:rPr>
            </w:pPr>
            <w:r>
              <w:rPr>
                <w:rFonts w:cs="Times New Roman"/>
                <w:spacing w:val="-16"/>
                <w:sz w:val="21"/>
                <w:szCs w:val="21"/>
              </w:rPr>
              <w:t>生活方式绿色化</w:t>
            </w:r>
          </w:p>
        </w:tc>
        <w:tc>
          <w:tcPr>
            <w:tcW w:w="440" w:type="dxa"/>
            <w:noWrap/>
            <w:vAlign w:val="center"/>
          </w:tcPr>
          <w:p w14:paraId="277B2090">
            <w:pPr>
              <w:pStyle w:val="22"/>
              <w:spacing w:line="300" w:lineRule="exact"/>
              <w:rPr>
                <w:rFonts w:cs="Times New Roman"/>
                <w:sz w:val="21"/>
                <w:szCs w:val="21"/>
              </w:rPr>
            </w:pPr>
            <w:r>
              <w:rPr>
                <w:rFonts w:cs="Times New Roman"/>
                <w:sz w:val="21"/>
                <w:szCs w:val="21"/>
              </w:rPr>
              <w:t>33</w:t>
            </w:r>
          </w:p>
        </w:tc>
        <w:tc>
          <w:tcPr>
            <w:tcW w:w="2723" w:type="dxa"/>
            <w:noWrap/>
            <w:vAlign w:val="center"/>
          </w:tcPr>
          <w:p w14:paraId="21FE3D1A">
            <w:pPr>
              <w:pStyle w:val="22"/>
              <w:spacing w:line="300" w:lineRule="exact"/>
              <w:jc w:val="both"/>
              <w:rPr>
                <w:rFonts w:cs="Times New Roman"/>
                <w:sz w:val="21"/>
                <w:szCs w:val="21"/>
              </w:rPr>
            </w:pPr>
            <w:r>
              <w:rPr>
                <w:rFonts w:cs="Times New Roman"/>
                <w:sz w:val="21"/>
                <w:szCs w:val="21"/>
              </w:rPr>
              <w:t>城镇新建绿色建筑比例</w:t>
            </w:r>
          </w:p>
        </w:tc>
        <w:tc>
          <w:tcPr>
            <w:tcW w:w="622" w:type="dxa"/>
            <w:noWrap/>
            <w:vAlign w:val="center"/>
          </w:tcPr>
          <w:p w14:paraId="3A7BAE53">
            <w:pPr>
              <w:pStyle w:val="22"/>
              <w:spacing w:line="300" w:lineRule="exact"/>
              <w:rPr>
                <w:rFonts w:cs="Times New Roman"/>
                <w:sz w:val="21"/>
                <w:szCs w:val="21"/>
              </w:rPr>
            </w:pPr>
            <w:r>
              <w:rPr>
                <w:rFonts w:cs="Times New Roman"/>
                <w:sz w:val="21"/>
                <w:szCs w:val="21"/>
              </w:rPr>
              <w:t>%</w:t>
            </w:r>
          </w:p>
        </w:tc>
        <w:tc>
          <w:tcPr>
            <w:tcW w:w="1100" w:type="dxa"/>
            <w:noWrap/>
            <w:vAlign w:val="center"/>
          </w:tcPr>
          <w:p w14:paraId="6A77616C">
            <w:pPr>
              <w:pStyle w:val="22"/>
              <w:spacing w:line="300" w:lineRule="exact"/>
              <w:rPr>
                <w:rFonts w:cs="Times New Roman"/>
                <w:sz w:val="21"/>
                <w:szCs w:val="21"/>
              </w:rPr>
            </w:pPr>
            <w:r>
              <w:rPr>
                <w:rFonts w:cs="Times New Roman"/>
                <w:sz w:val="21"/>
                <w:szCs w:val="21"/>
              </w:rPr>
              <w:t>≥40</w:t>
            </w:r>
          </w:p>
        </w:tc>
        <w:tc>
          <w:tcPr>
            <w:tcW w:w="1100" w:type="dxa"/>
            <w:noWrap/>
            <w:vAlign w:val="center"/>
          </w:tcPr>
          <w:p w14:paraId="668AF220">
            <w:pPr>
              <w:pStyle w:val="22"/>
              <w:spacing w:line="300" w:lineRule="exact"/>
              <w:rPr>
                <w:rFonts w:cs="Times New Roman"/>
                <w:sz w:val="21"/>
                <w:szCs w:val="21"/>
              </w:rPr>
            </w:pPr>
            <w:r>
              <w:rPr>
                <w:rFonts w:cs="Times New Roman"/>
                <w:sz w:val="21"/>
                <w:szCs w:val="21"/>
              </w:rPr>
              <w:t>≥50</w:t>
            </w:r>
          </w:p>
        </w:tc>
        <w:tc>
          <w:tcPr>
            <w:tcW w:w="1034" w:type="dxa"/>
            <w:noWrap/>
            <w:vAlign w:val="center"/>
          </w:tcPr>
          <w:p w14:paraId="423C45DC">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5EEB46A0">
            <w:pPr>
              <w:pStyle w:val="22"/>
              <w:spacing w:line="300" w:lineRule="exact"/>
              <w:rPr>
                <w:rFonts w:cs="Times New Roman"/>
                <w:sz w:val="21"/>
                <w:szCs w:val="21"/>
              </w:rPr>
            </w:pPr>
            <w:r>
              <w:rPr>
                <w:rFonts w:cs="Times New Roman"/>
                <w:sz w:val="21"/>
                <w:szCs w:val="21"/>
              </w:rPr>
              <w:t>67.4</w:t>
            </w:r>
          </w:p>
        </w:tc>
        <w:tc>
          <w:tcPr>
            <w:tcW w:w="853" w:type="dxa"/>
            <w:noWrap/>
            <w:vAlign w:val="center"/>
          </w:tcPr>
          <w:p w14:paraId="056919CE">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7F72F027">
            <w:pPr>
              <w:pStyle w:val="22"/>
              <w:spacing w:line="300" w:lineRule="exact"/>
              <w:rPr>
                <w:rFonts w:cs="Times New Roman"/>
                <w:sz w:val="21"/>
                <w:szCs w:val="21"/>
              </w:rPr>
            </w:pPr>
            <w:r>
              <w:rPr>
                <w:rFonts w:cs="Times New Roman"/>
                <w:sz w:val="21"/>
                <w:szCs w:val="21"/>
              </w:rPr>
              <w:t>68</w:t>
            </w:r>
          </w:p>
        </w:tc>
        <w:tc>
          <w:tcPr>
            <w:tcW w:w="1080" w:type="dxa"/>
            <w:noWrap/>
            <w:vAlign w:val="center"/>
          </w:tcPr>
          <w:p w14:paraId="6D9E25CD">
            <w:pPr>
              <w:pStyle w:val="22"/>
              <w:spacing w:line="300" w:lineRule="exact"/>
              <w:rPr>
                <w:rFonts w:cs="Times New Roman"/>
                <w:sz w:val="21"/>
                <w:szCs w:val="21"/>
              </w:rPr>
            </w:pPr>
            <w:r>
              <w:rPr>
                <w:rFonts w:cs="Times New Roman"/>
                <w:sz w:val="21"/>
                <w:szCs w:val="21"/>
              </w:rPr>
              <w:t>69</w:t>
            </w:r>
          </w:p>
        </w:tc>
        <w:tc>
          <w:tcPr>
            <w:tcW w:w="1162" w:type="dxa"/>
            <w:noWrap/>
            <w:vAlign w:val="center"/>
          </w:tcPr>
          <w:p w14:paraId="7FC4D23C">
            <w:pPr>
              <w:pStyle w:val="22"/>
              <w:spacing w:line="300" w:lineRule="exact"/>
              <w:rPr>
                <w:rFonts w:cs="Times New Roman"/>
                <w:sz w:val="21"/>
                <w:szCs w:val="21"/>
              </w:rPr>
            </w:pPr>
            <w:r>
              <w:rPr>
                <w:rFonts w:cs="Times New Roman"/>
                <w:sz w:val="21"/>
                <w:szCs w:val="21"/>
              </w:rPr>
              <w:t>70</w:t>
            </w:r>
          </w:p>
        </w:tc>
      </w:tr>
      <w:tr w14:paraId="45E7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3ACF338B">
            <w:pPr>
              <w:pStyle w:val="22"/>
              <w:spacing w:line="300" w:lineRule="exact"/>
              <w:rPr>
                <w:rFonts w:cs="Times New Roman"/>
                <w:sz w:val="21"/>
                <w:szCs w:val="21"/>
              </w:rPr>
            </w:pPr>
          </w:p>
        </w:tc>
        <w:tc>
          <w:tcPr>
            <w:tcW w:w="828" w:type="dxa"/>
            <w:vMerge w:val="continue"/>
            <w:noWrap/>
            <w:vAlign w:val="center"/>
          </w:tcPr>
          <w:p w14:paraId="524A8904">
            <w:pPr>
              <w:pStyle w:val="22"/>
              <w:spacing w:line="300" w:lineRule="exact"/>
              <w:rPr>
                <w:rFonts w:cs="Times New Roman"/>
                <w:sz w:val="21"/>
                <w:szCs w:val="21"/>
              </w:rPr>
            </w:pPr>
          </w:p>
        </w:tc>
        <w:tc>
          <w:tcPr>
            <w:tcW w:w="440" w:type="dxa"/>
            <w:noWrap/>
            <w:vAlign w:val="center"/>
          </w:tcPr>
          <w:p w14:paraId="759E5401">
            <w:pPr>
              <w:pStyle w:val="22"/>
              <w:spacing w:line="300" w:lineRule="exact"/>
              <w:rPr>
                <w:rFonts w:cs="Times New Roman"/>
                <w:sz w:val="21"/>
                <w:szCs w:val="21"/>
              </w:rPr>
            </w:pPr>
            <w:r>
              <w:rPr>
                <w:rFonts w:cs="Times New Roman"/>
                <w:sz w:val="21"/>
                <w:szCs w:val="21"/>
              </w:rPr>
              <w:t>34</w:t>
            </w:r>
          </w:p>
        </w:tc>
        <w:tc>
          <w:tcPr>
            <w:tcW w:w="2723" w:type="dxa"/>
            <w:noWrap/>
            <w:vAlign w:val="center"/>
          </w:tcPr>
          <w:p w14:paraId="6C90DC2E">
            <w:pPr>
              <w:snapToGrid w:val="0"/>
              <w:spacing w:line="300" w:lineRule="exact"/>
              <w:ind w:firstLine="0" w:firstLineChars="0"/>
              <w:rPr>
                <w:rFonts w:cs="Times New Roman"/>
                <w:bCs/>
                <w:sz w:val="21"/>
                <w:szCs w:val="21"/>
              </w:rPr>
            </w:pPr>
            <w:r>
              <w:rPr>
                <w:rFonts w:cs="Times New Roman"/>
                <w:bCs/>
                <w:sz w:val="21"/>
                <w:szCs w:val="21"/>
              </w:rPr>
              <w:t>生活废弃物综合利用</w:t>
            </w:r>
          </w:p>
          <w:p w14:paraId="0326CDBD">
            <w:pPr>
              <w:snapToGrid w:val="0"/>
              <w:spacing w:line="300" w:lineRule="exact"/>
              <w:ind w:firstLine="420"/>
              <w:rPr>
                <w:rFonts w:cs="Times New Roman"/>
                <w:bCs/>
                <w:sz w:val="21"/>
                <w:szCs w:val="21"/>
              </w:rPr>
            </w:pPr>
            <w:r>
              <w:rPr>
                <w:rFonts w:cs="Times New Roman"/>
                <w:bCs/>
                <w:sz w:val="21"/>
                <w:szCs w:val="21"/>
              </w:rPr>
              <w:t>城镇生活垃圾分类减量化行动</w:t>
            </w:r>
          </w:p>
          <w:p w14:paraId="77EA03DB">
            <w:pPr>
              <w:pStyle w:val="22"/>
              <w:spacing w:line="300" w:lineRule="exact"/>
              <w:jc w:val="both"/>
              <w:rPr>
                <w:rFonts w:cs="Times New Roman"/>
                <w:sz w:val="21"/>
                <w:szCs w:val="21"/>
              </w:rPr>
            </w:pPr>
            <w:r>
              <w:rPr>
                <w:rFonts w:cs="Times New Roman"/>
                <w:sz w:val="21"/>
                <w:szCs w:val="21"/>
              </w:rPr>
              <w:t xml:space="preserve">  农村生活垃圾集中收集储运</w:t>
            </w:r>
          </w:p>
        </w:tc>
        <w:tc>
          <w:tcPr>
            <w:tcW w:w="622" w:type="dxa"/>
            <w:noWrap/>
            <w:vAlign w:val="center"/>
          </w:tcPr>
          <w:p w14:paraId="0262BB68">
            <w:pPr>
              <w:pStyle w:val="22"/>
              <w:spacing w:line="300" w:lineRule="exact"/>
              <w:rPr>
                <w:rFonts w:cs="Times New Roman"/>
                <w:sz w:val="21"/>
                <w:szCs w:val="21"/>
              </w:rPr>
            </w:pPr>
          </w:p>
          <w:p w14:paraId="21DFBABC">
            <w:pPr>
              <w:pStyle w:val="22"/>
              <w:spacing w:line="300" w:lineRule="exact"/>
              <w:rPr>
                <w:rFonts w:cs="Times New Roman"/>
                <w:sz w:val="21"/>
                <w:szCs w:val="21"/>
              </w:rPr>
            </w:pPr>
            <w:r>
              <w:rPr>
                <w:rFonts w:cs="Times New Roman"/>
                <w:sz w:val="21"/>
                <w:szCs w:val="21"/>
              </w:rPr>
              <w:t>—</w:t>
            </w:r>
          </w:p>
        </w:tc>
        <w:tc>
          <w:tcPr>
            <w:tcW w:w="1100" w:type="dxa"/>
            <w:noWrap/>
            <w:vAlign w:val="center"/>
          </w:tcPr>
          <w:p w14:paraId="3DEF33ED">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p w14:paraId="0D9ABE59">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tc>
        <w:tc>
          <w:tcPr>
            <w:tcW w:w="1100" w:type="dxa"/>
            <w:noWrap/>
            <w:vAlign w:val="center"/>
          </w:tcPr>
          <w:p w14:paraId="140A5B55">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p w14:paraId="069C50EC">
            <w:pPr>
              <w:adjustRightInd w:val="0"/>
              <w:snapToGrid w:val="0"/>
              <w:spacing w:line="300" w:lineRule="exact"/>
              <w:ind w:firstLine="0" w:firstLineChars="0"/>
              <w:jc w:val="center"/>
              <w:rPr>
                <w:rFonts w:cs="Times New Roman"/>
                <w:bCs/>
                <w:sz w:val="21"/>
                <w:szCs w:val="21"/>
              </w:rPr>
            </w:pPr>
            <w:r>
              <w:rPr>
                <w:rFonts w:cs="Times New Roman"/>
                <w:bCs/>
                <w:sz w:val="21"/>
                <w:szCs w:val="21"/>
              </w:rPr>
              <w:t>—</w:t>
            </w:r>
          </w:p>
        </w:tc>
        <w:tc>
          <w:tcPr>
            <w:tcW w:w="1034" w:type="dxa"/>
            <w:noWrap/>
            <w:vAlign w:val="center"/>
          </w:tcPr>
          <w:p w14:paraId="2102F062">
            <w:pPr>
              <w:adjustRightInd w:val="0"/>
              <w:snapToGrid w:val="0"/>
              <w:spacing w:line="300" w:lineRule="exact"/>
              <w:ind w:firstLine="0" w:firstLineChars="0"/>
              <w:jc w:val="center"/>
              <w:rPr>
                <w:rFonts w:cs="Times New Roman"/>
                <w:bCs/>
                <w:sz w:val="21"/>
                <w:szCs w:val="21"/>
              </w:rPr>
            </w:pPr>
            <w:r>
              <w:rPr>
                <w:rFonts w:cs="Times New Roman"/>
                <w:bCs/>
                <w:sz w:val="21"/>
                <w:szCs w:val="21"/>
              </w:rPr>
              <w:t>参考性</w:t>
            </w:r>
          </w:p>
        </w:tc>
        <w:tc>
          <w:tcPr>
            <w:tcW w:w="1366" w:type="dxa"/>
            <w:noWrap/>
            <w:vAlign w:val="center"/>
          </w:tcPr>
          <w:p w14:paraId="1C11CDE9">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p w14:paraId="6E195CBF">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tc>
        <w:tc>
          <w:tcPr>
            <w:tcW w:w="853" w:type="dxa"/>
            <w:noWrap/>
            <w:vAlign w:val="center"/>
          </w:tcPr>
          <w:p w14:paraId="65ED43B6">
            <w:pPr>
              <w:adjustRightInd w:val="0"/>
              <w:snapToGrid w:val="0"/>
              <w:spacing w:line="300" w:lineRule="exact"/>
              <w:ind w:firstLine="0" w:firstLineChars="0"/>
              <w:jc w:val="center"/>
              <w:rPr>
                <w:rFonts w:cs="Times New Roman"/>
                <w:bCs/>
                <w:sz w:val="21"/>
                <w:szCs w:val="21"/>
              </w:rPr>
            </w:pPr>
            <w:r>
              <w:rPr>
                <w:rFonts w:cs="Times New Roman"/>
                <w:bCs/>
                <w:sz w:val="21"/>
                <w:szCs w:val="21"/>
              </w:rPr>
              <w:t>达标</w:t>
            </w:r>
          </w:p>
          <w:p w14:paraId="34E7B261">
            <w:pPr>
              <w:adjustRightInd w:val="0"/>
              <w:snapToGrid w:val="0"/>
              <w:spacing w:line="300" w:lineRule="exact"/>
              <w:ind w:firstLine="0" w:firstLineChars="0"/>
              <w:jc w:val="center"/>
              <w:rPr>
                <w:rFonts w:cs="Times New Roman"/>
                <w:bCs/>
                <w:sz w:val="21"/>
                <w:szCs w:val="21"/>
              </w:rPr>
            </w:pPr>
            <w:r>
              <w:rPr>
                <w:rFonts w:cs="Times New Roman"/>
                <w:bCs/>
                <w:sz w:val="21"/>
                <w:szCs w:val="21"/>
              </w:rPr>
              <w:t>达标</w:t>
            </w:r>
          </w:p>
        </w:tc>
        <w:tc>
          <w:tcPr>
            <w:tcW w:w="1110" w:type="dxa"/>
            <w:noWrap/>
            <w:vAlign w:val="center"/>
          </w:tcPr>
          <w:p w14:paraId="04189E0E">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p w14:paraId="7B0DDDED">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tc>
        <w:tc>
          <w:tcPr>
            <w:tcW w:w="1080" w:type="dxa"/>
            <w:noWrap/>
            <w:vAlign w:val="center"/>
          </w:tcPr>
          <w:p w14:paraId="76044CF7">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p w14:paraId="7780B3A8">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tc>
        <w:tc>
          <w:tcPr>
            <w:tcW w:w="1162" w:type="dxa"/>
            <w:noWrap/>
            <w:vAlign w:val="center"/>
          </w:tcPr>
          <w:p w14:paraId="084D575C">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p w14:paraId="1DB38651">
            <w:pPr>
              <w:adjustRightInd w:val="0"/>
              <w:snapToGrid w:val="0"/>
              <w:spacing w:line="300" w:lineRule="exact"/>
              <w:ind w:firstLine="0" w:firstLineChars="0"/>
              <w:jc w:val="center"/>
              <w:rPr>
                <w:rFonts w:cs="Times New Roman"/>
                <w:bCs/>
                <w:sz w:val="21"/>
                <w:szCs w:val="21"/>
              </w:rPr>
            </w:pPr>
            <w:r>
              <w:rPr>
                <w:rFonts w:cs="Times New Roman"/>
                <w:bCs/>
                <w:sz w:val="21"/>
                <w:szCs w:val="21"/>
              </w:rPr>
              <w:t>实施</w:t>
            </w:r>
          </w:p>
        </w:tc>
      </w:tr>
      <w:tr w14:paraId="6A3E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1D76C69D">
            <w:pPr>
              <w:pStyle w:val="22"/>
              <w:spacing w:line="300" w:lineRule="exact"/>
              <w:rPr>
                <w:rFonts w:cs="Times New Roman"/>
                <w:sz w:val="21"/>
                <w:szCs w:val="21"/>
              </w:rPr>
            </w:pPr>
          </w:p>
        </w:tc>
        <w:tc>
          <w:tcPr>
            <w:tcW w:w="828" w:type="dxa"/>
            <w:vMerge w:val="continue"/>
            <w:noWrap/>
            <w:vAlign w:val="center"/>
          </w:tcPr>
          <w:p w14:paraId="661B4E0B">
            <w:pPr>
              <w:pStyle w:val="22"/>
              <w:spacing w:line="300" w:lineRule="exact"/>
              <w:rPr>
                <w:rFonts w:cs="Times New Roman"/>
                <w:sz w:val="21"/>
                <w:szCs w:val="21"/>
              </w:rPr>
            </w:pPr>
          </w:p>
        </w:tc>
        <w:tc>
          <w:tcPr>
            <w:tcW w:w="440" w:type="dxa"/>
            <w:noWrap/>
            <w:vAlign w:val="center"/>
          </w:tcPr>
          <w:p w14:paraId="0170AFB6">
            <w:pPr>
              <w:pStyle w:val="22"/>
              <w:spacing w:line="300" w:lineRule="exact"/>
              <w:rPr>
                <w:rFonts w:cs="Times New Roman"/>
                <w:sz w:val="21"/>
                <w:szCs w:val="21"/>
              </w:rPr>
            </w:pPr>
            <w:r>
              <w:rPr>
                <w:rFonts w:cs="Times New Roman"/>
                <w:sz w:val="21"/>
                <w:szCs w:val="21"/>
              </w:rPr>
              <w:t>35</w:t>
            </w:r>
          </w:p>
        </w:tc>
        <w:tc>
          <w:tcPr>
            <w:tcW w:w="2723" w:type="dxa"/>
            <w:noWrap/>
            <w:vAlign w:val="center"/>
          </w:tcPr>
          <w:p w14:paraId="72A02B81">
            <w:pPr>
              <w:pStyle w:val="22"/>
              <w:spacing w:line="300" w:lineRule="exact"/>
              <w:jc w:val="both"/>
              <w:rPr>
                <w:rFonts w:cs="Times New Roman"/>
                <w:sz w:val="21"/>
                <w:szCs w:val="21"/>
              </w:rPr>
            </w:pPr>
            <w:r>
              <w:rPr>
                <w:rFonts w:cs="Times New Roman"/>
                <w:sz w:val="21"/>
                <w:szCs w:val="21"/>
              </w:rPr>
              <w:t>政府绿色采购比例</w:t>
            </w:r>
          </w:p>
        </w:tc>
        <w:tc>
          <w:tcPr>
            <w:tcW w:w="622" w:type="dxa"/>
            <w:noWrap/>
            <w:vAlign w:val="center"/>
          </w:tcPr>
          <w:p w14:paraId="6E4CA6C0">
            <w:pPr>
              <w:pStyle w:val="22"/>
              <w:spacing w:line="300" w:lineRule="exact"/>
              <w:rPr>
                <w:rFonts w:cs="Times New Roman"/>
                <w:sz w:val="21"/>
                <w:szCs w:val="21"/>
              </w:rPr>
            </w:pPr>
            <w:r>
              <w:rPr>
                <w:rFonts w:cs="Times New Roman"/>
                <w:sz w:val="21"/>
                <w:szCs w:val="21"/>
              </w:rPr>
              <w:t>%</w:t>
            </w:r>
          </w:p>
        </w:tc>
        <w:tc>
          <w:tcPr>
            <w:tcW w:w="1100" w:type="dxa"/>
            <w:noWrap/>
            <w:vAlign w:val="center"/>
          </w:tcPr>
          <w:p w14:paraId="56C72E69">
            <w:pPr>
              <w:pStyle w:val="22"/>
              <w:spacing w:line="300" w:lineRule="exact"/>
              <w:rPr>
                <w:rFonts w:cs="Times New Roman"/>
                <w:sz w:val="21"/>
                <w:szCs w:val="21"/>
              </w:rPr>
            </w:pPr>
            <w:r>
              <w:rPr>
                <w:rFonts w:cs="Times New Roman"/>
                <w:sz w:val="21"/>
                <w:szCs w:val="21"/>
              </w:rPr>
              <w:t>≥80</w:t>
            </w:r>
          </w:p>
        </w:tc>
        <w:tc>
          <w:tcPr>
            <w:tcW w:w="1100" w:type="dxa"/>
            <w:noWrap/>
            <w:vAlign w:val="center"/>
          </w:tcPr>
          <w:p w14:paraId="0CFC1C79">
            <w:pPr>
              <w:pStyle w:val="22"/>
              <w:spacing w:line="300" w:lineRule="exact"/>
              <w:rPr>
                <w:rFonts w:cs="Times New Roman"/>
                <w:sz w:val="21"/>
                <w:szCs w:val="21"/>
              </w:rPr>
            </w:pPr>
            <w:r>
              <w:rPr>
                <w:rFonts w:cs="Times New Roman"/>
                <w:sz w:val="21"/>
                <w:szCs w:val="21"/>
              </w:rPr>
              <w:t>≥80</w:t>
            </w:r>
          </w:p>
        </w:tc>
        <w:tc>
          <w:tcPr>
            <w:tcW w:w="1034" w:type="dxa"/>
            <w:noWrap/>
            <w:vAlign w:val="center"/>
          </w:tcPr>
          <w:p w14:paraId="17F4AA51">
            <w:pPr>
              <w:pStyle w:val="22"/>
              <w:spacing w:line="300" w:lineRule="exact"/>
              <w:rPr>
                <w:rFonts w:cs="Times New Roman"/>
                <w:sz w:val="21"/>
                <w:szCs w:val="21"/>
              </w:rPr>
            </w:pPr>
            <w:r>
              <w:rPr>
                <w:rFonts w:cs="Times New Roman"/>
                <w:sz w:val="21"/>
                <w:szCs w:val="21"/>
              </w:rPr>
              <w:t>约束性</w:t>
            </w:r>
          </w:p>
        </w:tc>
        <w:tc>
          <w:tcPr>
            <w:tcW w:w="1366" w:type="dxa"/>
            <w:noWrap/>
            <w:vAlign w:val="center"/>
          </w:tcPr>
          <w:p w14:paraId="65850054">
            <w:pPr>
              <w:pStyle w:val="22"/>
              <w:spacing w:line="300" w:lineRule="exact"/>
              <w:rPr>
                <w:rFonts w:cs="Times New Roman"/>
                <w:sz w:val="21"/>
                <w:szCs w:val="21"/>
              </w:rPr>
            </w:pPr>
            <w:r>
              <w:rPr>
                <w:rFonts w:cs="Times New Roman"/>
                <w:sz w:val="21"/>
                <w:szCs w:val="21"/>
              </w:rPr>
              <w:t>85.6</w:t>
            </w:r>
          </w:p>
        </w:tc>
        <w:tc>
          <w:tcPr>
            <w:tcW w:w="853" w:type="dxa"/>
            <w:noWrap/>
            <w:vAlign w:val="center"/>
          </w:tcPr>
          <w:p w14:paraId="74B5170F">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5E70D6EB">
            <w:pPr>
              <w:pStyle w:val="22"/>
              <w:spacing w:line="300" w:lineRule="exact"/>
              <w:rPr>
                <w:rFonts w:cs="Times New Roman"/>
                <w:sz w:val="21"/>
                <w:szCs w:val="21"/>
              </w:rPr>
            </w:pPr>
            <w:r>
              <w:rPr>
                <w:rFonts w:cs="Times New Roman"/>
                <w:sz w:val="21"/>
                <w:szCs w:val="21"/>
              </w:rPr>
              <w:t>86</w:t>
            </w:r>
          </w:p>
        </w:tc>
        <w:tc>
          <w:tcPr>
            <w:tcW w:w="1080" w:type="dxa"/>
            <w:noWrap/>
            <w:vAlign w:val="center"/>
          </w:tcPr>
          <w:p w14:paraId="28ADA37E">
            <w:pPr>
              <w:pStyle w:val="22"/>
              <w:spacing w:line="300" w:lineRule="exact"/>
              <w:rPr>
                <w:rFonts w:cs="Times New Roman"/>
                <w:sz w:val="21"/>
                <w:szCs w:val="21"/>
              </w:rPr>
            </w:pPr>
            <w:r>
              <w:rPr>
                <w:rFonts w:cs="Times New Roman"/>
                <w:sz w:val="21"/>
                <w:szCs w:val="21"/>
              </w:rPr>
              <w:t>88</w:t>
            </w:r>
          </w:p>
        </w:tc>
        <w:tc>
          <w:tcPr>
            <w:tcW w:w="1162" w:type="dxa"/>
            <w:noWrap/>
            <w:vAlign w:val="center"/>
          </w:tcPr>
          <w:p w14:paraId="7D889D70">
            <w:pPr>
              <w:pStyle w:val="22"/>
              <w:spacing w:line="300" w:lineRule="exact"/>
              <w:rPr>
                <w:rFonts w:cs="Times New Roman"/>
                <w:sz w:val="21"/>
                <w:szCs w:val="21"/>
              </w:rPr>
            </w:pPr>
            <w:r>
              <w:rPr>
                <w:rFonts w:cs="Times New Roman"/>
                <w:sz w:val="21"/>
                <w:szCs w:val="21"/>
              </w:rPr>
              <w:t>89</w:t>
            </w:r>
          </w:p>
        </w:tc>
      </w:tr>
      <w:tr w14:paraId="3320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restart"/>
            <w:noWrap/>
            <w:vAlign w:val="center"/>
          </w:tcPr>
          <w:p w14:paraId="371C73C0">
            <w:pPr>
              <w:pStyle w:val="22"/>
              <w:spacing w:line="300" w:lineRule="exact"/>
              <w:rPr>
                <w:rFonts w:cs="Times New Roman"/>
                <w:sz w:val="21"/>
                <w:szCs w:val="21"/>
              </w:rPr>
            </w:pPr>
            <w:r>
              <w:rPr>
                <w:rFonts w:cs="Times New Roman"/>
                <w:sz w:val="21"/>
                <w:szCs w:val="21"/>
              </w:rPr>
              <w:t>生态文化</w:t>
            </w:r>
          </w:p>
        </w:tc>
        <w:tc>
          <w:tcPr>
            <w:tcW w:w="828" w:type="dxa"/>
            <w:vMerge w:val="restart"/>
            <w:noWrap/>
            <w:vAlign w:val="center"/>
          </w:tcPr>
          <w:p w14:paraId="12A7860A">
            <w:pPr>
              <w:pStyle w:val="22"/>
              <w:spacing w:line="300" w:lineRule="exact"/>
              <w:rPr>
                <w:rFonts w:cs="Times New Roman"/>
                <w:sz w:val="21"/>
                <w:szCs w:val="21"/>
              </w:rPr>
            </w:pPr>
            <w:r>
              <w:rPr>
                <w:rFonts w:cs="Times New Roman"/>
                <w:sz w:val="21"/>
                <w:szCs w:val="21"/>
              </w:rPr>
              <w:t>（十）</w:t>
            </w:r>
          </w:p>
          <w:p w14:paraId="34BDAC47">
            <w:pPr>
              <w:pStyle w:val="22"/>
              <w:spacing w:line="300" w:lineRule="exact"/>
              <w:rPr>
                <w:rFonts w:cs="Times New Roman"/>
                <w:sz w:val="21"/>
                <w:szCs w:val="21"/>
              </w:rPr>
            </w:pPr>
            <w:r>
              <w:rPr>
                <w:rFonts w:cs="Times New Roman"/>
                <w:sz w:val="21"/>
                <w:szCs w:val="21"/>
              </w:rPr>
              <w:t>观念意识普及</w:t>
            </w:r>
          </w:p>
        </w:tc>
        <w:tc>
          <w:tcPr>
            <w:tcW w:w="440" w:type="dxa"/>
            <w:noWrap/>
            <w:vAlign w:val="center"/>
          </w:tcPr>
          <w:p w14:paraId="49483C21">
            <w:pPr>
              <w:pStyle w:val="22"/>
              <w:spacing w:line="300" w:lineRule="exact"/>
              <w:rPr>
                <w:rFonts w:cs="Times New Roman"/>
                <w:sz w:val="21"/>
                <w:szCs w:val="21"/>
              </w:rPr>
            </w:pPr>
            <w:r>
              <w:rPr>
                <w:rFonts w:cs="Times New Roman"/>
                <w:sz w:val="21"/>
                <w:szCs w:val="21"/>
              </w:rPr>
              <w:t>36</w:t>
            </w:r>
          </w:p>
        </w:tc>
        <w:tc>
          <w:tcPr>
            <w:tcW w:w="2723" w:type="dxa"/>
            <w:noWrap/>
            <w:vAlign w:val="center"/>
          </w:tcPr>
          <w:p w14:paraId="5CB79291">
            <w:pPr>
              <w:pStyle w:val="22"/>
              <w:spacing w:line="300" w:lineRule="exact"/>
              <w:jc w:val="both"/>
              <w:rPr>
                <w:rFonts w:cs="Times New Roman"/>
                <w:sz w:val="21"/>
                <w:szCs w:val="21"/>
              </w:rPr>
            </w:pPr>
            <w:r>
              <w:rPr>
                <w:rFonts w:cs="Times New Roman"/>
                <w:sz w:val="21"/>
                <w:szCs w:val="21"/>
              </w:rPr>
              <w:t>党政领导干部参加生态文明培训的人数比例</w:t>
            </w:r>
          </w:p>
        </w:tc>
        <w:tc>
          <w:tcPr>
            <w:tcW w:w="622" w:type="dxa"/>
            <w:noWrap/>
            <w:vAlign w:val="center"/>
          </w:tcPr>
          <w:p w14:paraId="6265C007">
            <w:pPr>
              <w:pStyle w:val="22"/>
              <w:spacing w:line="300" w:lineRule="exact"/>
              <w:rPr>
                <w:rFonts w:cs="Times New Roman"/>
                <w:sz w:val="21"/>
                <w:szCs w:val="21"/>
              </w:rPr>
            </w:pPr>
            <w:r>
              <w:rPr>
                <w:rFonts w:cs="Times New Roman"/>
                <w:sz w:val="21"/>
                <w:szCs w:val="21"/>
              </w:rPr>
              <w:t>%</w:t>
            </w:r>
          </w:p>
        </w:tc>
        <w:tc>
          <w:tcPr>
            <w:tcW w:w="1100" w:type="dxa"/>
            <w:noWrap/>
            <w:vAlign w:val="center"/>
          </w:tcPr>
          <w:p w14:paraId="2649C4DF">
            <w:pPr>
              <w:pStyle w:val="22"/>
              <w:spacing w:line="300" w:lineRule="exact"/>
              <w:rPr>
                <w:rFonts w:cs="Times New Roman"/>
                <w:sz w:val="21"/>
                <w:szCs w:val="21"/>
              </w:rPr>
            </w:pPr>
            <w:r>
              <w:rPr>
                <w:rFonts w:cs="Times New Roman"/>
                <w:sz w:val="21"/>
                <w:szCs w:val="21"/>
              </w:rPr>
              <w:t>100</w:t>
            </w:r>
          </w:p>
        </w:tc>
        <w:tc>
          <w:tcPr>
            <w:tcW w:w="1100" w:type="dxa"/>
            <w:noWrap/>
            <w:vAlign w:val="center"/>
          </w:tcPr>
          <w:p w14:paraId="15530E0B">
            <w:pPr>
              <w:pStyle w:val="22"/>
              <w:spacing w:line="300" w:lineRule="exact"/>
              <w:rPr>
                <w:rFonts w:cs="Times New Roman"/>
                <w:sz w:val="21"/>
                <w:szCs w:val="21"/>
              </w:rPr>
            </w:pPr>
            <w:r>
              <w:rPr>
                <w:rFonts w:cs="Times New Roman"/>
                <w:sz w:val="21"/>
                <w:szCs w:val="21"/>
              </w:rPr>
              <w:t>100</w:t>
            </w:r>
          </w:p>
        </w:tc>
        <w:tc>
          <w:tcPr>
            <w:tcW w:w="1034" w:type="dxa"/>
            <w:noWrap/>
            <w:vAlign w:val="center"/>
          </w:tcPr>
          <w:p w14:paraId="7F9C3CB6">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5306993D">
            <w:pPr>
              <w:pStyle w:val="22"/>
              <w:spacing w:line="300" w:lineRule="exact"/>
              <w:rPr>
                <w:rFonts w:cs="Times New Roman"/>
                <w:sz w:val="21"/>
                <w:szCs w:val="21"/>
              </w:rPr>
            </w:pPr>
            <w:r>
              <w:rPr>
                <w:rFonts w:cs="Times New Roman"/>
                <w:sz w:val="21"/>
                <w:szCs w:val="21"/>
              </w:rPr>
              <w:t>100</w:t>
            </w:r>
          </w:p>
        </w:tc>
        <w:tc>
          <w:tcPr>
            <w:tcW w:w="853" w:type="dxa"/>
            <w:noWrap/>
            <w:vAlign w:val="center"/>
          </w:tcPr>
          <w:p w14:paraId="09B3564A">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67EFA668">
            <w:pPr>
              <w:pStyle w:val="22"/>
              <w:spacing w:line="300" w:lineRule="exact"/>
              <w:rPr>
                <w:rFonts w:cs="Times New Roman"/>
                <w:sz w:val="21"/>
                <w:szCs w:val="21"/>
              </w:rPr>
            </w:pPr>
            <w:r>
              <w:rPr>
                <w:rFonts w:cs="Times New Roman"/>
                <w:sz w:val="21"/>
                <w:szCs w:val="21"/>
              </w:rPr>
              <w:t>100</w:t>
            </w:r>
          </w:p>
        </w:tc>
        <w:tc>
          <w:tcPr>
            <w:tcW w:w="1080" w:type="dxa"/>
            <w:noWrap/>
            <w:vAlign w:val="center"/>
          </w:tcPr>
          <w:p w14:paraId="5CC75B2D">
            <w:pPr>
              <w:pStyle w:val="22"/>
              <w:spacing w:line="300" w:lineRule="exact"/>
              <w:rPr>
                <w:rFonts w:cs="Times New Roman"/>
                <w:sz w:val="21"/>
                <w:szCs w:val="21"/>
              </w:rPr>
            </w:pPr>
            <w:r>
              <w:rPr>
                <w:rFonts w:cs="Times New Roman"/>
                <w:sz w:val="21"/>
                <w:szCs w:val="21"/>
              </w:rPr>
              <w:t>100</w:t>
            </w:r>
          </w:p>
        </w:tc>
        <w:tc>
          <w:tcPr>
            <w:tcW w:w="1162" w:type="dxa"/>
            <w:noWrap/>
            <w:vAlign w:val="center"/>
          </w:tcPr>
          <w:p w14:paraId="0E12C7D2">
            <w:pPr>
              <w:pStyle w:val="22"/>
              <w:spacing w:line="300" w:lineRule="exact"/>
              <w:rPr>
                <w:rFonts w:cs="Times New Roman"/>
                <w:sz w:val="21"/>
                <w:szCs w:val="21"/>
              </w:rPr>
            </w:pPr>
            <w:r>
              <w:rPr>
                <w:rFonts w:cs="Times New Roman"/>
                <w:sz w:val="21"/>
                <w:szCs w:val="21"/>
              </w:rPr>
              <w:t>100</w:t>
            </w:r>
          </w:p>
        </w:tc>
      </w:tr>
      <w:tr w14:paraId="66C2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1F8C404F">
            <w:pPr>
              <w:pStyle w:val="22"/>
              <w:spacing w:line="300" w:lineRule="exact"/>
              <w:rPr>
                <w:rFonts w:cs="Times New Roman"/>
                <w:sz w:val="21"/>
                <w:szCs w:val="21"/>
              </w:rPr>
            </w:pPr>
          </w:p>
        </w:tc>
        <w:tc>
          <w:tcPr>
            <w:tcW w:w="828" w:type="dxa"/>
            <w:vMerge w:val="continue"/>
            <w:noWrap/>
            <w:vAlign w:val="center"/>
          </w:tcPr>
          <w:p w14:paraId="1BD545FF">
            <w:pPr>
              <w:pStyle w:val="22"/>
              <w:spacing w:line="300" w:lineRule="exact"/>
              <w:rPr>
                <w:rFonts w:cs="Times New Roman"/>
                <w:sz w:val="21"/>
                <w:szCs w:val="21"/>
              </w:rPr>
            </w:pPr>
          </w:p>
        </w:tc>
        <w:tc>
          <w:tcPr>
            <w:tcW w:w="440" w:type="dxa"/>
            <w:noWrap/>
            <w:vAlign w:val="center"/>
          </w:tcPr>
          <w:p w14:paraId="6EEE6848">
            <w:pPr>
              <w:pStyle w:val="22"/>
              <w:spacing w:line="300" w:lineRule="exact"/>
              <w:rPr>
                <w:rFonts w:cs="Times New Roman"/>
                <w:sz w:val="21"/>
                <w:szCs w:val="21"/>
              </w:rPr>
            </w:pPr>
            <w:r>
              <w:rPr>
                <w:rFonts w:cs="Times New Roman"/>
                <w:sz w:val="21"/>
                <w:szCs w:val="21"/>
              </w:rPr>
              <w:t>37</w:t>
            </w:r>
          </w:p>
        </w:tc>
        <w:tc>
          <w:tcPr>
            <w:tcW w:w="2723" w:type="dxa"/>
            <w:noWrap/>
            <w:vAlign w:val="center"/>
          </w:tcPr>
          <w:p w14:paraId="28396D05">
            <w:pPr>
              <w:pStyle w:val="22"/>
              <w:spacing w:line="300" w:lineRule="exact"/>
              <w:jc w:val="both"/>
              <w:rPr>
                <w:rFonts w:cs="Times New Roman"/>
                <w:sz w:val="21"/>
                <w:szCs w:val="21"/>
              </w:rPr>
            </w:pPr>
            <w:r>
              <w:rPr>
                <w:rFonts w:cs="Times New Roman"/>
                <w:sz w:val="21"/>
                <w:szCs w:val="21"/>
              </w:rPr>
              <w:t>公众对生态文明建设的满意度</w:t>
            </w:r>
          </w:p>
        </w:tc>
        <w:tc>
          <w:tcPr>
            <w:tcW w:w="622" w:type="dxa"/>
            <w:noWrap/>
            <w:vAlign w:val="center"/>
          </w:tcPr>
          <w:p w14:paraId="4E061D80">
            <w:pPr>
              <w:pStyle w:val="22"/>
              <w:spacing w:line="300" w:lineRule="exact"/>
              <w:rPr>
                <w:rFonts w:cs="Times New Roman"/>
                <w:sz w:val="21"/>
                <w:szCs w:val="21"/>
              </w:rPr>
            </w:pPr>
            <w:r>
              <w:rPr>
                <w:rFonts w:cs="Times New Roman"/>
                <w:sz w:val="21"/>
                <w:szCs w:val="21"/>
              </w:rPr>
              <w:t>%</w:t>
            </w:r>
          </w:p>
        </w:tc>
        <w:tc>
          <w:tcPr>
            <w:tcW w:w="1100" w:type="dxa"/>
            <w:noWrap/>
            <w:vAlign w:val="center"/>
          </w:tcPr>
          <w:p w14:paraId="04606B27">
            <w:pPr>
              <w:pStyle w:val="22"/>
              <w:spacing w:line="300" w:lineRule="exact"/>
              <w:rPr>
                <w:rFonts w:cs="Times New Roman"/>
                <w:sz w:val="21"/>
                <w:szCs w:val="21"/>
              </w:rPr>
            </w:pPr>
            <w:r>
              <w:rPr>
                <w:rFonts w:cs="Times New Roman"/>
                <w:sz w:val="21"/>
                <w:szCs w:val="21"/>
              </w:rPr>
              <w:t>≥80</w:t>
            </w:r>
          </w:p>
        </w:tc>
        <w:tc>
          <w:tcPr>
            <w:tcW w:w="1100" w:type="dxa"/>
            <w:noWrap/>
            <w:vAlign w:val="center"/>
          </w:tcPr>
          <w:p w14:paraId="2A9C9582">
            <w:pPr>
              <w:pStyle w:val="22"/>
              <w:spacing w:line="300" w:lineRule="exact"/>
              <w:rPr>
                <w:rFonts w:cs="Times New Roman"/>
                <w:sz w:val="21"/>
                <w:szCs w:val="21"/>
              </w:rPr>
            </w:pPr>
            <w:r>
              <w:rPr>
                <w:rFonts w:cs="Times New Roman"/>
                <w:sz w:val="21"/>
                <w:szCs w:val="21"/>
              </w:rPr>
              <w:t>≥80</w:t>
            </w:r>
          </w:p>
        </w:tc>
        <w:tc>
          <w:tcPr>
            <w:tcW w:w="1034" w:type="dxa"/>
            <w:noWrap/>
            <w:vAlign w:val="center"/>
          </w:tcPr>
          <w:p w14:paraId="0F42B1F5">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741AAA82">
            <w:pPr>
              <w:pStyle w:val="22"/>
              <w:spacing w:line="300" w:lineRule="exact"/>
              <w:rPr>
                <w:rFonts w:cs="Times New Roman"/>
                <w:sz w:val="21"/>
                <w:szCs w:val="21"/>
              </w:rPr>
            </w:pPr>
            <w:r>
              <w:rPr>
                <w:rFonts w:cs="Times New Roman"/>
                <w:sz w:val="21"/>
                <w:szCs w:val="21"/>
              </w:rPr>
              <w:t>81.5</w:t>
            </w:r>
          </w:p>
        </w:tc>
        <w:tc>
          <w:tcPr>
            <w:tcW w:w="853" w:type="dxa"/>
            <w:noWrap/>
            <w:vAlign w:val="center"/>
          </w:tcPr>
          <w:p w14:paraId="0A4567B9">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5BFD9699">
            <w:pPr>
              <w:pStyle w:val="22"/>
              <w:spacing w:line="300" w:lineRule="exact"/>
              <w:rPr>
                <w:rFonts w:cs="Times New Roman"/>
                <w:sz w:val="21"/>
                <w:szCs w:val="21"/>
              </w:rPr>
            </w:pPr>
            <w:r>
              <w:rPr>
                <w:rFonts w:cs="Times New Roman"/>
                <w:sz w:val="21"/>
                <w:szCs w:val="21"/>
              </w:rPr>
              <w:t>82</w:t>
            </w:r>
          </w:p>
        </w:tc>
        <w:tc>
          <w:tcPr>
            <w:tcW w:w="1080" w:type="dxa"/>
            <w:noWrap/>
            <w:vAlign w:val="center"/>
          </w:tcPr>
          <w:p w14:paraId="04FEBA36">
            <w:pPr>
              <w:pStyle w:val="22"/>
              <w:spacing w:line="300" w:lineRule="exact"/>
              <w:rPr>
                <w:rFonts w:cs="Times New Roman"/>
                <w:sz w:val="21"/>
                <w:szCs w:val="21"/>
              </w:rPr>
            </w:pPr>
            <w:r>
              <w:rPr>
                <w:rFonts w:cs="Times New Roman"/>
                <w:sz w:val="21"/>
                <w:szCs w:val="21"/>
              </w:rPr>
              <w:t>83</w:t>
            </w:r>
          </w:p>
        </w:tc>
        <w:tc>
          <w:tcPr>
            <w:tcW w:w="1162" w:type="dxa"/>
            <w:noWrap/>
            <w:vAlign w:val="center"/>
          </w:tcPr>
          <w:p w14:paraId="65F44E7E">
            <w:pPr>
              <w:pStyle w:val="22"/>
              <w:spacing w:line="300" w:lineRule="exact"/>
              <w:rPr>
                <w:rFonts w:cs="Times New Roman"/>
                <w:sz w:val="21"/>
                <w:szCs w:val="21"/>
              </w:rPr>
            </w:pPr>
            <w:r>
              <w:rPr>
                <w:rFonts w:cs="Times New Roman"/>
                <w:sz w:val="21"/>
                <w:szCs w:val="21"/>
              </w:rPr>
              <w:t>84</w:t>
            </w:r>
          </w:p>
        </w:tc>
      </w:tr>
      <w:tr w14:paraId="18E7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503" w:type="dxa"/>
            <w:vMerge w:val="continue"/>
            <w:noWrap/>
            <w:vAlign w:val="center"/>
          </w:tcPr>
          <w:p w14:paraId="44687BA1">
            <w:pPr>
              <w:pStyle w:val="22"/>
              <w:spacing w:line="300" w:lineRule="exact"/>
              <w:rPr>
                <w:rFonts w:cs="Times New Roman"/>
                <w:sz w:val="21"/>
                <w:szCs w:val="21"/>
              </w:rPr>
            </w:pPr>
          </w:p>
        </w:tc>
        <w:tc>
          <w:tcPr>
            <w:tcW w:w="828" w:type="dxa"/>
            <w:vMerge w:val="continue"/>
            <w:noWrap/>
            <w:vAlign w:val="center"/>
          </w:tcPr>
          <w:p w14:paraId="2C050870">
            <w:pPr>
              <w:pStyle w:val="22"/>
              <w:spacing w:line="300" w:lineRule="exact"/>
              <w:rPr>
                <w:rFonts w:cs="Times New Roman"/>
                <w:sz w:val="21"/>
                <w:szCs w:val="21"/>
              </w:rPr>
            </w:pPr>
          </w:p>
        </w:tc>
        <w:tc>
          <w:tcPr>
            <w:tcW w:w="440" w:type="dxa"/>
            <w:noWrap/>
            <w:vAlign w:val="center"/>
          </w:tcPr>
          <w:p w14:paraId="07883A24">
            <w:pPr>
              <w:pStyle w:val="22"/>
              <w:spacing w:line="300" w:lineRule="exact"/>
              <w:rPr>
                <w:rFonts w:cs="Times New Roman"/>
                <w:sz w:val="21"/>
                <w:szCs w:val="21"/>
              </w:rPr>
            </w:pPr>
            <w:r>
              <w:rPr>
                <w:rFonts w:cs="Times New Roman"/>
                <w:sz w:val="21"/>
                <w:szCs w:val="21"/>
              </w:rPr>
              <w:t>38</w:t>
            </w:r>
          </w:p>
        </w:tc>
        <w:tc>
          <w:tcPr>
            <w:tcW w:w="2723" w:type="dxa"/>
            <w:noWrap/>
            <w:vAlign w:val="center"/>
          </w:tcPr>
          <w:p w14:paraId="1BC169DC">
            <w:pPr>
              <w:pStyle w:val="22"/>
              <w:spacing w:line="300" w:lineRule="exact"/>
              <w:jc w:val="both"/>
              <w:rPr>
                <w:rFonts w:cs="Times New Roman"/>
                <w:sz w:val="21"/>
                <w:szCs w:val="21"/>
              </w:rPr>
            </w:pPr>
            <w:r>
              <w:rPr>
                <w:rFonts w:cs="Times New Roman"/>
                <w:sz w:val="21"/>
                <w:szCs w:val="21"/>
              </w:rPr>
              <w:t>公众对生态文明建设的参与度</w:t>
            </w:r>
          </w:p>
        </w:tc>
        <w:tc>
          <w:tcPr>
            <w:tcW w:w="622" w:type="dxa"/>
            <w:noWrap/>
            <w:vAlign w:val="center"/>
          </w:tcPr>
          <w:p w14:paraId="1D882817">
            <w:pPr>
              <w:pStyle w:val="22"/>
              <w:spacing w:line="300" w:lineRule="exact"/>
              <w:rPr>
                <w:rFonts w:cs="Times New Roman"/>
                <w:sz w:val="21"/>
                <w:szCs w:val="21"/>
              </w:rPr>
            </w:pPr>
            <w:r>
              <w:rPr>
                <w:rFonts w:cs="Times New Roman"/>
                <w:sz w:val="21"/>
                <w:szCs w:val="21"/>
              </w:rPr>
              <w:t>%</w:t>
            </w:r>
          </w:p>
        </w:tc>
        <w:tc>
          <w:tcPr>
            <w:tcW w:w="1100" w:type="dxa"/>
            <w:noWrap/>
            <w:vAlign w:val="center"/>
          </w:tcPr>
          <w:p w14:paraId="4C61B94A">
            <w:pPr>
              <w:pStyle w:val="22"/>
              <w:spacing w:line="300" w:lineRule="exact"/>
              <w:rPr>
                <w:rFonts w:cs="Times New Roman"/>
                <w:sz w:val="21"/>
                <w:szCs w:val="21"/>
              </w:rPr>
            </w:pPr>
            <w:r>
              <w:rPr>
                <w:rFonts w:cs="Times New Roman"/>
                <w:sz w:val="21"/>
                <w:szCs w:val="21"/>
              </w:rPr>
              <w:t>≥80</w:t>
            </w:r>
          </w:p>
        </w:tc>
        <w:tc>
          <w:tcPr>
            <w:tcW w:w="1100" w:type="dxa"/>
            <w:noWrap/>
            <w:vAlign w:val="center"/>
          </w:tcPr>
          <w:p w14:paraId="00104351">
            <w:pPr>
              <w:pStyle w:val="22"/>
              <w:spacing w:line="300" w:lineRule="exact"/>
              <w:rPr>
                <w:rFonts w:cs="Times New Roman"/>
                <w:sz w:val="21"/>
                <w:szCs w:val="21"/>
              </w:rPr>
            </w:pPr>
            <w:r>
              <w:rPr>
                <w:rFonts w:cs="Times New Roman"/>
                <w:sz w:val="21"/>
                <w:szCs w:val="21"/>
              </w:rPr>
              <w:t>≥80</w:t>
            </w:r>
          </w:p>
        </w:tc>
        <w:tc>
          <w:tcPr>
            <w:tcW w:w="1034" w:type="dxa"/>
            <w:noWrap/>
            <w:vAlign w:val="center"/>
          </w:tcPr>
          <w:p w14:paraId="6C0CA85E">
            <w:pPr>
              <w:pStyle w:val="22"/>
              <w:spacing w:line="300" w:lineRule="exact"/>
              <w:rPr>
                <w:rFonts w:cs="Times New Roman"/>
                <w:sz w:val="21"/>
                <w:szCs w:val="21"/>
              </w:rPr>
            </w:pPr>
            <w:r>
              <w:rPr>
                <w:rFonts w:cs="Times New Roman"/>
                <w:sz w:val="21"/>
                <w:szCs w:val="21"/>
              </w:rPr>
              <w:t>参考性</w:t>
            </w:r>
          </w:p>
        </w:tc>
        <w:tc>
          <w:tcPr>
            <w:tcW w:w="1366" w:type="dxa"/>
            <w:noWrap/>
            <w:vAlign w:val="center"/>
          </w:tcPr>
          <w:p w14:paraId="0B8A81CE">
            <w:pPr>
              <w:pStyle w:val="22"/>
              <w:spacing w:line="300" w:lineRule="exact"/>
              <w:rPr>
                <w:rFonts w:cs="Times New Roman"/>
                <w:sz w:val="21"/>
                <w:szCs w:val="21"/>
              </w:rPr>
            </w:pPr>
            <w:r>
              <w:rPr>
                <w:rFonts w:cs="Times New Roman"/>
                <w:sz w:val="21"/>
                <w:szCs w:val="21"/>
              </w:rPr>
              <w:t>83.2</w:t>
            </w:r>
          </w:p>
        </w:tc>
        <w:tc>
          <w:tcPr>
            <w:tcW w:w="853" w:type="dxa"/>
            <w:noWrap/>
            <w:vAlign w:val="center"/>
          </w:tcPr>
          <w:p w14:paraId="521E7DBE">
            <w:pPr>
              <w:pStyle w:val="22"/>
              <w:spacing w:line="300" w:lineRule="exact"/>
              <w:rPr>
                <w:rFonts w:cs="Times New Roman"/>
                <w:sz w:val="21"/>
                <w:szCs w:val="21"/>
              </w:rPr>
            </w:pPr>
            <w:r>
              <w:rPr>
                <w:rFonts w:cs="Times New Roman"/>
                <w:sz w:val="21"/>
                <w:szCs w:val="21"/>
              </w:rPr>
              <w:t>达标</w:t>
            </w:r>
          </w:p>
        </w:tc>
        <w:tc>
          <w:tcPr>
            <w:tcW w:w="1110" w:type="dxa"/>
            <w:noWrap/>
            <w:vAlign w:val="center"/>
          </w:tcPr>
          <w:p w14:paraId="6CDADA37">
            <w:pPr>
              <w:pStyle w:val="22"/>
              <w:spacing w:line="300" w:lineRule="exact"/>
              <w:rPr>
                <w:rFonts w:cs="Times New Roman"/>
                <w:sz w:val="21"/>
                <w:szCs w:val="21"/>
              </w:rPr>
            </w:pPr>
            <w:r>
              <w:rPr>
                <w:rFonts w:cs="Times New Roman"/>
                <w:sz w:val="21"/>
                <w:szCs w:val="21"/>
              </w:rPr>
              <w:t>83</w:t>
            </w:r>
          </w:p>
        </w:tc>
        <w:tc>
          <w:tcPr>
            <w:tcW w:w="1080" w:type="dxa"/>
            <w:noWrap/>
            <w:vAlign w:val="center"/>
          </w:tcPr>
          <w:p w14:paraId="0BD65A38">
            <w:pPr>
              <w:pStyle w:val="22"/>
              <w:spacing w:line="300" w:lineRule="exact"/>
              <w:rPr>
                <w:rFonts w:cs="Times New Roman"/>
                <w:sz w:val="21"/>
                <w:szCs w:val="21"/>
              </w:rPr>
            </w:pPr>
            <w:r>
              <w:rPr>
                <w:rFonts w:cs="Times New Roman"/>
                <w:sz w:val="21"/>
                <w:szCs w:val="21"/>
              </w:rPr>
              <w:t>84</w:t>
            </w:r>
          </w:p>
        </w:tc>
        <w:tc>
          <w:tcPr>
            <w:tcW w:w="1162" w:type="dxa"/>
            <w:noWrap/>
            <w:vAlign w:val="center"/>
          </w:tcPr>
          <w:p w14:paraId="5BC3AAD1">
            <w:pPr>
              <w:pStyle w:val="22"/>
              <w:spacing w:line="300" w:lineRule="exact"/>
              <w:rPr>
                <w:rFonts w:cs="Times New Roman"/>
                <w:sz w:val="21"/>
                <w:szCs w:val="21"/>
              </w:rPr>
            </w:pPr>
            <w:r>
              <w:rPr>
                <w:rFonts w:cs="Times New Roman"/>
                <w:sz w:val="21"/>
                <w:szCs w:val="21"/>
              </w:rPr>
              <w:t>85</w:t>
            </w:r>
          </w:p>
        </w:tc>
      </w:tr>
    </w:tbl>
    <w:p w14:paraId="0E644320">
      <w:pPr>
        <w:pStyle w:val="14"/>
        <w:ind w:firstLine="360"/>
        <w:sectPr>
          <w:footerReference r:id="rId13" w:type="default"/>
          <w:pgSz w:w="16838" w:h="11906" w:orient="landscape"/>
          <w:pgMar w:top="1418" w:right="1701" w:bottom="1418" w:left="1701" w:header="851" w:footer="992" w:gutter="0"/>
          <w:cols w:space="425" w:num="1"/>
          <w:docGrid w:type="lines" w:linePitch="312" w:charSpace="0"/>
        </w:sectPr>
      </w:pPr>
    </w:p>
    <w:p w14:paraId="2EEB2B4A">
      <w:pPr>
        <w:pStyle w:val="2"/>
        <w:keepNext w:val="0"/>
        <w:keepLines w:val="0"/>
        <w:spacing w:line="578" w:lineRule="exact"/>
        <w:rPr>
          <w:rFonts w:eastAsia="方正小标宋简体" w:cs="Times New Roman"/>
          <w:b w:val="0"/>
          <w:sz w:val="44"/>
          <w:szCs w:val="44"/>
        </w:rPr>
      </w:pPr>
      <w:bookmarkStart w:id="35" w:name="_Toc101876862"/>
      <w:r>
        <w:rPr>
          <w:rFonts w:eastAsia="方正小标宋简体" w:cs="Times New Roman"/>
          <w:b w:val="0"/>
          <w:sz w:val="44"/>
          <w:szCs w:val="44"/>
        </w:rPr>
        <w:t>第三章  生态制度体系建设</w:t>
      </w:r>
      <w:bookmarkEnd w:id="35"/>
    </w:p>
    <w:p w14:paraId="04E791E1">
      <w:pPr>
        <w:pStyle w:val="3"/>
        <w:keepNext w:val="0"/>
        <w:keepLines w:val="0"/>
        <w:spacing w:line="578" w:lineRule="exact"/>
        <w:rPr>
          <w:rFonts w:eastAsia="黑体" w:cs="Times New Roman"/>
          <w:b w:val="0"/>
          <w:sz w:val="32"/>
          <w:szCs w:val="32"/>
        </w:rPr>
      </w:pPr>
    </w:p>
    <w:p w14:paraId="4EF8BDF6">
      <w:pPr>
        <w:pStyle w:val="3"/>
        <w:keepNext w:val="0"/>
        <w:keepLines w:val="0"/>
        <w:spacing w:afterLines="50" w:line="578" w:lineRule="exact"/>
        <w:rPr>
          <w:rFonts w:eastAsia="黑体" w:cs="Times New Roman"/>
          <w:b w:val="0"/>
          <w:sz w:val="32"/>
          <w:szCs w:val="32"/>
        </w:rPr>
      </w:pPr>
      <w:bookmarkStart w:id="36" w:name="_Toc101876863"/>
      <w:r>
        <w:rPr>
          <w:rFonts w:eastAsia="黑体" w:cs="Times New Roman"/>
          <w:b w:val="0"/>
          <w:sz w:val="32"/>
          <w:szCs w:val="32"/>
        </w:rPr>
        <w:t>第一节  完善生态环境保护制度</w:t>
      </w:r>
      <w:bookmarkEnd w:id="36"/>
    </w:p>
    <w:p w14:paraId="216D5762">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第二十条  建立生态文明统筹协调机制</w:t>
      </w:r>
    </w:p>
    <w:p w14:paraId="769E2773">
      <w:pPr>
        <w:spacing w:line="578" w:lineRule="exact"/>
        <w:ind w:firstLine="640"/>
        <w:rPr>
          <w:rFonts w:cs="Times New Roman"/>
          <w:sz w:val="32"/>
          <w:szCs w:val="32"/>
        </w:rPr>
      </w:pPr>
      <w:r>
        <w:rPr>
          <w:rFonts w:cs="Times New Roman"/>
          <w:sz w:val="32"/>
          <w:szCs w:val="32"/>
        </w:rPr>
        <w:t>成立由市委书记任顾问，市委副书记、市人民政府市长任组长、分管生态文明建设副市长任副组长，各相关部门为成员单位的醴陵市生态文明建设示范市领导小组，负责部署统筹醴陵市生态文明建设示范市建设的各项工作。建立联席会议制度，认真落实污染联防联控机制，研究解决全市环境保护工作中的重大问题，统筹协调相关部门职责分工，加强联合执法和监督管理，凝聚社会力量，形成生态文明建设的强大合力。</w:t>
      </w:r>
    </w:p>
    <w:p w14:paraId="6D09D85B">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第二十一条  编制实施生态文明建设规划</w:t>
      </w:r>
    </w:p>
    <w:p w14:paraId="4DDBBC01">
      <w:pPr>
        <w:spacing w:line="578" w:lineRule="exact"/>
        <w:ind w:firstLine="640"/>
        <w:rPr>
          <w:rFonts w:cs="Times New Roman"/>
          <w:sz w:val="32"/>
          <w:szCs w:val="32"/>
        </w:rPr>
      </w:pPr>
      <w:r>
        <w:rPr>
          <w:rFonts w:cs="Times New Roman"/>
          <w:sz w:val="32"/>
          <w:szCs w:val="32"/>
        </w:rPr>
        <w:t>强化规划引领，按照《国家生态文明建设示范区规划编制指南（试行）》及国家、省、市相关要求，于2022年编制《湖南省株洲市醴陵市生态文明建设示范市规划（2021—2030年）》并颁布实施。根据株洲市生态环境局制定的生态文明建设示范镇村创建相关规定，积极组织编制生态文明建设示范镇村规划或建设方案。</w:t>
      </w:r>
    </w:p>
    <w:p w14:paraId="18D34DC0">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第二十二条  依法开展规划环境影响评价</w:t>
      </w:r>
    </w:p>
    <w:p w14:paraId="48E92CA0">
      <w:pPr>
        <w:spacing w:line="578" w:lineRule="exact"/>
        <w:ind w:firstLine="640"/>
        <w:rPr>
          <w:rFonts w:cs="Times New Roman"/>
          <w:sz w:val="32"/>
          <w:szCs w:val="32"/>
        </w:rPr>
      </w:pPr>
      <w:r>
        <w:rPr>
          <w:rFonts w:cs="Times New Roman"/>
          <w:sz w:val="32"/>
          <w:szCs w:val="32"/>
        </w:rPr>
        <w:t>对在规划期内编制的土地利用有关规划，市域范围内的建设及开发利用规划，市域工业、农业、畜牧业、林业、能源、水利、交通、城市建设、旅游、自然资源开发等的有关专项规划，要根据《中华人民共和国环境保护法》《规划环境影响评价条例》《规划环境影响评价技术导则总则》等生态环境保护标准、环境影响评价技术导则和技术规范对编制的规划依法开展规划环境影响评价。</w:t>
      </w:r>
    </w:p>
    <w:p w14:paraId="30BA5198">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第二十三条  深入推进生态环境信息公开</w:t>
      </w:r>
    </w:p>
    <w:p w14:paraId="0B62FFF4">
      <w:pPr>
        <w:spacing w:line="578" w:lineRule="exact"/>
        <w:ind w:firstLine="640"/>
        <w:rPr>
          <w:rFonts w:cs="Times New Roman"/>
          <w:sz w:val="32"/>
          <w:szCs w:val="32"/>
        </w:rPr>
      </w:pPr>
      <w:r>
        <w:rPr>
          <w:rFonts w:cs="Times New Roman"/>
          <w:sz w:val="32"/>
          <w:szCs w:val="32"/>
        </w:rPr>
        <w:t>强化企业生态环境信息公开，按要求推动市域重点排污单位、实施清洁生产强制审计的企业在全国排污许可证管理信息平台、建设项目环境影响登记表备案系统（湖南省）等平台，开展环境信息公开。全面落实《醴陵市政府信息公开指南》《环境信息公开办法（试行）》《企事业单位环境信息公开办法》《关于加强污染源环境监管信息公开工作的通知》等相关政策文件要求，健全政府生态环境信息发布机制，规范信息公开平台监管，继续全面推进政府生态环境信息公开。</w:t>
      </w:r>
    </w:p>
    <w:p w14:paraId="12FA3A19">
      <w:pPr>
        <w:pStyle w:val="3"/>
        <w:keepNext w:val="0"/>
        <w:keepLines w:val="0"/>
        <w:spacing w:beforeLines="50" w:afterLines="50" w:line="578" w:lineRule="exact"/>
        <w:rPr>
          <w:rFonts w:eastAsia="黑体" w:cs="Times New Roman"/>
          <w:b w:val="0"/>
          <w:sz w:val="32"/>
          <w:szCs w:val="32"/>
        </w:rPr>
      </w:pPr>
      <w:bookmarkStart w:id="37" w:name="_Toc101876864"/>
      <w:r>
        <w:rPr>
          <w:rFonts w:eastAsia="黑体" w:cs="Times New Roman"/>
          <w:b w:val="0"/>
          <w:sz w:val="32"/>
          <w:szCs w:val="32"/>
        </w:rPr>
        <w:t>第二节  建立资源高效利用制度</w:t>
      </w:r>
      <w:bookmarkEnd w:id="37"/>
    </w:p>
    <w:p w14:paraId="79FF1435">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第二十四条  探索碳排放的分配监督制度</w:t>
      </w:r>
    </w:p>
    <w:p w14:paraId="0E84AA7C">
      <w:pPr>
        <w:spacing w:line="578" w:lineRule="exact"/>
        <w:ind w:firstLine="640"/>
        <w:rPr>
          <w:rFonts w:cs="Times New Roman"/>
          <w:sz w:val="32"/>
          <w:szCs w:val="32"/>
        </w:rPr>
      </w:pPr>
      <w:r>
        <w:rPr>
          <w:rFonts w:cs="Times New Roman"/>
          <w:sz w:val="32"/>
          <w:szCs w:val="32"/>
        </w:rPr>
        <w:t>加快推进碳市场建设，逐步组织全市重点企业开展碳排放权配额试算、分配和履约清缴工作。根据市场情况针对不同企业实施相应配额政策，降低碳排放配额总量供给，并逐步降低免费配额比重，倒逼企业向低碳转型，推动碳排放权交易政策和新能源技术创新的协调发展。探索建立科学高效的碳排放补贴机制，加大对参与企业的补贴和支持力度，推行绿色消费来反向推动绿色生产，倒逼生产者主动进行产业调整和绿色升级。探索建立碳排放交易的监督机制，加强政府碳排放监测平台、企业信息平台以及碳排放权交易平台建设的力度。</w:t>
      </w:r>
    </w:p>
    <w:p w14:paraId="252A4CCB">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第二十五条  建立环境资源总量控制机制</w:t>
      </w:r>
    </w:p>
    <w:p w14:paraId="5B6A4094">
      <w:pPr>
        <w:spacing w:line="578" w:lineRule="exact"/>
        <w:ind w:firstLine="640"/>
        <w:rPr>
          <w:rFonts w:cs="Times New Roman"/>
          <w:sz w:val="32"/>
          <w:szCs w:val="32"/>
        </w:rPr>
      </w:pPr>
      <w:r>
        <w:rPr>
          <w:rFonts w:cs="Times New Roman"/>
          <w:sz w:val="32"/>
          <w:szCs w:val="32"/>
        </w:rPr>
        <w:t>严格执行主要污染物排放总量控制制度，继续实施结构减排、工程减排、管理减排，确保完成国家、省、市下达的污染物减排任务。围绕最严格水资源管理制度要求，按上级下达的水资源管理“三条红线”控制指标，建立醴陵市用水总量、用水效率和水功能区污染物限制排放总量控制体系。严格遵循国家供地政策，优化全市建设用地结构，落实建设用地空间管制要求，完善节约集约用地制度体系。探索建立碳排放总量和强度“双控”考核体系，严格控制各地区特别是园区碳排放总量。</w:t>
      </w:r>
    </w:p>
    <w:p w14:paraId="74999336">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第二十六条  健全自然资源资产产权制度</w:t>
      </w:r>
    </w:p>
    <w:p w14:paraId="09E7EBA7">
      <w:pPr>
        <w:spacing w:line="578" w:lineRule="exact"/>
        <w:ind w:firstLine="640"/>
        <w:rPr>
          <w:rFonts w:cs="Times New Roman"/>
          <w:sz w:val="32"/>
          <w:szCs w:val="32"/>
        </w:rPr>
      </w:pPr>
      <w:r>
        <w:rPr>
          <w:rFonts w:cs="Times New Roman"/>
          <w:sz w:val="32"/>
          <w:szCs w:val="32"/>
        </w:rPr>
        <w:t>按上级统一部署，在现有工作基础上与醴陵市国土空间总体规划和用途管制相衔接，推动自然资源资产所有权与使用权分离，积极探索宅基地所有权、资格权、使用权“三权分置”，建设用地地上、地表和地下空间合理开发利用体系。完善水域滩涂养殖权利体系等产权制度，探索水资源和水工程所有权、使用权、经营权“三权分置”，加快构建分类科学的自然资源资产产权体系。</w:t>
      </w:r>
    </w:p>
    <w:p w14:paraId="3890289B">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第二十七条  健全自然资源资产监管制度</w:t>
      </w:r>
    </w:p>
    <w:p w14:paraId="669DA761">
      <w:pPr>
        <w:spacing w:line="600" w:lineRule="exact"/>
        <w:ind w:firstLine="640"/>
        <w:rPr>
          <w:rFonts w:cs="Times New Roman"/>
          <w:sz w:val="32"/>
          <w:szCs w:val="32"/>
        </w:rPr>
      </w:pPr>
      <w:r>
        <w:rPr>
          <w:rFonts w:cs="Times New Roman"/>
          <w:sz w:val="32"/>
          <w:szCs w:val="32"/>
        </w:rPr>
        <w:t>充分利用现有相关自然资源调查成果和确权成果，按上级部署有序推进自然资源资产核算评价工作。探索建立自然资源动态监测制度，健全自然资源资产管理考核评价体系，落实和完善党政领导干部自然资源资产损害责任追究制度。完善自然资源资产产权信息公开制度，强化社会监督。加强督察执法队伍建设，严肃查处自然资源资产产权领域重大违法案件。</w:t>
      </w:r>
    </w:p>
    <w:p w14:paraId="7A1C18ED">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第二十八条  建立自然资源有偿使用制度</w:t>
      </w:r>
    </w:p>
    <w:p w14:paraId="1B4055F0">
      <w:pPr>
        <w:spacing w:line="600" w:lineRule="exact"/>
        <w:ind w:firstLine="640"/>
        <w:rPr>
          <w:rFonts w:cs="Times New Roman"/>
          <w:sz w:val="32"/>
          <w:szCs w:val="32"/>
        </w:rPr>
      </w:pPr>
      <w:r>
        <w:rPr>
          <w:rFonts w:cs="Times New Roman"/>
          <w:sz w:val="32"/>
          <w:szCs w:val="32"/>
        </w:rPr>
        <w:t>遵守国土空间用途管制制度、管理规范和技术标准，严格管控各类自然资源。充分利用现有相关自然资源确权成果，积极推进土地资源、水权、林权、矿权等自然资源有偿使用，建立和完善市域土地、矿产、森林、水等自然资源有偿使用制度。按上级部署，探索建立自然资源资产分等定级价格评估制度和资产审核制度，完善自然资源资产使用权转让、出租、抵押市场规则，统筹推进自然资源资产交易平台建设。</w:t>
      </w:r>
    </w:p>
    <w:p w14:paraId="6A0F0AEF">
      <w:pPr>
        <w:pStyle w:val="3"/>
        <w:keepNext w:val="0"/>
        <w:keepLines w:val="0"/>
        <w:spacing w:beforeLines="50" w:afterLines="50" w:line="600" w:lineRule="exact"/>
        <w:rPr>
          <w:rFonts w:eastAsia="黑体" w:cs="Times New Roman"/>
          <w:b w:val="0"/>
          <w:sz w:val="32"/>
          <w:szCs w:val="32"/>
        </w:rPr>
      </w:pPr>
      <w:bookmarkStart w:id="38" w:name="_Toc101876865"/>
      <w:r>
        <w:rPr>
          <w:rFonts w:eastAsia="黑体" w:cs="Times New Roman"/>
          <w:b w:val="0"/>
          <w:sz w:val="32"/>
          <w:szCs w:val="32"/>
        </w:rPr>
        <w:t>第三节  健全生态保护和修复制度</w:t>
      </w:r>
      <w:bookmarkEnd w:id="38"/>
    </w:p>
    <w:p w14:paraId="0CBA1C52">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第二十九条  纵深推进实施河长制</w:t>
      </w:r>
    </w:p>
    <w:p w14:paraId="061A3F0A">
      <w:pPr>
        <w:spacing w:line="600" w:lineRule="exact"/>
        <w:ind w:firstLine="640"/>
        <w:rPr>
          <w:rFonts w:cs="Times New Roman"/>
          <w:sz w:val="32"/>
          <w:szCs w:val="32"/>
        </w:rPr>
      </w:pPr>
      <w:r>
        <w:rPr>
          <w:rFonts w:cs="Times New Roman"/>
          <w:sz w:val="32"/>
          <w:szCs w:val="32"/>
        </w:rPr>
        <w:t>强化河长履职，全面落实河长工作责任制，抓实巡、管、治、护各环节工作；全面完善“河道警长”，重点打击跨区域或交界水域涉河违法行为；全面完善“民间河长”，打造全民参与、群防群治的工作格局。加大渌水省际“样板河”“幸福河”创建力度，力争将渌江河打造成省级样板河。建立河湖“清四乱”常态化规范化机制，推动建立“数字化+网格化”监管，推进市域智慧河湖、示范河湖和水利风景区的建设。</w:t>
      </w:r>
    </w:p>
    <w:p w14:paraId="2373DC79">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第三十条  建立健全生态补偿制</w:t>
      </w:r>
    </w:p>
    <w:p w14:paraId="3656F6A4">
      <w:pPr>
        <w:spacing w:line="578" w:lineRule="exact"/>
        <w:ind w:firstLine="640"/>
        <w:rPr>
          <w:rFonts w:cs="Times New Roman"/>
          <w:sz w:val="32"/>
          <w:szCs w:val="32"/>
        </w:rPr>
      </w:pPr>
      <w:r>
        <w:rPr>
          <w:rFonts w:cs="Times New Roman"/>
          <w:sz w:val="32"/>
          <w:szCs w:val="32"/>
        </w:rPr>
        <w:t>围绕生态文明建设总体目标和碳达峰、碳中和目标，探索建立生态保护和治理方面专项转移支付资金整合机制，推进生态保护补偿制度建设。探索建立生态补偿标准动态调整长效机制，适时提高补偿标准，根据实际情况逐步加大对湖南醴陵官庄湖国家湿地公园、湖南醴陵仙岳山省级森林公园、饮用水水源保护区、生态公益林等生态功能区生态效益补偿力度。</w:t>
      </w:r>
    </w:p>
    <w:p w14:paraId="19737E14">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第三十一条  健全环境损害赔偿责任制</w:t>
      </w:r>
    </w:p>
    <w:p w14:paraId="397A2D21">
      <w:pPr>
        <w:spacing w:line="578" w:lineRule="exact"/>
        <w:ind w:firstLine="640"/>
        <w:rPr>
          <w:rFonts w:cs="Times New Roman"/>
          <w:sz w:val="32"/>
          <w:szCs w:val="32"/>
        </w:rPr>
      </w:pPr>
      <w:r>
        <w:rPr>
          <w:rFonts w:cs="Times New Roman"/>
          <w:sz w:val="32"/>
          <w:szCs w:val="32"/>
        </w:rPr>
        <w:t>探索建立政府主导、企业和社会参与、市场化运作、可持续的自然资源资产损害赔偿机制，对履行自然资源资产保护义务的权利主体给予合理补偿。探索健全依法建设占用各类自然生态空间和压覆矿产的占用补偿制度，落实和完善生态环境损害赔偿制度，由责任人承担修复或赔偿责任。按照谁修复、谁受益原则，通过赋予一定期限的自然资源资产使用权等产权安排，激励社会投资主体从事生态保护修复。</w:t>
      </w:r>
    </w:p>
    <w:p w14:paraId="189339BB">
      <w:pPr>
        <w:pStyle w:val="3"/>
        <w:keepNext w:val="0"/>
        <w:keepLines w:val="0"/>
        <w:spacing w:beforeLines="50" w:afterLines="50" w:line="578" w:lineRule="exact"/>
        <w:rPr>
          <w:rFonts w:eastAsia="黑体" w:cs="Times New Roman"/>
          <w:b w:val="0"/>
          <w:sz w:val="32"/>
          <w:szCs w:val="32"/>
        </w:rPr>
      </w:pPr>
      <w:bookmarkStart w:id="39" w:name="_Toc101876866"/>
      <w:r>
        <w:rPr>
          <w:rFonts w:eastAsia="黑体" w:cs="Times New Roman"/>
          <w:b w:val="0"/>
          <w:sz w:val="32"/>
          <w:szCs w:val="32"/>
        </w:rPr>
        <w:t>第四节  强化生态环境保护责任制度</w:t>
      </w:r>
      <w:bookmarkEnd w:id="39"/>
    </w:p>
    <w:p w14:paraId="509FAC85">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第三十二条  深化党委政府对生态文明建设重大目标任务部署</w:t>
      </w:r>
    </w:p>
    <w:p w14:paraId="3C8B6DA7">
      <w:pPr>
        <w:spacing w:line="578" w:lineRule="exact"/>
        <w:ind w:firstLine="640"/>
        <w:rPr>
          <w:rFonts w:cs="Times New Roman"/>
          <w:sz w:val="32"/>
          <w:szCs w:val="32"/>
        </w:rPr>
      </w:pPr>
      <w:r>
        <w:rPr>
          <w:rFonts w:cs="Times New Roman"/>
          <w:sz w:val="32"/>
          <w:szCs w:val="32"/>
        </w:rPr>
        <w:t>严格执行《醴陵市环境保护督察实施方案（试行）》等规定，集中力量组织整改中央环保督察、中央环保督察“回头看”、省环保督察、饮用水源专项督察及生态环境部、湖南省生态环境厅各类专项督查发现的问题，深入打好污染防治攻坚战，全面推进乡村振兴工作，及时解决生态文明建设的突出问题。</w:t>
      </w:r>
    </w:p>
    <w:p w14:paraId="0187FA16">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第三十三条  稳步提升生态文明建设工作占党政实绩考核比例</w:t>
      </w:r>
    </w:p>
    <w:p w14:paraId="55A39071">
      <w:pPr>
        <w:spacing w:line="578" w:lineRule="exact"/>
        <w:ind w:firstLine="640"/>
        <w:rPr>
          <w:rFonts w:cs="Times New Roman"/>
          <w:sz w:val="32"/>
          <w:szCs w:val="32"/>
        </w:rPr>
      </w:pPr>
      <w:r>
        <w:rPr>
          <w:rFonts w:cs="Times New Roman"/>
          <w:sz w:val="32"/>
          <w:szCs w:val="32"/>
        </w:rPr>
        <w:t>充分发挥考评的激励导向作用，紧扣全市生态文明建设目标，进一步细化考核指标体系，提升生态文明建设考核指标的占比，完善醴陵市领导干部绩效考核指标体系与考核办法，强化考核结果运用，以考核指挥棒，强化生态环境保护约束，切实提高生态文明建设成效。</w:t>
      </w:r>
    </w:p>
    <w:p w14:paraId="37F110DE">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第三十四条  建立健全生态环境损害责任追究制度</w:t>
      </w:r>
    </w:p>
    <w:p w14:paraId="45E0E4B1">
      <w:pPr>
        <w:spacing w:line="578" w:lineRule="exact"/>
        <w:ind w:firstLine="640"/>
        <w:rPr>
          <w:rFonts w:cs="Times New Roman"/>
          <w:sz w:val="32"/>
          <w:szCs w:val="32"/>
        </w:rPr>
      </w:pPr>
      <w:r>
        <w:rPr>
          <w:rFonts w:cs="Times New Roman"/>
          <w:sz w:val="32"/>
          <w:szCs w:val="32"/>
        </w:rPr>
        <w:t>严格执行《党政领导干部生态环境损害责任追究办法（试行）》《湖南省党政领导干部生态环境损害责任追究实施细则（试行）》《湖南省重大生态环境问题（事件）责任追究办法》《株洲市党政领导干部生态环境损害责任追究办法实施细则》等相关规定，将生态环境损害责任追究与国土空间用途管制、生态保护红线管控、自然保护地管控、领导干部自然资源资产离任审计等制度相衔接。在落实生态环境保护责任过程中不履职、不当履职、违法履职，导致产生严重后果和恶劣影响的责任单位和责任人，将依法实行终身追责。</w:t>
      </w:r>
    </w:p>
    <w:p w14:paraId="2C810C43">
      <w:pPr>
        <w:pStyle w:val="3"/>
        <w:keepNext w:val="0"/>
        <w:keepLines w:val="0"/>
        <w:spacing w:beforeLines="50" w:afterLines="50" w:line="578" w:lineRule="exact"/>
        <w:rPr>
          <w:rFonts w:eastAsia="黑体" w:cs="Times New Roman"/>
          <w:b w:val="0"/>
          <w:sz w:val="32"/>
          <w:szCs w:val="32"/>
        </w:rPr>
      </w:pPr>
      <w:bookmarkStart w:id="40" w:name="_Toc101876867"/>
      <w:r>
        <w:rPr>
          <w:rFonts w:eastAsia="黑体" w:cs="Times New Roman"/>
          <w:b w:val="0"/>
          <w:sz w:val="32"/>
          <w:szCs w:val="32"/>
        </w:rPr>
        <w:t>第五节  构建现代环境治理体系</w:t>
      </w:r>
      <w:bookmarkEnd w:id="40"/>
    </w:p>
    <w:p w14:paraId="15F25B3B">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第三十五条  健全环境治理领导责任体系</w:t>
      </w:r>
    </w:p>
    <w:p w14:paraId="27259A9F">
      <w:pPr>
        <w:spacing w:line="578" w:lineRule="exact"/>
        <w:ind w:firstLine="640"/>
        <w:rPr>
          <w:rFonts w:cs="Times New Roman"/>
          <w:sz w:val="32"/>
          <w:szCs w:val="32"/>
        </w:rPr>
      </w:pPr>
      <w:r>
        <w:rPr>
          <w:rFonts w:cs="Times New Roman"/>
          <w:sz w:val="32"/>
          <w:szCs w:val="32"/>
        </w:rPr>
        <w:t>重点落实党政领导责任，统筹做好监管执法、市场规范、资金安排、宣传教育等工作。严格环保目标管理，强化污染防治攻坚战成效考核，提升环境治理能力和水平；实施生态环境保护督察制度，健全长效工作机制，压实生态环境保护责任。</w:t>
      </w:r>
    </w:p>
    <w:p w14:paraId="147DBAD7">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第三十六条  探索环境治理的市场化机制</w:t>
      </w:r>
    </w:p>
    <w:p w14:paraId="696E5CEE">
      <w:pPr>
        <w:spacing w:line="578" w:lineRule="exact"/>
        <w:ind w:firstLine="640"/>
        <w:rPr>
          <w:rFonts w:cs="Times New Roman"/>
          <w:sz w:val="32"/>
          <w:szCs w:val="32"/>
        </w:rPr>
      </w:pPr>
      <w:r>
        <w:rPr>
          <w:rFonts w:cs="Times New Roman"/>
          <w:sz w:val="32"/>
          <w:szCs w:val="32"/>
        </w:rPr>
        <w:t>以改善生态环境质量为核心，培育环境治理和生态保护市场主体，加大对环境污染第三方治理的支持力度，完善环境信息公开机制与信用体系建设和规范市场秩序，实施有效的激励机制，推行市场化环境治理模式；鼓励各类投资进入环保市场，构建市场化多元投融资体系；健全价格收费机制，按照补偿处理成本并合理盈利原则，构建污水、垃圾处理费价格形成机制。</w:t>
      </w:r>
    </w:p>
    <w:p w14:paraId="4081D2CE">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第三十七条  完善生态环境治理监管机制</w:t>
      </w:r>
    </w:p>
    <w:p w14:paraId="4C411BEF">
      <w:pPr>
        <w:spacing w:line="578" w:lineRule="exact"/>
        <w:ind w:firstLine="640"/>
        <w:rPr>
          <w:rFonts w:cs="Times New Roman"/>
          <w:sz w:val="32"/>
          <w:szCs w:val="32"/>
        </w:rPr>
      </w:pPr>
      <w:r>
        <w:rPr>
          <w:rFonts w:cs="Times New Roman"/>
          <w:sz w:val="32"/>
          <w:szCs w:val="32"/>
        </w:rPr>
        <w:t>健全环境污染联防联控机制，加强对高耗水、高污染、高排放工业项目新增产能的协同控制。建立实施流域水环境协同保护机制、突发环境事件联合应急响应机制等。在渌江（萍水）跨省河长制协调机制的基础上，继续推动建立湘赣边区跨省河湖协同机制，探索建立边界河流区域协作机制、输入性污染应急处置机制和监督管理机制，促进全流域协调联动、共治共防。完善重大环境风险化解防范机制，加强危险废物产生和经营单位的规范化管理。</w:t>
      </w:r>
    </w:p>
    <w:p w14:paraId="64B5019D">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第三十八条  构建环境治理社会参与机制</w:t>
      </w:r>
    </w:p>
    <w:p w14:paraId="3BB64EAE">
      <w:pPr>
        <w:spacing w:line="578" w:lineRule="exact"/>
        <w:ind w:firstLine="640"/>
        <w:rPr>
          <w:rFonts w:cs="Times New Roman"/>
          <w:sz w:val="32"/>
          <w:szCs w:val="32"/>
        </w:rPr>
      </w:pPr>
      <w:r>
        <w:rPr>
          <w:rFonts w:cs="Times New Roman"/>
          <w:sz w:val="32"/>
          <w:szCs w:val="32"/>
        </w:rPr>
        <w:t>建立面向绿色低碳领域的创新机制，以可再生能源及新能源、煤的清洁高效利用等领域技术创新为重点，重视科研工作者、企业家、社会公众等积极参与太阳能、生物质能等低碳能源技术创新与低碳产品应用的全过程。充分发挥社会主体力量，鼓励更多的人民群众参与国土绿化、城市绿化、植树造林等活动，加快生态环境建设与治理。健全举报反馈、听证、舆论监督等公众参与机制，构建强大的群众监督网和生态环境信息共享平台。</w:t>
      </w:r>
    </w:p>
    <w:p w14:paraId="5DE6EAA0">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第三十九条  建立环境信用评价运用机制</w:t>
      </w:r>
    </w:p>
    <w:p w14:paraId="51B68E99">
      <w:pPr>
        <w:spacing w:line="578" w:lineRule="exact"/>
        <w:ind w:firstLine="640"/>
        <w:rPr>
          <w:rFonts w:cs="Times New Roman"/>
          <w:sz w:val="32"/>
          <w:szCs w:val="32"/>
        </w:rPr>
      </w:pPr>
      <w:r>
        <w:rPr>
          <w:rFonts w:cs="Times New Roman"/>
          <w:sz w:val="32"/>
          <w:szCs w:val="32"/>
        </w:rPr>
        <w:t>按上级统一部署，推进建立环境信用评价制度，重视环境信用评价结果运用，实施生态环境信用评价运用机制，将环境违法企业列入“黑名单”并向社会公开，将其环境违法行为纳入社会信用体系。落实绿色信贷政策，对环境信用不良的企业，严格贷款条件，对环境信用良好的企业，予以积极的信贷支持；对环保严重失信企业，在落实完成有关整改措施前，不予新增贷款，并视情况逐步压缩贷款，直至退出贷款。</w:t>
      </w:r>
    </w:p>
    <w:p w14:paraId="4165E136">
      <w:pPr>
        <w:spacing w:line="578" w:lineRule="exact"/>
        <w:ind w:firstLine="640"/>
        <w:rPr>
          <w:rFonts w:cs="Times New Roman"/>
          <w:sz w:val="32"/>
          <w:szCs w:val="32"/>
        </w:rPr>
      </w:pPr>
      <w:r>
        <w:rPr>
          <w:rFonts w:cs="Times New Roman"/>
          <w:sz w:val="32"/>
          <w:szCs w:val="32"/>
        </w:rPr>
        <w:br w:type="page"/>
      </w:r>
    </w:p>
    <w:p w14:paraId="42B7D37E">
      <w:pPr>
        <w:pStyle w:val="2"/>
        <w:keepNext w:val="0"/>
        <w:keepLines w:val="0"/>
        <w:spacing w:line="578" w:lineRule="exact"/>
        <w:rPr>
          <w:rFonts w:eastAsia="方正小标宋简体" w:cs="Times New Roman"/>
          <w:b w:val="0"/>
          <w:sz w:val="44"/>
          <w:szCs w:val="44"/>
        </w:rPr>
      </w:pPr>
      <w:bookmarkStart w:id="41" w:name="_Toc101876868"/>
      <w:r>
        <w:rPr>
          <w:rFonts w:eastAsia="方正小标宋简体" w:cs="Times New Roman"/>
          <w:b w:val="0"/>
          <w:sz w:val="44"/>
          <w:szCs w:val="44"/>
        </w:rPr>
        <w:t>第四章  生态安全体系建设</w:t>
      </w:r>
      <w:bookmarkEnd w:id="41"/>
    </w:p>
    <w:p w14:paraId="5055D89A">
      <w:pPr>
        <w:pStyle w:val="3"/>
        <w:keepNext w:val="0"/>
        <w:keepLines w:val="0"/>
        <w:spacing w:line="578" w:lineRule="exact"/>
        <w:ind w:firstLine="640" w:firstLineChars="200"/>
        <w:jc w:val="both"/>
        <w:rPr>
          <w:rFonts w:cs="Times New Roman"/>
          <w:b w:val="0"/>
          <w:sz w:val="32"/>
          <w:szCs w:val="32"/>
        </w:rPr>
      </w:pPr>
    </w:p>
    <w:p w14:paraId="5BE0ECA8">
      <w:pPr>
        <w:pStyle w:val="3"/>
        <w:keepNext w:val="0"/>
        <w:keepLines w:val="0"/>
        <w:spacing w:afterLines="50" w:line="578" w:lineRule="exact"/>
        <w:rPr>
          <w:rFonts w:eastAsia="黑体" w:cs="Times New Roman"/>
          <w:b w:val="0"/>
          <w:sz w:val="32"/>
          <w:szCs w:val="32"/>
        </w:rPr>
      </w:pPr>
      <w:bookmarkStart w:id="42" w:name="_Toc101876869"/>
      <w:r>
        <w:rPr>
          <w:rFonts w:eastAsia="黑体" w:cs="Times New Roman"/>
          <w:b w:val="0"/>
          <w:sz w:val="32"/>
          <w:szCs w:val="32"/>
        </w:rPr>
        <w:t>第一节  积极应对气候变化</w:t>
      </w:r>
      <w:bookmarkEnd w:id="42"/>
    </w:p>
    <w:p w14:paraId="3EA03B87">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第四十条  推动碳达峰行动</w:t>
      </w:r>
    </w:p>
    <w:p w14:paraId="0DC94CDD">
      <w:pPr>
        <w:spacing w:line="578" w:lineRule="exact"/>
        <w:ind w:firstLine="640"/>
        <w:rPr>
          <w:rFonts w:cs="Times New Roman"/>
          <w:sz w:val="32"/>
          <w:szCs w:val="32"/>
        </w:rPr>
      </w:pPr>
      <w:r>
        <w:rPr>
          <w:rFonts w:cs="Times New Roman"/>
          <w:sz w:val="32"/>
          <w:szCs w:val="32"/>
        </w:rPr>
        <w:t>结合实际科学制定应对气候变化专项规划及工作目标，进一步研究全市碳排放碳达峰。优化产业结构和能源结构，推动煤炭清洁高效利用，大力发展新能源；促进新型节能环保技术、装备和产品研发应用，培育壮大节能环保产业；加快建设碳排放权交易市场，完善能源消费双控制度。</w:t>
      </w:r>
    </w:p>
    <w:p w14:paraId="7E873877">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第四十一条  加强碳汇建设</w:t>
      </w:r>
    </w:p>
    <w:p w14:paraId="45868FA4">
      <w:pPr>
        <w:spacing w:line="578" w:lineRule="exact"/>
        <w:ind w:firstLine="640"/>
        <w:rPr>
          <w:rFonts w:cs="Times New Roman"/>
          <w:sz w:val="32"/>
          <w:szCs w:val="32"/>
        </w:rPr>
      </w:pPr>
      <w:r>
        <w:rPr>
          <w:rFonts w:cs="Times New Roman"/>
          <w:sz w:val="32"/>
          <w:szCs w:val="32"/>
        </w:rPr>
        <w:t>着力推进国土绿化，坚持全民义务植树活动，加强重点林业工程建设，实施退耕还林，促进森林可持续发展，实现森林提质增效，提升森林生态功能，加强森林碳汇建设。牢守耕地红线，严格落实耕地保护制度，2021—2025年，实施耕地开发项目1000亩、旱改水项目1000亩，加强永久基本农田保护和管理，加强农田碳汇建设。推进水土流失综合治理，开展小流域综合治理，加强湿地碳汇建设。</w:t>
      </w:r>
    </w:p>
    <w:p w14:paraId="14FA1E30">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第四十二条  全面推进节能减排建设</w:t>
      </w:r>
    </w:p>
    <w:p w14:paraId="523EF89C">
      <w:pPr>
        <w:spacing w:line="578" w:lineRule="exact"/>
        <w:ind w:firstLine="640"/>
        <w:rPr>
          <w:rFonts w:cs="Times New Roman"/>
          <w:sz w:val="32"/>
          <w:szCs w:val="32"/>
        </w:rPr>
      </w:pPr>
      <w:r>
        <w:rPr>
          <w:rFonts w:cs="Times New Roman"/>
          <w:sz w:val="32"/>
          <w:szCs w:val="32"/>
        </w:rPr>
        <w:t>优化产业布局、规模和结构，走产业生态化、生态产业化之路，实行资源总量管理和全面节约制度，推动资源节约集约循环利用，打造一批绿色工厂、绿色园区、绿色产品和绿色供应链管理企业；积极推进节能降耗持续推进全民节能行动计划，构建“互联网+节能”平台，建立基于信息化的节能管理、节能监察和节能服务新机制。建立重点用能单位能耗在线监测系统；倡导简约适度、绿色低碳生活方式，推进形成厉行节约、反对浪费的社会风尚，践行绿色出行、绿色办公，发展绿色建筑。</w:t>
      </w:r>
    </w:p>
    <w:p w14:paraId="5AE782F8">
      <w:pPr>
        <w:pStyle w:val="3"/>
        <w:keepNext w:val="0"/>
        <w:keepLines w:val="0"/>
        <w:spacing w:beforeLines="50" w:afterLines="50" w:line="578" w:lineRule="exact"/>
        <w:rPr>
          <w:rFonts w:eastAsia="黑体" w:cs="Times New Roman"/>
          <w:b w:val="0"/>
          <w:sz w:val="32"/>
          <w:szCs w:val="32"/>
        </w:rPr>
      </w:pPr>
      <w:bookmarkStart w:id="43" w:name="_Toc101876870"/>
      <w:r>
        <w:rPr>
          <w:rFonts w:eastAsia="黑体" w:cs="Times New Roman"/>
          <w:b w:val="0"/>
          <w:sz w:val="32"/>
          <w:szCs w:val="32"/>
        </w:rPr>
        <w:t>第二节  保持水环境质量稳定</w:t>
      </w:r>
      <w:bookmarkEnd w:id="43"/>
    </w:p>
    <w:p w14:paraId="1B6A3E0B">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第四十三条  加强重点流域防治</w:t>
      </w:r>
    </w:p>
    <w:p w14:paraId="1A8D106F">
      <w:pPr>
        <w:spacing w:line="578" w:lineRule="exact"/>
        <w:ind w:firstLine="640"/>
        <w:rPr>
          <w:rFonts w:cs="Times New Roman"/>
          <w:sz w:val="32"/>
          <w:szCs w:val="32"/>
        </w:rPr>
      </w:pPr>
      <w:r>
        <w:rPr>
          <w:rFonts w:cs="Times New Roman"/>
          <w:sz w:val="32"/>
          <w:szCs w:val="32"/>
        </w:rPr>
        <w:t>将渌江流域（包括主要支流澄潭江、铁水流域）水污染防治作为醴陵市水污染防治工作的重点。加强沿渌江企业及企业废水治理设施监管，严格监管沿渌江排污口污水排放情况，建成镇（街道）污水处理厂，并完善城区污水管网建设，提高城区污水集中处理率，对现有工业污染源和生活污水进行集中、深度治理，切实改善水体质量。</w:t>
      </w:r>
    </w:p>
    <w:p w14:paraId="1C2BD0BE">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第四十四条  加强工业水污染防治</w:t>
      </w:r>
    </w:p>
    <w:p w14:paraId="1C66C9ED">
      <w:pPr>
        <w:spacing w:line="600" w:lineRule="exact"/>
        <w:ind w:firstLine="640"/>
        <w:rPr>
          <w:rFonts w:cs="Times New Roman"/>
          <w:sz w:val="32"/>
          <w:szCs w:val="32"/>
        </w:rPr>
      </w:pPr>
      <w:r>
        <w:rPr>
          <w:rFonts w:cs="Times New Roman"/>
          <w:sz w:val="32"/>
          <w:szCs w:val="32"/>
        </w:rPr>
        <w:t>以陶瓷、花炮、玻璃等产业为主导，加强现有污染源的监督管理，巩固和深化工业废水污染源达标排放成果，提高达标排放的稳定性，实施深度处理和资源化利用，进一步削减排污总量。强化经开区和工业集聚区的水污染治理，工业集中区工业废水必须预处理达到集中处理要求，方可进入污水集中处理设施。2025年前，东富工业园片区新建管网4千米，瓷谷、陶子湖片区新建管网5千米，增加污水收集处理能力；建立园区污染源智慧管理平台，实时掌握企业污染源信息。</w:t>
      </w:r>
    </w:p>
    <w:p w14:paraId="406BC6D2">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第四十五条  加强饮用水源地保护</w:t>
      </w:r>
    </w:p>
    <w:p w14:paraId="2638C792">
      <w:pPr>
        <w:spacing w:line="578" w:lineRule="exact"/>
        <w:ind w:firstLine="640"/>
        <w:rPr>
          <w:rFonts w:cs="Times New Roman"/>
          <w:sz w:val="32"/>
          <w:szCs w:val="32"/>
        </w:rPr>
      </w:pPr>
      <w:r>
        <w:rPr>
          <w:rFonts w:cs="Times New Roman"/>
          <w:sz w:val="32"/>
          <w:szCs w:val="32"/>
        </w:rPr>
        <w:t>积极开展饮用水水源地安全保障达标建设与评估，完成饮用水源保护区环境风险排查整治，加强望仙桥水库、官庄水库及其周边地区的生态保护和渌江河的水质保护，推进镇、村“千吨万人”“千人以上”集中式饮用水水源地规范化建设。加强水质安全监测、监管执法和信息公开，实施从源头到水龙头的全过程控制。</w:t>
      </w:r>
    </w:p>
    <w:p w14:paraId="38D7B909">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第四十六条  持续推进黑臭水体整治</w:t>
      </w:r>
    </w:p>
    <w:p w14:paraId="1C45655A">
      <w:pPr>
        <w:spacing w:line="578" w:lineRule="exact"/>
        <w:ind w:firstLine="640"/>
        <w:rPr>
          <w:rFonts w:cs="Times New Roman"/>
          <w:sz w:val="32"/>
          <w:szCs w:val="32"/>
        </w:rPr>
      </w:pPr>
      <w:r>
        <w:rPr>
          <w:rFonts w:cs="Times New Roman"/>
          <w:sz w:val="32"/>
          <w:szCs w:val="32"/>
        </w:rPr>
        <w:t>持续推进二圣河、西岸河、白兔潭镇金牛沟渠、白兔潭镇白市社区、东岸河、西山渠等黑臭水体整治成果监管，实现水体整治后的长治久清，定期召开会议，将管网维护、垃圾清理、生态修复等工作具体落到责任部门，加大对长治久清的督查检查，确保黑臭水体整治工作达到长治久清的效果。</w:t>
      </w:r>
    </w:p>
    <w:p w14:paraId="51B15F6F">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第四十七条  深化入河排污口清理整治</w:t>
      </w:r>
    </w:p>
    <w:p w14:paraId="6DE4A873">
      <w:pPr>
        <w:pStyle w:val="13"/>
        <w:spacing w:line="578" w:lineRule="exact"/>
        <w:ind w:firstLine="640"/>
        <w:rPr>
          <w:rFonts w:cs="Times New Roman"/>
          <w:sz w:val="32"/>
          <w:szCs w:val="32"/>
        </w:rPr>
      </w:pPr>
      <w:r>
        <w:rPr>
          <w:rFonts w:cs="Times New Roman"/>
          <w:sz w:val="32"/>
          <w:szCs w:val="32"/>
        </w:rPr>
        <w:t>深化入河排污口清理整治工作，规范入河排污口设置，开展造纸、化工、养殖等专项整治行动，将渌江河打造成“水清岸绿河畅景美”的省际样板河。严格入河排污口监督管理，优化入河排污口设置布局，严格控制入河排污总量，对排污量超出水功能区限排总量的地区，限制审批新增取水并设置入河排污口。</w:t>
      </w:r>
    </w:p>
    <w:p w14:paraId="7C3272E9">
      <w:pPr>
        <w:pStyle w:val="3"/>
        <w:keepNext w:val="0"/>
        <w:keepLines w:val="0"/>
        <w:spacing w:beforeLines="50" w:afterLines="50" w:line="578" w:lineRule="exact"/>
        <w:rPr>
          <w:rFonts w:eastAsia="黑体" w:cs="Times New Roman"/>
          <w:b w:val="0"/>
          <w:sz w:val="32"/>
          <w:szCs w:val="32"/>
        </w:rPr>
      </w:pPr>
      <w:bookmarkStart w:id="44" w:name="_Toc101876871"/>
      <w:r>
        <w:rPr>
          <w:rFonts w:eastAsia="黑体" w:cs="Times New Roman"/>
          <w:b w:val="0"/>
          <w:sz w:val="32"/>
          <w:szCs w:val="32"/>
        </w:rPr>
        <w:t>第三节  巩固提升大气环境质量</w:t>
      </w:r>
      <w:bookmarkEnd w:id="44"/>
    </w:p>
    <w:p w14:paraId="64106FFD">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第四十八条  加强地面扬尘污染防治</w:t>
      </w:r>
    </w:p>
    <w:p w14:paraId="6CD339B0">
      <w:pPr>
        <w:pStyle w:val="13"/>
        <w:spacing w:line="578" w:lineRule="exact"/>
        <w:ind w:firstLine="640"/>
        <w:rPr>
          <w:rFonts w:cs="Times New Roman"/>
          <w:sz w:val="32"/>
          <w:szCs w:val="32"/>
        </w:rPr>
      </w:pPr>
      <w:r>
        <w:rPr>
          <w:rFonts w:cs="Times New Roman"/>
          <w:sz w:val="32"/>
          <w:szCs w:val="32"/>
        </w:rPr>
        <w:t>加强混凝土预制、水泥等行业的工业粉尘治理力度，提高建筑行业规范化管理水平，城市建成区内房屋建筑和市政基础设施工程施工工地严格落实“八个100%”，加强重点施工单位信息化管理建立扬尘控制工作台账，加强道路运输扬尘污染控制，扩大道路机械化清扫和洒水范围，城市建成区道路机械化清扫率达到80%以上。</w:t>
      </w:r>
    </w:p>
    <w:p w14:paraId="358442C3">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第四十九条  加强工业大气污染源防治</w:t>
      </w:r>
    </w:p>
    <w:p w14:paraId="58CB9ACF">
      <w:pPr>
        <w:spacing w:line="578" w:lineRule="exact"/>
        <w:ind w:firstLine="640"/>
        <w:rPr>
          <w:rFonts w:cs="Times New Roman"/>
          <w:sz w:val="32"/>
          <w:szCs w:val="32"/>
        </w:rPr>
      </w:pPr>
      <w:r>
        <w:rPr>
          <w:rFonts w:cs="Times New Roman"/>
          <w:sz w:val="32"/>
          <w:szCs w:val="32"/>
        </w:rPr>
        <w:t>优化工业布局和产业结构，新建工业企业向开发区和有环保基础设施的工业区集中，落实长株潭城市群大气环境联防联控工程，持续推动产业、能源、运输、用地结构调整，构建清洁低碳高效能源体系。加强对现有大气污染防治的监督管理，积极推进生产工艺的技术改造，强化生产工艺废气治理，特别是陶瓷、造纸行业的专项整治，重点削减污染行业的大气污染物排污总量。</w:t>
      </w:r>
    </w:p>
    <w:p w14:paraId="1E71D762">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第五十条  加强机动车尾气污染防治</w:t>
      </w:r>
    </w:p>
    <w:p w14:paraId="42DFC4B6">
      <w:pPr>
        <w:spacing w:line="578" w:lineRule="exact"/>
        <w:ind w:firstLine="640"/>
        <w:rPr>
          <w:rFonts w:cs="Times New Roman"/>
          <w:sz w:val="32"/>
          <w:szCs w:val="32"/>
        </w:rPr>
      </w:pPr>
      <w:r>
        <w:rPr>
          <w:rFonts w:cs="Times New Roman"/>
          <w:sz w:val="32"/>
          <w:szCs w:val="32"/>
        </w:rPr>
        <w:t>提升燃油品质，燃油供应管理部门制定合格油品保证方案，确保按期供应合格油品。健全机动车路检监控系统，加强对道路机动车的监督监测。大力推广新能源汽车，市内公交、出租、环卫等行业和政府机关率先推广使用节能与新能源动力汽车，出台新增、更新新能源车（含出租车）的补贴政策及标准。</w:t>
      </w:r>
    </w:p>
    <w:p w14:paraId="56AD4ACE">
      <w:pPr>
        <w:pStyle w:val="3"/>
        <w:keepNext w:val="0"/>
        <w:keepLines w:val="0"/>
        <w:spacing w:beforeLines="50" w:afterLines="50" w:line="578" w:lineRule="exact"/>
        <w:rPr>
          <w:rFonts w:eastAsia="黑体" w:cs="Times New Roman"/>
          <w:b w:val="0"/>
          <w:sz w:val="32"/>
          <w:szCs w:val="32"/>
        </w:rPr>
      </w:pPr>
      <w:bookmarkStart w:id="45" w:name="_Toc101876872"/>
      <w:r>
        <w:rPr>
          <w:rFonts w:eastAsia="黑体" w:cs="Times New Roman"/>
          <w:b w:val="0"/>
          <w:sz w:val="32"/>
          <w:szCs w:val="32"/>
        </w:rPr>
        <w:t>第四节  聚力改善土壤环境质量</w:t>
      </w:r>
      <w:bookmarkEnd w:id="45"/>
    </w:p>
    <w:p w14:paraId="1EA99D19">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第五十一条  控制建设用地土壤污染源</w:t>
      </w:r>
    </w:p>
    <w:p w14:paraId="03FD6C0C">
      <w:pPr>
        <w:spacing w:line="578" w:lineRule="exact"/>
        <w:ind w:firstLine="640"/>
        <w:rPr>
          <w:rFonts w:cs="Times New Roman"/>
          <w:sz w:val="32"/>
          <w:szCs w:val="32"/>
        </w:rPr>
      </w:pPr>
      <w:r>
        <w:rPr>
          <w:rFonts w:cs="Times New Roman"/>
          <w:sz w:val="32"/>
          <w:szCs w:val="32"/>
        </w:rPr>
        <w:t>落实土壤污染防治行动计划，制定醴陵盈峰中联环境产业有限公司等重点污染产业和企业控制名录，定期对企业进行环境督查和管理。根据工矿企业分布和污染排放情况，及时更新土壤环境重点监管企业名单，列入名单企业自行对其用地进行土壤环境监测并向社会公开监测结果，定期对重点监管企业和区域工业集中区周边土壤开展监测。</w:t>
      </w:r>
    </w:p>
    <w:p w14:paraId="09485904">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第五十二条  控制农用地土壤污染源</w:t>
      </w:r>
    </w:p>
    <w:p w14:paraId="38A0B327">
      <w:pPr>
        <w:spacing w:line="578" w:lineRule="exact"/>
        <w:ind w:firstLine="640"/>
        <w:rPr>
          <w:rFonts w:cs="Times New Roman"/>
          <w:sz w:val="32"/>
          <w:szCs w:val="32"/>
        </w:rPr>
      </w:pPr>
      <w:r>
        <w:rPr>
          <w:rFonts w:cs="Times New Roman"/>
          <w:sz w:val="32"/>
          <w:szCs w:val="32"/>
        </w:rPr>
        <w:t>强化受污染耕地和污染地块安全利用，防控农业面源污染，鼓励农民增施有机肥，减少化肥使用量，科学施用农药，推行农作物病虫害专业化统防统治和绿色防控；加强废弃农膜回收利用，建立健全废弃农膜回收贮运和综合利用网络；加强养殖场（小区）养殖设施标准化改造、污染防治处理设施建设和粪便综合利用。</w:t>
      </w:r>
    </w:p>
    <w:p w14:paraId="4797C581">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第五十三条  加强土壤污染防范</w:t>
      </w:r>
    </w:p>
    <w:p w14:paraId="4F9CB0C3">
      <w:pPr>
        <w:spacing w:line="578" w:lineRule="exact"/>
        <w:ind w:firstLine="640"/>
        <w:rPr>
          <w:rFonts w:cs="Times New Roman"/>
          <w:sz w:val="32"/>
          <w:szCs w:val="32"/>
        </w:rPr>
      </w:pPr>
      <w:r>
        <w:rPr>
          <w:rFonts w:cs="Times New Roman"/>
          <w:sz w:val="32"/>
          <w:szCs w:val="32"/>
        </w:rPr>
        <w:t>加快进行重点行业企业用地中的污染地块分布及其环境风险情况详查，积极组织排查辖区工矿企业污染程度，建立土壤污染监管体系，强化对企业污染排放的监督管理。依托株洲市土壤环境信息化管理平台，及时上报土壤污染防治信息，推动数据动态更新。推进醴陵市石景冲铅锌银矿选矿区重金属综合整治工程和官庄水库历史遗留废渣风险管控整治工程。</w:t>
      </w:r>
    </w:p>
    <w:p w14:paraId="28CBA980">
      <w:pPr>
        <w:pStyle w:val="3"/>
        <w:keepNext w:val="0"/>
        <w:keepLines w:val="0"/>
        <w:spacing w:beforeLines="50" w:afterLines="50" w:line="578" w:lineRule="exact"/>
        <w:rPr>
          <w:rFonts w:eastAsia="黑体" w:cs="Times New Roman"/>
          <w:b w:val="0"/>
          <w:sz w:val="32"/>
          <w:szCs w:val="32"/>
        </w:rPr>
      </w:pPr>
      <w:bookmarkStart w:id="46" w:name="_Toc101876873"/>
      <w:r>
        <w:rPr>
          <w:rFonts w:eastAsia="黑体" w:cs="Times New Roman"/>
          <w:b w:val="0"/>
          <w:sz w:val="32"/>
          <w:szCs w:val="32"/>
        </w:rPr>
        <w:t>第五节  持续改善声环境质量</w:t>
      </w:r>
      <w:bookmarkEnd w:id="46"/>
    </w:p>
    <w:p w14:paraId="70D523AA">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第五十四条  合理规划声环境功能区</w:t>
      </w:r>
    </w:p>
    <w:p w14:paraId="163584E4">
      <w:pPr>
        <w:spacing w:line="578" w:lineRule="exact"/>
        <w:ind w:firstLine="640"/>
        <w:rPr>
          <w:rFonts w:cs="Times New Roman"/>
          <w:sz w:val="32"/>
          <w:szCs w:val="32"/>
        </w:rPr>
      </w:pPr>
      <w:r>
        <w:rPr>
          <w:rFonts w:cs="Times New Roman"/>
          <w:sz w:val="32"/>
          <w:szCs w:val="32"/>
        </w:rPr>
        <w:t>在制定城乡建设规划、区域开发建设时，合理安排声功能区和建设布局，防止或者减轻环境噪声污染。合理划定建筑物与交通干线的噪声防护距离，划定城区各行政区域内各类声环境质量标准的适用区域，确保城市建成区声环境达到功能区要求。</w:t>
      </w:r>
    </w:p>
    <w:p w14:paraId="7F7B4D33">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第五十五条  加强工业噪声防治</w:t>
      </w:r>
    </w:p>
    <w:p w14:paraId="3FFDC66A">
      <w:pPr>
        <w:spacing w:line="578" w:lineRule="exact"/>
        <w:ind w:firstLine="640"/>
        <w:rPr>
          <w:rFonts w:cs="Times New Roman"/>
          <w:sz w:val="32"/>
          <w:szCs w:val="32"/>
        </w:rPr>
      </w:pPr>
      <w:r>
        <w:rPr>
          <w:rFonts w:cs="Times New Roman"/>
          <w:sz w:val="32"/>
          <w:szCs w:val="32"/>
        </w:rPr>
        <w:t>逐步淘汰生产工艺落后、噪声排放量较大的设备设施，依靠科技进步，积极推广低噪声设备，并采取吸声、消声、隔声、隔振和减振等治理措施，减轻工业噪声污染，达到国家相应噪声排放标准；加强对有噪声处理设施的工业企业的维护保养，确保设施正常运行。</w:t>
      </w:r>
    </w:p>
    <w:p w14:paraId="15D17F04">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第五十六条  加强交通噪声防治</w:t>
      </w:r>
    </w:p>
    <w:p w14:paraId="2C6F6057">
      <w:pPr>
        <w:spacing w:line="600" w:lineRule="exact"/>
        <w:ind w:firstLine="640"/>
        <w:rPr>
          <w:rFonts w:cs="Times New Roman"/>
          <w:sz w:val="32"/>
          <w:szCs w:val="32"/>
        </w:rPr>
      </w:pPr>
      <w:r>
        <w:rPr>
          <w:rFonts w:cs="Times New Roman"/>
          <w:sz w:val="32"/>
          <w:szCs w:val="32"/>
        </w:rPr>
        <w:t>加强出租车、公交车从业人员和管理人员的禁鸣管理，加强农贸市场、医院等重点路段乱鸣笛、长鸣笛、无故鸣笛的执法监管教育，依法依规在已有城市交通干线两侧建设噪声敏感建筑物，减轻交通噪声影响。</w:t>
      </w:r>
    </w:p>
    <w:p w14:paraId="1EA08D04">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第五十七条  加强社会生活噪声防治</w:t>
      </w:r>
    </w:p>
    <w:p w14:paraId="44D1D82E">
      <w:pPr>
        <w:spacing w:line="600" w:lineRule="exact"/>
        <w:ind w:firstLine="640"/>
        <w:rPr>
          <w:rFonts w:cs="Times New Roman"/>
          <w:sz w:val="32"/>
          <w:szCs w:val="32"/>
        </w:rPr>
      </w:pPr>
      <w:r>
        <w:rPr>
          <w:rFonts w:cs="Times New Roman"/>
          <w:sz w:val="32"/>
          <w:szCs w:val="32"/>
        </w:rPr>
        <w:t>严格执行有关防治社会生活噪声的法律法规，加强商业经营和营业性文化娱乐场所等社会生活噪声的监管力度，防止社会生活噪声对环境的不良影响。营业性饮食、服务单位和娱乐场所要采取有效的防治环境噪声污染措施，不得在可能干扰学校、医院、机关正常学习、工作秩序的地点设立娱乐场所。</w:t>
      </w:r>
    </w:p>
    <w:p w14:paraId="425154C2">
      <w:pPr>
        <w:pStyle w:val="3"/>
        <w:keepNext w:val="0"/>
        <w:keepLines w:val="0"/>
        <w:spacing w:beforeLines="50" w:afterLines="50" w:line="600" w:lineRule="exact"/>
        <w:rPr>
          <w:rFonts w:eastAsia="黑体" w:cs="Times New Roman"/>
          <w:b w:val="0"/>
          <w:sz w:val="32"/>
          <w:szCs w:val="32"/>
        </w:rPr>
      </w:pPr>
      <w:bookmarkStart w:id="47" w:name="_Toc101876874"/>
      <w:r>
        <w:rPr>
          <w:rFonts w:eastAsia="黑体" w:cs="Times New Roman"/>
          <w:b w:val="0"/>
          <w:sz w:val="32"/>
          <w:szCs w:val="32"/>
        </w:rPr>
        <w:t>第六节  加强生态系统保护与修复</w:t>
      </w:r>
      <w:bookmarkEnd w:id="47"/>
    </w:p>
    <w:p w14:paraId="20674598">
      <w:pPr>
        <w:pStyle w:val="4"/>
        <w:keepNext w:val="0"/>
        <w:keepLines w:val="0"/>
        <w:spacing w:line="578" w:lineRule="exact"/>
        <w:ind w:firstLine="640" w:firstLineChars="200"/>
        <w:rPr>
          <w:rFonts w:eastAsia="楷体_GB2312" w:cs="Times New Roman"/>
          <w:b w:val="0"/>
          <w:sz w:val="32"/>
          <w:szCs w:val="32"/>
        </w:rPr>
      </w:pPr>
      <w:bookmarkStart w:id="48" w:name="_Toc17340"/>
      <w:bookmarkStart w:id="49" w:name="_Toc10016"/>
      <w:r>
        <w:rPr>
          <w:rFonts w:eastAsia="楷体_GB2312" w:cs="Times New Roman"/>
          <w:b w:val="0"/>
          <w:sz w:val="32"/>
          <w:szCs w:val="32"/>
        </w:rPr>
        <w:t>第五十八条  提升生态环境状况</w:t>
      </w:r>
      <w:bookmarkEnd w:id="48"/>
      <w:bookmarkEnd w:id="49"/>
    </w:p>
    <w:p w14:paraId="06AC19B6">
      <w:pPr>
        <w:spacing w:line="578" w:lineRule="exact"/>
        <w:ind w:firstLine="640"/>
        <w:rPr>
          <w:rFonts w:cs="Times New Roman"/>
          <w:kern w:val="0"/>
          <w:sz w:val="32"/>
          <w:szCs w:val="32"/>
        </w:rPr>
      </w:pPr>
      <w:r>
        <w:rPr>
          <w:rFonts w:cs="Times New Roman"/>
          <w:sz w:val="32"/>
          <w:szCs w:val="32"/>
        </w:rPr>
        <w:t>以环境质量持续改善为主线，以环境质量不降级、环境功能不退化为底线，统筹运用结构优化、污染治理、总量减排、生态保护等多种手段，开展多污染物协同治理，各种污染源分类防治，系统推进环境保护和污染防治，确保醴陵市生态环境状况指数保持稳定或持续改善</w:t>
      </w:r>
      <w:r>
        <w:rPr>
          <w:rFonts w:cs="Times New Roman"/>
          <w:kern w:val="0"/>
          <w:sz w:val="32"/>
          <w:szCs w:val="32"/>
        </w:rPr>
        <w:t>。</w:t>
      </w:r>
    </w:p>
    <w:p w14:paraId="7EDE1A09">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第五十九条  大力推进国土绿化</w:t>
      </w:r>
    </w:p>
    <w:p w14:paraId="7BCD83F4">
      <w:pPr>
        <w:spacing w:line="578" w:lineRule="exact"/>
        <w:ind w:firstLine="640"/>
        <w:rPr>
          <w:rFonts w:cs="Times New Roman"/>
          <w:sz w:val="32"/>
          <w:szCs w:val="32"/>
        </w:rPr>
      </w:pPr>
      <w:r>
        <w:rPr>
          <w:rFonts w:cs="Times New Roman"/>
          <w:sz w:val="32"/>
          <w:szCs w:val="32"/>
        </w:rPr>
        <w:t>积极争取实施林业改革发展、生态廊道建设等工程建设项目，构建结构稳定、景观优美的生态廊道。持续开展封山育林，加大森林抚育力度，提升森林生态功能。完善林木采伐、林地保护、天然林保护管理制度，强化森林资源监测评价与动态管理，实行森林督查常态化管理。强化林业有害生物防治，加强森林资源保护，维护森林生态安全，确保林草覆盖率保持在56%以上。</w:t>
      </w:r>
    </w:p>
    <w:p w14:paraId="15A00407">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第六十条  加强生物物种资源保护</w:t>
      </w:r>
    </w:p>
    <w:p w14:paraId="399A57E4">
      <w:pPr>
        <w:spacing w:line="578" w:lineRule="exact"/>
        <w:ind w:firstLine="640"/>
        <w:rPr>
          <w:rFonts w:cs="Times New Roman"/>
          <w:sz w:val="32"/>
          <w:szCs w:val="32"/>
        </w:rPr>
      </w:pPr>
      <w:r>
        <w:rPr>
          <w:rFonts w:cs="Times New Roman"/>
          <w:sz w:val="32"/>
          <w:szCs w:val="32"/>
        </w:rPr>
        <w:t>加强自然保护地的建设与保护，贯彻落实生物多样性保护战略与行动计划，加强生物多样性数据和信息共享能力建设，有效保护市内国家重点保护野生动植物种类。实时监测和掌握外来有害物种入侵及动态变化，建立外来入侵物种和生物安全预警监控体系。严厉打击危害野生动物的违法行为，确保全市特有性或指示性水生物种保持率不降低。</w:t>
      </w:r>
    </w:p>
    <w:p w14:paraId="0786232E">
      <w:pPr>
        <w:pStyle w:val="3"/>
        <w:keepNext w:val="0"/>
        <w:keepLines w:val="0"/>
        <w:spacing w:beforeLines="50" w:afterLines="50" w:line="578" w:lineRule="exact"/>
        <w:rPr>
          <w:rFonts w:eastAsia="黑体" w:cs="Times New Roman"/>
          <w:b w:val="0"/>
          <w:sz w:val="32"/>
          <w:szCs w:val="32"/>
        </w:rPr>
      </w:pPr>
      <w:bookmarkStart w:id="50" w:name="_Toc101876875"/>
      <w:r>
        <w:rPr>
          <w:rFonts w:eastAsia="黑体" w:cs="Times New Roman"/>
          <w:b w:val="0"/>
          <w:sz w:val="32"/>
          <w:szCs w:val="32"/>
        </w:rPr>
        <w:t>第七</w:t>
      </w:r>
      <w:r>
        <w:rPr>
          <w:rFonts w:hint="eastAsia" w:eastAsia="黑体" w:cs="Times New Roman"/>
          <w:b w:val="0"/>
          <w:sz w:val="32"/>
          <w:szCs w:val="32"/>
        </w:rPr>
        <w:t>节</w:t>
      </w:r>
      <w:r>
        <w:rPr>
          <w:rFonts w:eastAsia="黑体" w:cs="Times New Roman"/>
          <w:b w:val="0"/>
          <w:sz w:val="32"/>
          <w:szCs w:val="32"/>
        </w:rPr>
        <w:t xml:space="preserve">  防范化解生态环境风险</w:t>
      </w:r>
      <w:bookmarkEnd w:id="50"/>
    </w:p>
    <w:p w14:paraId="0616191E">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第六十一条  加强固体废物管理</w:t>
      </w:r>
    </w:p>
    <w:p w14:paraId="7BE9F96A">
      <w:pPr>
        <w:spacing w:line="578" w:lineRule="exact"/>
        <w:ind w:firstLine="640"/>
        <w:rPr>
          <w:rFonts w:cs="Times New Roman"/>
          <w:sz w:val="32"/>
          <w:szCs w:val="32"/>
        </w:rPr>
      </w:pPr>
      <w:r>
        <w:rPr>
          <w:rFonts w:cs="Times New Roman"/>
          <w:sz w:val="32"/>
          <w:szCs w:val="32"/>
        </w:rPr>
        <w:t>强化工业固体废物处置，制定工业固体废物污染环境防治工作规划，推广减少工业固体废物产生量和危害性的先进生产工艺和设备，推动工业固体废物污染环境防治工作。推进企业改造升级，使用先进的生产工艺，提高工业固体废物综合利用率。实施危险废物申报登记和转移联单制度，强化危险废物管理。按时统一收集医疗废物，并采用专用运输工具运至株洲市医疗废物集中处置有限公司进行处置，实现医院临床废物无害化处置，危险废物利用处置率保持在100%。</w:t>
      </w:r>
    </w:p>
    <w:p w14:paraId="58E4FE46">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第六十二条  建立建设用地土壤名录制度</w:t>
      </w:r>
    </w:p>
    <w:p w14:paraId="3564394A">
      <w:pPr>
        <w:spacing w:line="578" w:lineRule="exact"/>
        <w:ind w:firstLine="640"/>
        <w:rPr>
          <w:rFonts w:cs="Times New Roman"/>
          <w:sz w:val="32"/>
          <w:szCs w:val="32"/>
        </w:rPr>
      </w:pPr>
      <w:r>
        <w:rPr>
          <w:rFonts w:cs="Times New Roman"/>
          <w:sz w:val="32"/>
          <w:szCs w:val="32"/>
        </w:rPr>
        <w:t>全面落实土壤污染防治属地责任，强化政府主导，鼓励社会配合，发动群众监督。开展建设用地调查评估，将建设用地土壤环境管理要求纳入城镇规划和供地管理。定期组织开展疑似污染地块筛查，并根据省发布的建设用地土壤污染风险管控和修复名录，加强建设用地土壤污染风险管控和修复名录管理。</w:t>
      </w:r>
    </w:p>
    <w:p w14:paraId="39918E52">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第六十三条  强化辐射安全管理</w:t>
      </w:r>
    </w:p>
    <w:p w14:paraId="4EDBD77F">
      <w:pPr>
        <w:spacing w:line="578" w:lineRule="exact"/>
        <w:ind w:firstLine="640"/>
        <w:rPr>
          <w:rFonts w:cs="Times New Roman"/>
          <w:sz w:val="32"/>
          <w:szCs w:val="32"/>
        </w:rPr>
      </w:pPr>
      <w:r>
        <w:rPr>
          <w:rFonts w:cs="Times New Roman"/>
          <w:sz w:val="32"/>
          <w:szCs w:val="32"/>
        </w:rPr>
        <w:t>完善放射性同位素与射线装置管理，进一步加强放射性同位素与射线装置生产、使用和销售的安全许可和监督，建设对放射源实施全寿期跟踪的放射源管理信息系统，实现废弃放射源的安全收贮。提高电磁辐射污染防治水平，加强电磁辐射环境影响评价，合理布局场源建设。</w:t>
      </w:r>
    </w:p>
    <w:p w14:paraId="5066E953">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第六十四条  建立健全应急管理机制</w:t>
      </w:r>
    </w:p>
    <w:p w14:paraId="6BA819BB">
      <w:pPr>
        <w:spacing w:line="578" w:lineRule="exact"/>
        <w:ind w:firstLine="640"/>
        <w:rPr>
          <w:rFonts w:cs="Times New Roman"/>
          <w:sz w:val="32"/>
          <w:szCs w:val="32"/>
        </w:rPr>
      </w:pPr>
      <w:r>
        <w:rPr>
          <w:rFonts w:cs="Times New Roman"/>
          <w:sz w:val="32"/>
          <w:szCs w:val="32"/>
        </w:rPr>
        <w:t>建设环境安全预警系统，提升应对重大环境突发事件能力，逐步完善处置突发环境事件的预警、处置及善后工作机制，形成防范有力、指挥有序、快速高效和统一协调的突发环境事件应急处置体系。建立和完善环境安全专家数据库、重大危险源安全数据库和环境应急指挥系统，实现对醴陵市及其周边区域环境污染事故的监控、预警、现场调查、应急处理处置和事后分析评价，提高环境污染事故的应急响应综合能力。</w:t>
      </w:r>
    </w:p>
    <w:p w14:paraId="1E95A0CA">
      <w:pPr>
        <w:spacing w:line="578" w:lineRule="exact"/>
        <w:ind w:firstLine="640"/>
        <w:rPr>
          <w:rFonts w:cs="Times New Roman"/>
          <w:sz w:val="32"/>
          <w:szCs w:val="32"/>
        </w:rPr>
      </w:pPr>
      <w:r>
        <w:rPr>
          <w:rFonts w:cs="Times New Roman"/>
          <w:sz w:val="32"/>
          <w:szCs w:val="32"/>
        </w:rPr>
        <w:br w:type="page"/>
      </w:r>
    </w:p>
    <w:p w14:paraId="4718882F">
      <w:pPr>
        <w:pStyle w:val="2"/>
        <w:spacing w:line="578" w:lineRule="exact"/>
        <w:rPr>
          <w:rFonts w:eastAsia="方正小标宋简体" w:cs="Times New Roman"/>
          <w:b w:val="0"/>
          <w:sz w:val="44"/>
          <w:szCs w:val="44"/>
        </w:rPr>
      </w:pPr>
      <w:bookmarkStart w:id="51" w:name="_Toc101876876"/>
      <w:r>
        <w:rPr>
          <w:rFonts w:eastAsia="方正小标宋简体" w:cs="Times New Roman"/>
          <w:b w:val="0"/>
          <w:sz w:val="44"/>
          <w:szCs w:val="44"/>
        </w:rPr>
        <w:t>第五章  生态空间体系建设</w:t>
      </w:r>
      <w:bookmarkEnd w:id="51"/>
    </w:p>
    <w:p w14:paraId="4A675C9E">
      <w:pPr>
        <w:pStyle w:val="3"/>
        <w:spacing w:line="578" w:lineRule="exact"/>
        <w:ind w:firstLine="640" w:firstLineChars="200"/>
        <w:jc w:val="both"/>
        <w:rPr>
          <w:rFonts w:cs="Times New Roman"/>
          <w:b w:val="0"/>
          <w:sz w:val="32"/>
          <w:szCs w:val="32"/>
        </w:rPr>
      </w:pPr>
    </w:p>
    <w:p w14:paraId="26E3DE91">
      <w:pPr>
        <w:pStyle w:val="3"/>
        <w:spacing w:afterLines="50" w:line="578" w:lineRule="exact"/>
        <w:rPr>
          <w:rFonts w:eastAsia="黑体" w:cs="Times New Roman"/>
          <w:b w:val="0"/>
          <w:sz w:val="32"/>
          <w:szCs w:val="32"/>
        </w:rPr>
      </w:pPr>
      <w:bookmarkStart w:id="52" w:name="_Toc101876877"/>
      <w:r>
        <w:rPr>
          <w:rFonts w:eastAsia="黑体" w:cs="Times New Roman"/>
          <w:b w:val="0"/>
          <w:sz w:val="32"/>
          <w:szCs w:val="32"/>
        </w:rPr>
        <w:t>第一节  生态空间用途管制</w:t>
      </w:r>
      <w:bookmarkEnd w:id="52"/>
    </w:p>
    <w:p w14:paraId="0DDBD569">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第六十五条  严守生态保护红线</w:t>
      </w:r>
    </w:p>
    <w:p w14:paraId="4E58B71E">
      <w:pPr>
        <w:spacing w:line="578" w:lineRule="exact"/>
        <w:ind w:firstLine="640"/>
        <w:rPr>
          <w:rFonts w:cs="Times New Roman"/>
          <w:sz w:val="32"/>
          <w:szCs w:val="32"/>
        </w:rPr>
      </w:pPr>
      <w:r>
        <w:rPr>
          <w:rFonts w:cs="Times New Roman"/>
          <w:sz w:val="32"/>
          <w:szCs w:val="32"/>
        </w:rPr>
        <w:t>严格落实生态红线区域分级管控要求和保护措施，严守全市生态保护红线。确保醴陵市</w:t>
      </w:r>
      <w:r>
        <w:rPr>
          <w:rFonts w:cs="Times New Roman"/>
          <w:bCs/>
          <w:sz w:val="32"/>
          <w:szCs w:val="32"/>
        </w:rPr>
        <w:t>规划期内</w:t>
      </w:r>
      <w:r>
        <w:rPr>
          <w:rFonts w:cs="Times New Roman"/>
          <w:sz w:val="32"/>
          <w:szCs w:val="32"/>
        </w:rPr>
        <w:t>2942.12公顷生态保护红线面积不减少、性质不改变、功能不降低。</w:t>
      </w:r>
    </w:p>
    <w:p w14:paraId="66D1A4CE">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第六十六条  严守耕地保护红线</w:t>
      </w:r>
    </w:p>
    <w:p w14:paraId="348BC87E">
      <w:pPr>
        <w:spacing w:line="578" w:lineRule="exact"/>
        <w:ind w:firstLine="640"/>
        <w:rPr>
          <w:rFonts w:cs="Times New Roman"/>
          <w:sz w:val="32"/>
          <w:szCs w:val="32"/>
        </w:rPr>
      </w:pPr>
      <w:r>
        <w:rPr>
          <w:rFonts w:cs="Times New Roman"/>
          <w:sz w:val="32"/>
          <w:szCs w:val="32"/>
        </w:rPr>
        <w:t>严格落实耕地保护制度，加强永久基本农田保护和管理，全面推行耕地和基本农田保护行政首长负责制，压实耕地目标管理、属地管理责任，开展耕地后备资源调查，查清耕地后备资源的类型、数量、质量和分布，加大耕地开发力度，实施耕地数量、质量、生态“三位一体”综合保护。确保全市永久基本农田、保有耕地面积不减少。</w:t>
      </w:r>
    </w:p>
    <w:p w14:paraId="4016BFF9">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第六十七条  加强河湖岸线保护</w:t>
      </w:r>
    </w:p>
    <w:p w14:paraId="181DF70C">
      <w:pPr>
        <w:spacing w:line="578" w:lineRule="exact"/>
        <w:ind w:firstLine="640"/>
        <w:rPr>
          <w:rFonts w:cs="Times New Roman"/>
          <w:sz w:val="32"/>
          <w:szCs w:val="32"/>
        </w:rPr>
      </w:pPr>
      <w:r>
        <w:rPr>
          <w:rFonts w:cs="Times New Roman"/>
          <w:sz w:val="32"/>
          <w:szCs w:val="32"/>
        </w:rPr>
        <w:t>将涉水生态空间纳入国土空间规划“一张图”，明确功能定位、主要用途与管控要求，全面完成河湖管理范围划定，开展水流产权确权登记。以河长制湖长制为抓手，加大河湖生态空间管控力度，持续清理河湖“四乱”，同步编制河湖岸线保护和利用规划，实行岸线用途管制和集约节约利用，实现河湖资源有序利用。</w:t>
      </w:r>
    </w:p>
    <w:p w14:paraId="0C3FF5F9">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第六十八条  加强生态用途分区管控</w:t>
      </w:r>
    </w:p>
    <w:p w14:paraId="0E4BB8B7">
      <w:pPr>
        <w:spacing w:line="630" w:lineRule="exact"/>
        <w:ind w:firstLine="640"/>
        <w:rPr>
          <w:rFonts w:cs="Times New Roman"/>
          <w:sz w:val="32"/>
          <w:szCs w:val="32"/>
        </w:rPr>
      </w:pPr>
      <w:r>
        <w:rPr>
          <w:rFonts w:cs="Times New Roman"/>
          <w:sz w:val="32"/>
          <w:szCs w:val="32"/>
        </w:rPr>
        <w:t>根据生态环境功能、自然资源禀赋条件、经济与社会发展实际，对环境管控单元实施差异化生态环境准入管理，促进环境质量持续改善。到2025年，建立以“三线一单”为核心的生态环境分区管控体系并严格执行其管控要求，实现全市主要污染物排放总量持续降低，水和大气环境质量持续改善，土壤生态系统功能逐步恢复，生态环境治理能力显著提升。</w:t>
      </w:r>
    </w:p>
    <w:p w14:paraId="120A24E6">
      <w:pPr>
        <w:pStyle w:val="3"/>
        <w:spacing w:beforeLines="50" w:afterLines="50" w:line="630" w:lineRule="exact"/>
        <w:rPr>
          <w:rFonts w:eastAsia="黑体" w:cs="Times New Roman"/>
          <w:b w:val="0"/>
          <w:sz w:val="32"/>
          <w:szCs w:val="32"/>
        </w:rPr>
      </w:pPr>
      <w:bookmarkStart w:id="53" w:name="_Toc101876878"/>
      <w:r>
        <w:rPr>
          <w:rFonts w:eastAsia="黑体" w:cs="Times New Roman"/>
          <w:b w:val="0"/>
          <w:sz w:val="32"/>
          <w:szCs w:val="32"/>
        </w:rPr>
        <w:t>第二节  自然保护地体系建设</w:t>
      </w:r>
      <w:bookmarkEnd w:id="53"/>
    </w:p>
    <w:p w14:paraId="77D28358">
      <w:pPr>
        <w:pStyle w:val="4"/>
        <w:keepNext w:val="0"/>
        <w:keepLines w:val="0"/>
        <w:spacing w:line="630" w:lineRule="exact"/>
        <w:ind w:firstLine="640" w:firstLineChars="200"/>
        <w:rPr>
          <w:rFonts w:eastAsia="楷体_GB2312" w:cs="Times New Roman"/>
          <w:b w:val="0"/>
          <w:sz w:val="32"/>
          <w:szCs w:val="32"/>
        </w:rPr>
      </w:pPr>
      <w:r>
        <w:rPr>
          <w:rFonts w:eastAsia="楷体_GB2312" w:cs="Times New Roman"/>
          <w:b w:val="0"/>
          <w:sz w:val="32"/>
          <w:szCs w:val="32"/>
        </w:rPr>
        <w:t>第六十九条  科学整合优化自然保护地</w:t>
      </w:r>
    </w:p>
    <w:p w14:paraId="08DAE040">
      <w:pPr>
        <w:spacing w:line="630" w:lineRule="exact"/>
        <w:ind w:firstLine="640"/>
        <w:rPr>
          <w:rFonts w:cs="Times New Roman"/>
          <w:sz w:val="32"/>
          <w:szCs w:val="32"/>
        </w:rPr>
      </w:pPr>
      <w:r>
        <w:rPr>
          <w:rFonts w:cs="Times New Roman"/>
          <w:sz w:val="32"/>
          <w:szCs w:val="32"/>
        </w:rPr>
        <w:t>根据《关于建立以国家公园为主体的自然保护地体系的指导意见》《关于做好自然保护地范围及功能区优化调整前期工作的函》《湖南省自然保护地评估技术规范》和《湖南省自然保护地整合优化技术指南》等文件精神，科学调整醴陵市自然保护地范围并勘界立标，确保自然保护地面积不减少、性质不改变、功能不降低。</w:t>
      </w:r>
    </w:p>
    <w:p w14:paraId="23B8EB54">
      <w:pPr>
        <w:pStyle w:val="4"/>
        <w:keepNext w:val="0"/>
        <w:keepLines w:val="0"/>
        <w:spacing w:line="630" w:lineRule="exact"/>
        <w:ind w:firstLine="640" w:firstLineChars="200"/>
        <w:rPr>
          <w:rFonts w:eastAsia="楷体_GB2312" w:cs="Times New Roman"/>
          <w:b w:val="0"/>
          <w:sz w:val="32"/>
          <w:szCs w:val="32"/>
        </w:rPr>
      </w:pPr>
      <w:r>
        <w:rPr>
          <w:rFonts w:eastAsia="楷体_GB2312" w:cs="Times New Roman"/>
          <w:b w:val="0"/>
          <w:sz w:val="32"/>
          <w:szCs w:val="32"/>
        </w:rPr>
        <w:t>第七十条  加强自然保护地保护与管理</w:t>
      </w:r>
    </w:p>
    <w:p w14:paraId="4834515F">
      <w:pPr>
        <w:spacing w:line="630" w:lineRule="exact"/>
        <w:ind w:firstLine="640"/>
        <w:rPr>
          <w:rFonts w:cs="Times New Roman"/>
          <w:sz w:val="32"/>
          <w:szCs w:val="32"/>
        </w:rPr>
      </w:pPr>
      <w:r>
        <w:rPr>
          <w:rFonts w:cs="Times New Roman"/>
          <w:sz w:val="32"/>
          <w:szCs w:val="32"/>
        </w:rPr>
        <w:t>以自然保护地和林业现代化治理体系制度建设为重点，建立自然保护地管理责任制，加快推进自然保护地问题整改，开展生态系统调查监测，加强生态系统保护修复，科学开展生态廊道、野生动植物栖息地、地质灾害隐患点等生态系统修复，构建以湖南醴陵官庄湖国家湿地公园、湖南醴陵仙岳山省级森林公园为主体的自然保护地体系。</w:t>
      </w:r>
    </w:p>
    <w:p w14:paraId="6BA543E5">
      <w:pPr>
        <w:pStyle w:val="3"/>
        <w:spacing w:beforeLines="50" w:afterLines="50" w:line="578" w:lineRule="exact"/>
        <w:rPr>
          <w:rFonts w:eastAsia="黑体" w:cs="Times New Roman"/>
          <w:b w:val="0"/>
          <w:sz w:val="32"/>
          <w:szCs w:val="32"/>
        </w:rPr>
      </w:pPr>
      <w:r>
        <w:rPr>
          <w:rFonts w:hint="eastAsia" w:eastAsia="黑体" w:cs="Times New Roman"/>
          <w:b w:val="0"/>
          <w:sz w:val="32"/>
          <w:szCs w:val="32"/>
        </w:rPr>
        <w:t xml:space="preserve">第三节 </w:t>
      </w:r>
      <w:r>
        <w:rPr>
          <w:rFonts w:eastAsia="黑体" w:cs="Times New Roman"/>
          <w:b w:val="0"/>
          <w:sz w:val="32"/>
          <w:szCs w:val="32"/>
        </w:rPr>
        <w:t xml:space="preserve"> </w:t>
      </w:r>
      <w:bookmarkStart w:id="54" w:name="_Toc101876879"/>
      <w:r>
        <w:rPr>
          <w:rFonts w:eastAsia="黑体" w:cs="Times New Roman"/>
          <w:b w:val="0"/>
          <w:sz w:val="32"/>
          <w:szCs w:val="32"/>
        </w:rPr>
        <w:t>国土空间布局优化</w:t>
      </w:r>
      <w:bookmarkEnd w:id="54"/>
    </w:p>
    <w:p w14:paraId="30B64222">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第七十一条  构建区域协同发展格局</w:t>
      </w:r>
    </w:p>
    <w:p w14:paraId="217227A5">
      <w:pPr>
        <w:spacing w:line="578" w:lineRule="exact"/>
        <w:ind w:firstLine="640"/>
        <w:rPr>
          <w:rFonts w:cs="Times New Roman"/>
          <w:sz w:val="32"/>
          <w:szCs w:val="32"/>
        </w:rPr>
      </w:pPr>
      <w:r>
        <w:rPr>
          <w:rFonts w:cs="Times New Roman"/>
          <w:sz w:val="32"/>
          <w:szCs w:val="32"/>
        </w:rPr>
        <w:t>以株醴融城发展为契机，以株洲主城区、醴陵主城区两个重要的发展节点为依托，形成“一主一辅三走廊”的空间结构，加快融入长株潭都市圈。构筑东西合作发展走廊，在区域协作、产业、旅游、生态环保、市场体系建设等方面进一步加强交流合作，巩固湘赣合作示范区中心枢纽地位。加速交通互联互通，强化浏阳城镇、醴陵攸县组团联合发展关系，构建浏醴攸南北协同发展新格局。</w:t>
      </w:r>
    </w:p>
    <w:p w14:paraId="7FBAADB4">
      <w:pPr>
        <w:pStyle w:val="4"/>
        <w:keepNext w:val="0"/>
        <w:keepLines w:val="0"/>
        <w:spacing w:line="578" w:lineRule="exact"/>
        <w:ind w:firstLine="616" w:firstLineChars="200"/>
        <w:rPr>
          <w:rFonts w:eastAsia="楷体_GB2312" w:cs="Times New Roman"/>
          <w:b w:val="0"/>
          <w:spacing w:val="-6"/>
          <w:sz w:val="32"/>
          <w:szCs w:val="32"/>
        </w:rPr>
      </w:pPr>
      <w:r>
        <w:rPr>
          <w:rFonts w:eastAsia="楷体_GB2312" w:cs="Times New Roman"/>
          <w:b w:val="0"/>
          <w:spacing w:val="-6"/>
          <w:sz w:val="32"/>
          <w:szCs w:val="32"/>
        </w:rPr>
        <w:t>第七十二条  构建“一核+四片+城镇圈+大十字”城镇发展格局</w:t>
      </w:r>
    </w:p>
    <w:p w14:paraId="1325384A">
      <w:pPr>
        <w:spacing w:line="578" w:lineRule="exact"/>
        <w:ind w:firstLine="640"/>
        <w:rPr>
          <w:rFonts w:cs="Times New Roman"/>
          <w:sz w:val="32"/>
          <w:szCs w:val="32"/>
        </w:rPr>
      </w:pPr>
      <w:r>
        <w:rPr>
          <w:rFonts w:cs="Times New Roman"/>
          <w:sz w:val="32"/>
          <w:szCs w:val="32"/>
        </w:rPr>
        <w:t>“一核”指醴陵市中心城区。“四片”指集群发展区、融合发展区、提质发展区、生态涵养区。城镇圈指以中心城区为中心联动周边镇发展的主城镇圈；以白兔潭为中心的东部城镇圈；以石亭镇为中心的西部城镇圈；以枫林镇为中心的北部城镇圈；以泗汾镇为中心的南部城镇圈。大十字指东部提升发展轴及东城大道开放发展轴。</w:t>
      </w:r>
    </w:p>
    <w:p w14:paraId="2E4DE1C2">
      <w:pPr>
        <w:pStyle w:val="4"/>
        <w:spacing w:line="578" w:lineRule="exact"/>
        <w:ind w:firstLine="640" w:firstLineChars="200"/>
        <w:rPr>
          <w:rFonts w:eastAsia="楷体_GB2312" w:cs="Times New Roman"/>
          <w:b w:val="0"/>
          <w:sz w:val="32"/>
          <w:szCs w:val="32"/>
        </w:rPr>
      </w:pPr>
      <w:r>
        <w:rPr>
          <w:rFonts w:eastAsia="楷体_GB2312" w:cs="Times New Roman"/>
          <w:b w:val="0"/>
          <w:sz w:val="32"/>
          <w:szCs w:val="32"/>
        </w:rPr>
        <w:t>第七十三条  构建“一核两轴一廊六区”区域发展格局</w:t>
      </w:r>
    </w:p>
    <w:p w14:paraId="22CCA4E5">
      <w:pPr>
        <w:spacing w:line="578" w:lineRule="exact"/>
        <w:ind w:firstLine="640"/>
        <w:rPr>
          <w:rFonts w:cs="Times New Roman"/>
          <w:sz w:val="32"/>
          <w:szCs w:val="32"/>
        </w:rPr>
      </w:pPr>
      <w:r>
        <w:rPr>
          <w:rFonts w:cs="Times New Roman"/>
          <w:sz w:val="32"/>
          <w:szCs w:val="32"/>
        </w:rPr>
        <w:t>“一核”提质老城区、开发新城区、做大经济开发区，打造发展主核心。“两轴”指做大做强106国道产业提质升级轴及东城大道（沪昆高速、莲株高速）开放发展轴。“一廊”指打造以渌江水系为依托的渌江生态走廊。“六区”指建设陶瓷花炮转型区、绿色生态涵养区、湘赣边开放合作示范区、产城融合区、现代农旅融合区、服饰产业升级区。</w:t>
      </w:r>
    </w:p>
    <w:p w14:paraId="73C004FD">
      <w:pPr>
        <w:pStyle w:val="4"/>
        <w:spacing w:line="578" w:lineRule="exact"/>
        <w:ind w:firstLine="640" w:firstLineChars="200"/>
        <w:rPr>
          <w:rFonts w:eastAsia="楷体_GB2312" w:cs="Times New Roman"/>
          <w:b w:val="0"/>
          <w:sz w:val="32"/>
          <w:szCs w:val="32"/>
        </w:rPr>
      </w:pPr>
      <w:r>
        <w:rPr>
          <w:rFonts w:eastAsia="楷体_GB2312" w:cs="Times New Roman"/>
          <w:b w:val="0"/>
          <w:sz w:val="32"/>
          <w:szCs w:val="32"/>
        </w:rPr>
        <w:t>第七十四条  构建“一带三屏多廊道”生态保护格局</w:t>
      </w:r>
    </w:p>
    <w:p w14:paraId="772ABAAC">
      <w:pPr>
        <w:spacing w:line="578" w:lineRule="exact"/>
        <w:ind w:firstLine="640"/>
        <w:rPr>
          <w:rFonts w:cs="Times New Roman"/>
          <w:sz w:val="32"/>
          <w:szCs w:val="32"/>
        </w:rPr>
      </w:pPr>
      <w:r>
        <w:rPr>
          <w:rFonts w:cs="Times New Roman"/>
          <w:sz w:val="32"/>
          <w:szCs w:val="32"/>
        </w:rPr>
        <w:t>一带指渌江生态联系带。三屏指北部的沩山生态屏障、南部军山生态屏障和东部罗霄山生态屏障。多廊道指以澄潭江、铁水、明兰河、王仙河、大林河、磨子石河、石羊河、神福港、大障河及其沿河岸组成渌水水系的绿色廊道。</w:t>
      </w:r>
    </w:p>
    <w:p w14:paraId="7DE20206">
      <w:pPr>
        <w:spacing w:line="578" w:lineRule="exact"/>
        <w:ind w:firstLine="640"/>
        <w:rPr>
          <w:rFonts w:cs="Times New Roman"/>
          <w:sz w:val="32"/>
          <w:szCs w:val="32"/>
        </w:rPr>
      </w:pPr>
      <w:r>
        <w:rPr>
          <w:rFonts w:cs="Times New Roman"/>
          <w:sz w:val="32"/>
          <w:szCs w:val="32"/>
        </w:rPr>
        <w:br w:type="page"/>
      </w:r>
    </w:p>
    <w:p w14:paraId="6B388CC7">
      <w:pPr>
        <w:pStyle w:val="2"/>
        <w:keepNext w:val="0"/>
        <w:keepLines w:val="0"/>
        <w:spacing w:line="578" w:lineRule="exact"/>
        <w:rPr>
          <w:rFonts w:eastAsia="方正小标宋简体" w:cs="Times New Roman"/>
          <w:b w:val="0"/>
          <w:sz w:val="44"/>
          <w:szCs w:val="44"/>
        </w:rPr>
      </w:pPr>
      <w:bookmarkStart w:id="55" w:name="_Toc101876880"/>
      <w:r>
        <w:rPr>
          <w:rFonts w:hint="eastAsia" w:eastAsia="方正小标宋简体" w:cs="Times New Roman"/>
          <w:b w:val="0"/>
          <w:sz w:val="44"/>
          <w:szCs w:val="44"/>
        </w:rPr>
        <w:t xml:space="preserve">第六章 </w:t>
      </w:r>
      <w:r>
        <w:rPr>
          <w:rFonts w:eastAsia="方正小标宋简体" w:cs="Times New Roman"/>
          <w:b w:val="0"/>
          <w:sz w:val="44"/>
          <w:szCs w:val="44"/>
        </w:rPr>
        <w:t xml:space="preserve"> 生态经济体系建设</w:t>
      </w:r>
      <w:bookmarkEnd w:id="55"/>
    </w:p>
    <w:p w14:paraId="139F2B5C">
      <w:pPr>
        <w:ind w:firstLine="560"/>
        <w:rPr>
          <w:rFonts w:cs="Times New Roman"/>
        </w:rPr>
      </w:pPr>
    </w:p>
    <w:p w14:paraId="58B0219A">
      <w:pPr>
        <w:pStyle w:val="3"/>
        <w:keepNext w:val="0"/>
        <w:keepLines w:val="0"/>
        <w:spacing w:afterLines="50" w:line="578" w:lineRule="exact"/>
        <w:rPr>
          <w:rFonts w:eastAsia="黑体" w:cs="Times New Roman"/>
          <w:b w:val="0"/>
          <w:sz w:val="32"/>
          <w:szCs w:val="32"/>
        </w:rPr>
      </w:pPr>
      <w:bookmarkStart w:id="56" w:name="_Toc101876881"/>
      <w:r>
        <w:rPr>
          <w:rFonts w:eastAsia="黑体" w:cs="Times New Roman"/>
          <w:b w:val="0"/>
          <w:sz w:val="32"/>
          <w:szCs w:val="32"/>
        </w:rPr>
        <w:t>第一节  生态产业发展</w:t>
      </w:r>
      <w:bookmarkEnd w:id="56"/>
    </w:p>
    <w:p w14:paraId="3BF26FDF">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第七十五条  工业绿色发展</w:t>
      </w:r>
    </w:p>
    <w:p w14:paraId="72B47A64">
      <w:pPr>
        <w:pStyle w:val="13"/>
        <w:spacing w:line="578" w:lineRule="exact"/>
        <w:ind w:firstLine="640"/>
        <w:rPr>
          <w:rFonts w:cs="Times New Roman"/>
          <w:spacing w:val="-6"/>
          <w:sz w:val="32"/>
          <w:szCs w:val="32"/>
        </w:rPr>
      </w:pPr>
      <w:r>
        <w:rPr>
          <w:rFonts w:cs="Times New Roman"/>
          <w:sz w:val="32"/>
          <w:szCs w:val="32"/>
        </w:rPr>
        <w:t>以经开区为主，涵盖城北片区和渌江新城，打造醴陵陶瓷产业服务核心区，充分运用智能制造、机器人、信息化等技术和装备进行转型升级，从传统制造走向智能制造、高端制造、绿色制造。组建“PDC”（制造、销售、消费）联盟，加快花炮物流中</w:t>
      </w:r>
      <w:r>
        <w:rPr>
          <w:rFonts w:cs="Times New Roman"/>
          <w:spacing w:val="-6"/>
          <w:sz w:val="32"/>
          <w:szCs w:val="32"/>
        </w:rPr>
        <w:t>心、燃放场建设，将花炮产业打造成安全、环保、科技、时尚产业。推动碲化镉发电玻璃、中宏钢化玻璃等项目建设，完善玻璃产业园基础设施配套，大力引进应用研发平台，提升科技创新能力。</w:t>
      </w:r>
    </w:p>
    <w:p w14:paraId="579F19FA">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第七十六条  发展生态农业</w:t>
      </w:r>
    </w:p>
    <w:p w14:paraId="3CD334A7">
      <w:pPr>
        <w:spacing w:line="578" w:lineRule="exact"/>
        <w:ind w:firstLine="640"/>
        <w:rPr>
          <w:rFonts w:cs="Times New Roman"/>
          <w:sz w:val="32"/>
          <w:szCs w:val="32"/>
        </w:rPr>
      </w:pPr>
      <w:r>
        <w:rPr>
          <w:rFonts w:cs="Times New Roman"/>
          <w:sz w:val="32"/>
          <w:szCs w:val="32"/>
        </w:rPr>
        <w:t>严守耕地保护红线，推进粮食生产功能区、重要农产品生产保护区、特色农产品优势区建设，推动农业绿色化、规模化、标准化生产，提升农业机械化生产水平，立足本地特色资源，加快农产品加工业等乡村产业发展，大力发展精细农业，打响“湘赣红”品牌。力争到2025年全市国家级农业产业化龙头企业达到1家，省级农业产业化龙头企业达到12家，株洲市级农业产业化龙头企业达到50家。</w:t>
      </w:r>
    </w:p>
    <w:p w14:paraId="2FE502F6">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第七十七条  推进全域旅游发展</w:t>
      </w:r>
    </w:p>
    <w:p w14:paraId="1378064B">
      <w:pPr>
        <w:spacing w:line="578" w:lineRule="exact"/>
        <w:ind w:firstLine="640"/>
        <w:rPr>
          <w:rFonts w:cs="Times New Roman"/>
          <w:sz w:val="32"/>
          <w:szCs w:val="32"/>
        </w:rPr>
      </w:pPr>
      <w:r>
        <w:rPr>
          <w:rFonts w:cs="Times New Roman"/>
          <w:sz w:val="32"/>
          <w:szCs w:val="32"/>
        </w:rPr>
        <w:t>以创建国家全域旅游示范区为抓手，将醴陵市建设成为长株潭和湘赣边城郊旅游的首选地和市民的最佳第二居所。从自驾醴陵、骑行醴陵、徒步醴陵三类旅游线路中精选出醴北乡村、瓷光隧道、醴南田园、湘东巅峰和醴东主题小镇旅游风景道作为醴陵的5条黄金旅游线路，形成全域旅游“生产线”。</w:t>
      </w:r>
    </w:p>
    <w:p w14:paraId="64FB2F12">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第七十八条  推进现代服务业发展</w:t>
      </w:r>
    </w:p>
    <w:p w14:paraId="7B347B43">
      <w:pPr>
        <w:spacing w:line="578" w:lineRule="exact"/>
        <w:ind w:firstLine="640"/>
        <w:rPr>
          <w:rFonts w:cs="Times New Roman"/>
          <w:sz w:val="32"/>
          <w:szCs w:val="32"/>
        </w:rPr>
      </w:pPr>
      <w:r>
        <w:rPr>
          <w:rFonts w:cs="Times New Roman"/>
          <w:sz w:val="32"/>
          <w:szCs w:val="32"/>
        </w:rPr>
        <w:t>建设工业、农产品和邮政快递物流等“三大市级物流中心”，推进花炮物流中心、醴陵内陆港、湘东（醴陵）农副产品批发大市场、渌江航道项目港口作业区、渌江航道项目配套物流园区及物流信息平台建设工程、高铁片区物流枢纽集散中心等骨干物流项目的建设，建设湘赣边商贸中心；支持醴陵农商银行等本土金融旗舰企业发展壮大，开展产业链、供应链、订单和股权融资等业务和产品，打造渌江新城片区总部商务金融中心。</w:t>
      </w:r>
    </w:p>
    <w:p w14:paraId="780E4548">
      <w:pPr>
        <w:pStyle w:val="3"/>
        <w:keepNext w:val="0"/>
        <w:keepLines w:val="0"/>
        <w:spacing w:beforeLines="50" w:afterLines="50" w:line="578" w:lineRule="exact"/>
        <w:rPr>
          <w:rFonts w:eastAsia="黑体" w:cs="Times New Roman"/>
          <w:b w:val="0"/>
          <w:sz w:val="32"/>
          <w:szCs w:val="32"/>
        </w:rPr>
      </w:pPr>
      <w:bookmarkStart w:id="57" w:name="_Toc101876882"/>
      <w:r>
        <w:rPr>
          <w:rFonts w:eastAsia="黑体" w:cs="Times New Roman"/>
          <w:b w:val="0"/>
          <w:sz w:val="32"/>
          <w:szCs w:val="32"/>
        </w:rPr>
        <w:t>第二节  产业结构优化</w:t>
      </w:r>
      <w:bookmarkEnd w:id="57"/>
    </w:p>
    <w:p w14:paraId="46EEA1DC">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第七十九条  把好环境准入关</w:t>
      </w:r>
    </w:p>
    <w:p w14:paraId="2C1F7ED2">
      <w:pPr>
        <w:spacing w:line="578" w:lineRule="exact"/>
        <w:ind w:firstLine="640"/>
        <w:rPr>
          <w:rFonts w:cs="Times New Roman"/>
          <w:sz w:val="32"/>
          <w:szCs w:val="32"/>
        </w:rPr>
      </w:pPr>
      <w:r>
        <w:rPr>
          <w:rFonts w:cs="Times New Roman"/>
          <w:sz w:val="32"/>
          <w:szCs w:val="32"/>
        </w:rPr>
        <w:t>严格执行环境影响评价、总量控制和排污许可等制度，杜绝不符合国家产业政策、高能耗、高污染项目的建设，对化工、医药、冶炼以及涉危涉重行业，从严审查把关。构建以排污许可制为核心的固定污染源监管制度体系，加大环境执法和环境监管力度，依法查处超标、超总量排污和群众反映强烈的突出环境问题。</w:t>
      </w:r>
    </w:p>
    <w:p w14:paraId="2B874C89">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第八十条  推进农业绿色发展</w:t>
      </w:r>
    </w:p>
    <w:p w14:paraId="4A373598">
      <w:pPr>
        <w:spacing w:line="578" w:lineRule="exact"/>
        <w:ind w:firstLine="640"/>
        <w:rPr>
          <w:rFonts w:cs="Times New Roman"/>
          <w:sz w:val="32"/>
          <w:szCs w:val="32"/>
        </w:rPr>
      </w:pPr>
      <w:r>
        <w:rPr>
          <w:rFonts w:cs="Times New Roman"/>
          <w:sz w:val="32"/>
          <w:szCs w:val="32"/>
        </w:rPr>
        <w:t>积极推进农产品品牌建设，做大做强醴陵市特色农业产业，打造长株潭地区农产品重要基地。引导农户发展早春蔬菜规模化生产，推广标准化种植技术；以湖南神农米业、醴陵市粮油购销总公司、中储粮醴陵购销公司等稻米加工企业为龙头，力争打造出5个以上知名稻米品牌，建立企业+基地+大户+农技社会化服务组织的水稻产业化经营体系；抓好油茶基地建设，以金桥生态林农实业有限公司、金鼎生态农业科技开发有限公司等企业为龙头，提高茶油和茶籽油产量，进行绿色食品和有机食品认证，构建以“三品一标”农产品为基础、企业品牌为主体、区域公用品牌为龙头的农产品品牌体系。</w:t>
      </w:r>
    </w:p>
    <w:p w14:paraId="702FE06F">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第八十一条  推进制造业绿色转型</w:t>
      </w:r>
    </w:p>
    <w:p w14:paraId="3B6BB7ED">
      <w:pPr>
        <w:spacing w:line="578" w:lineRule="exact"/>
        <w:ind w:firstLine="640"/>
        <w:rPr>
          <w:rFonts w:cs="Times New Roman"/>
          <w:sz w:val="32"/>
          <w:szCs w:val="32"/>
        </w:rPr>
      </w:pPr>
      <w:r>
        <w:rPr>
          <w:rFonts w:cs="Times New Roman"/>
          <w:sz w:val="32"/>
          <w:szCs w:val="32"/>
        </w:rPr>
        <w:t>积极推动陶瓷、花炮、玻璃等行业和传统制造业绿色转型。依托醴陵国家级电瓷检验检测中心，推动建设电瓷电器研发、检测公共服务平台，助推其发展成为我国南方地区重要的国家级电瓷电器</w:t>
      </w:r>
      <w:r>
        <w:rPr>
          <w:rFonts w:cs="Times New Roman"/>
          <w:spacing w:val="-4"/>
          <w:sz w:val="32"/>
          <w:szCs w:val="32"/>
        </w:rPr>
        <w:t>检测基地；加大自动化智能化生产装备、陶瓷原料标准化专业化、微波、3D打印、工业机器人等先进技术在陶瓷领域中的应用。打造烟花爆竹醴陵安全发展先行区，构建生产集约、经营规范、安全可控的现代烟花爆竹产业体系。引进转型升级快的绿色环保玻璃产业项目，鼓励支持旗滨等龙头企业创建国家级技术创新平台。</w:t>
      </w:r>
    </w:p>
    <w:p w14:paraId="688AFD2D">
      <w:pPr>
        <w:pStyle w:val="3"/>
        <w:keepNext w:val="0"/>
        <w:keepLines w:val="0"/>
        <w:spacing w:beforeLines="50" w:afterLines="50" w:line="578" w:lineRule="exact"/>
        <w:rPr>
          <w:rFonts w:eastAsia="黑体" w:cs="Times New Roman"/>
          <w:b w:val="0"/>
          <w:sz w:val="32"/>
          <w:szCs w:val="32"/>
        </w:rPr>
      </w:pPr>
      <w:bookmarkStart w:id="58" w:name="_Toc101876883"/>
      <w:r>
        <w:rPr>
          <w:rFonts w:eastAsia="黑体" w:cs="Times New Roman"/>
          <w:b w:val="0"/>
          <w:sz w:val="32"/>
          <w:szCs w:val="32"/>
        </w:rPr>
        <w:t>第三节  能源结构调整</w:t>
      </w:r>
      <w:bookmarkEnd w:id="58"/>
    </w:p>
    <w:p w14:paraId="70A51988">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第八十二条  大力发展循环经济</w:t>
      </w:r>
    </w:p>
    <w:p w14:paraId="48E81FED">
      <w:pPr>
        <w:spacing w:line="578" w:lineRule="exact"/>
        <w:ind w:firstLine="640"/>
        <w:rPr>
          <w:rFonts w:cs="Times New Roman"/>
          <w:sz w:val="32"/>
          <w:szCs w:val="32"/>
        </w:rPr>
      </w:pPr>
      <w:r>
        <w:rPr>
          <w:rFonts w:cs="Times New Roman"/>
          <w:sz w:val="32"/>
          <w:szCs w:val="32"/>
        </w:rPr>
        <w:t>把“生态+”理念融入产业发展，优化产业布局、规模和结构，走产业生态化、生态产业化之路。实行资源总量管理和全面节约制度，推动资源节约集约循环利用，打造一批绿色工厂、绿色园区、绿色产品和绿色供应链管理企业，形成节约资源和保护环境的生产方式。支持高效节能技术和产品的推广、重点行业重大节能技术的改造创新，实施节能降耗产品惠民行动。</w:t>
      </w:r>
    </w:p>
    <w:p w14:paraId="5412B89A">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第八十三条  积极推广清洁能源使用</w:t>
      </w:r>
    </w:p>
    <w:p w14:paraId="6BC2C3CF">
      <w:pPr>
        <w:spacing w:line="578" w:lineRule="exact"/>
        <w:ind w:firstLine="640"/>
        <w:rPr>
          <w:rFonts w:cs="Times New Roman"/>
          <w:sz w:val="32"/>
          <w:szCs w:val="32"/>
        </w:rPr>
      </w:pPr>
      <w:r>
        <w:rPr>
          <w:rFonts w:cs="Times New Roman"/>
          <w:sz w:val="32"/>
          <w:szCs w:val="32"/>
        </w:rPr>
        <w:t>积极推广天然气、水电、风电等清洁能源的使用，实施大唐华银醴陵泗汾鸭塘水库60MW复合光伏发电项目，浦口镇、白兔潭镇、明月镇、沩山镇风力发电项目。推进机关、学校、医院、宾馆、商业、服务业及城市居民使用的锅炉、窑炉、茶炉、大小灶改用天然气、电等清洁能源；工业企业的工业锅炉、窑炉改用天然气、电等清洁能源。</w:t>
      </w:r>
    </w:p>
    <w:p w14:paraId="4602C6C3">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第八十四条  推进高效节水社会建设</w:t>
      </w:r>
    </w:p>
    <w:p w14:paraId="40BE541F">
      <w:pPr>
        <w:spacing w:line="578" w:lineRule="exact"/>
        <w:ind w:firstLine="640"/>
        <w:rPr>
          <w:rFonts w:cs="Times New Roman"/>
          <w:sz w:val="32"/>
          <w:szCs w:val="32"/>
        </w:rPr>
      </w:pPr>
      <w:r>
        <w:rPr>
          <w:rFonts w:cs="Times New Roman"/>
          <w:sz w:val="32"/>
          <w:szCs w:val="32"/>
        </w:rPr>
        <w:t>全面推进节水型社会建设，建立健全水资源管理制</w:t>
      </w:r>
      <w:r>
        <w:rPr>
          <w:rFonts w:cs="Times New Roman"/>
          <w:spacing w:val="-6"/>
          <w:sz w:val="32"/>
          <w:szCs w:val="32"/>
        </w:rPr>
        <w:t>度，实施水资源管理开发利用控制、用水效率控制、水功能区纳污三条红线管理。改进工业企业用水工艺，提高工业用水重复利用率；加强田间节水基础设施建设，推广使用喷灌、滴管设施，建设节水设施农业；加强服务业用水监管力度，推广节水器具措施。</w:t>
      </w:r>
    </w:p>
    <w:p w14:paraId="49FC078F">
      <w:pPr>
        <w:pStyle w:val="3"/>
        <w:keepNext w:val="0"/>
        <w:keepLines w:val="0"/>
        <w:spacing w:beforeLines="50" w:afterLines="50" w:line="578" w:lineRule="exact"/>
        <w:rPr>
          <w:rFonts w:eastAsia="黑体" w:cs="Times New Roman"/>
          <w:b w:val="0"/>
          <w:sz w:val="32"/>
          <w:szCs w:val="32"/>
        </w:rPr>
      </w:pPr>
      <w:bookmarkStart w:id="59" w:name="_Toc101876884"/>
      <w:r>
        <w:rPr>
          <w:rFonts w:eastAsia="黑体" w:cs="Times New Roman"/>
          <w:b w:val="0"/>
          <w:sz w:val="32"/>
          <w:szCs w:val="32"/>
        </w:rPr>
        <w:t>第四节  运输结构优化</w:t>
      </w:r>
      <w:bookmarkEnd w:id="59"/>
    </w:p>
    <w:p w14:paraId="2DD99266">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第八十五条  构建生态化交通网络</w:t>
      </w:r>
    </w:p>
    <w:p w14:paraId="7F1A6942">
      <w:pPr>
        <w:spacing w:line="578" w:lineRule="exact"/>
        <w:ind w:firstLine="640"/>
        <w:rPr>
          <w:rFonts w:cs="Times New Roman"/>
          <w:sz w:val="32"/>
          <w:szCs w:val="32"/>
        </w:rPr>
      </w:pPr>
      <w:r>
        <w:rPr>
          <w:rFonts w:cs="Times New Roman"/>
          <w:sz w:val="32"/>
          <w:szCs w:val="32"/>
        </w:rPr>
        <w:t>推进交通运输与国土空间协同发展，优化交通基础设施空间布局，推动形成与生态保护红线和自然保护地相协调、与资源环境承载力相适应的交通网络。加强对外通道的拓展延伸，构建融入长株潭、辐射长江经济带的开放型交通大格局；加强中心城区与镇、镇与镇之间的公路联系。</w:t>
      </w:r>
    </w:p>
    <w:p w14:paraId="43615A31">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第八十六条  建设绿色交通设施</w:t>
      </w:r>
    </w:p>
    <w:p w14:paraId="0846427D">
      <w:pPr>
        <w:spacing w:line="578" w:lineRule="exact"/>
        <w:ind w:firstLine="640"/>
        <w:rPr>
          <w:rFonts w:cs="Times New Roman"/>
          <w:sz w:val="32"/>
          <w:szCs w:val="32"/>
        </w:rPr>
      </w:pPr>
      <w:r>
        <w:rPr>
          <w:rFonts w:cs="Times New Roman"/>
          <w:sz w:val="32"/>
          <w:szCs w:val="32"/>
        </w:rPr>
        <w:t>推动开展绿色铁路、绿色公路和绿色枢纽建设，引导交通基础设施绿色发展。推广应用新能源和清洁能源，完善供电、加气等配套设施，提高交通运输装备生产效率和整体能效水平。加大新能源和清洁能源车辆在城市公交、出租汽车、城市配送、邮政快递、铁路货场、重点港口等领域应用。</w:t>
      </w:r>
    </w:p>
    <w:p w14:paraId="4658AE15">
      <w:pPr>
        <w:pStyle w:val="3"/>
        <w:keepNext w:val="0"/>
        <w:keepLines w:val="0"/>
        <w:spacing w:beforeLines="50" w:afterLines="50" w:line="578" w:lineRule="exact"/>
        <w:rPr>
          <w:rFonts w:eastAsia="黑体" w:cs="Times New Roman"/>
          <w:b w:val="0"/>
          <w:sz w:val="32"/>
          <w:szCs w:val="32"/>
        </w:rPr>
      </w:pPr>
      <w:bookmarkStart w:id="60" w:name="_Toc101876885"/>
      <w:r>
        <w:rPr>
          <w:rFonts w:eastAsia="黑体" w:cs="Times New Roman"/>
          <w:b w:val="0"/>
          <w:sz w:val="32"/>
          <w:szCs w:val="32"/>
        </w:rPr>
        <w:t>第五节  行业清洁化生产</w:t>
      </w:r>
      <w:bookmarkEnd w:id="60"/>
    </w:p>
    <w:p w14:paraId="4688B1D8">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第八十七条  推进农业清洁生产</w:t>
      </w:r>
    </w:p>
    <w:p w14:paraId="64AB0B60">
      <w:pPr>
        <w:spacing w:line="578" w:lineRule="exact"/>
        <w:ind w:firstLine="640"/>
        <w:rPr>
          <w:rFonts w:cs="Times New Roman"/>
          <w:sz w:val="32"/>
          <w:szCs w:val="32"/>
        </w:rPr>
      </w:pPr>
      <w:r>
        <w:rPr>
          <w:rFonts w:cs="Times New Roman"/>
          <w:sz w:val="32"/>
          <w:szCs w:val="32"/>
        </w:rPr>
        <w:t>以生态环境友好和资源持续利用为导向，推动形成农业绿色生产方式，实现投入品减量化、生产清洁化、废弃物资源化、产业模式生态化。大力推广测土配方施肥技术，引导农民科学施肥；引导和鼓励农民使用生物农药或高效、低毒、低残留农药，推广病虫草害综合防治、生物防治和精准施药等技术；加强露天焚烧秸秆监管，推广秸秆还田、“五料化”利用。</w:t>
      </w:r>
    </w:p>
    <w:p w14:paraId="71AE6F07">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第八十八条  推进工业清洁生产</w:t>
      </w:r>
    </w:p>
    <w:p w14:paraId="17897C49">
      <w:pPr>
        <w:spacing w:line="578" w:lineRule="exact"/>
        <w:ind w:firstLine="640"/>
        <w:rPr>
          <w:rFonts w:cs="Times New Roman"/>
          <w:sz w:val="32"/>
          <w:szCs w:val="32"/>
        </w:rPr>
      </w:pPr>
      <w:r>
        <w:rPr>
          <w:rFonts w:cs="Times New Roman"/>
          <w:sz w:val="32"/>
          <w:szCs w:val="32"/>
        </w:rPr>
        <w:t>以循环经济理念为指导，构建生态工业园区，对超标、超总量排污和使用、排放有毒有害物质的重点企业实施强制性清洁生产审核。按照湖南省生态环境厅下发的年度重点企业清洁生产审核名单及要求，实施强制性清洁生产审核，鼓励企业自行开展清洁生产、循环经济和创建环境友好型企业活动。</w:t>
      </w:r>
    </w:p>
    <w:p w14:paraId="1E912CB1">
      <w:pPr>
        <w:pStyle w:val="3"/>
        <w:keepNext w:val="0"/>
        <w:keepLines w:val="0"/>
        <w:spacing w:beforeLines="50" w:afterLines="50" w:line="578" w:lineRule="exact"/>
        <w:rPr>
          <w:rFonts w:eastAsia="黑体" w:cs="Times New Roman"/>
          <w:b w:val="0"/>
          <w:sz w:val="32"/>
          <w:szCs w:val="32"/>
        </w:rPr>
      </w:pPr>
      <w:bookmarkStart w:id="61" w:name="_Toc101876886"/>
      <w:r>
        <w:rPr>
          <w:rFonts w:eastAsia="黑体" w:cs="Times New Roman"/>
          <w:b w:val="0"/>
          <w:sz w:val="32"/>
          <w:szCs w:val="32"/>
        </w:rPr>
        <w:t>第六节  园区循环化改造</w:t>
      </w:r>
      <w:bookmarkEnd w:id="61"/>
    </w:p>
    <w:p w14:paraId="5F67D6FB">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第八十九条  完善基础设施建设</w:t>
      </w:r>
    </w:p>
    <w:p w14:paraId="6B29F5B9">
      <w:pPr>
        <w:spacing w:line="578" w:lineRule="exact"/>
        <w:ind w:firstLine="640"/>
        <w:rPr>
          <w:rFonts w:cs="Times New Roman"/>
          <w:sz w:val="32"/>
          <w:szCs w:val="32"/>
        </w:rPr>
      </w:pPr>
      <w:r>
        <w:rPr>
          <w:rFonts w:cs="Times New Roman"/>
          <w:sz w:val="32"/>
          <w:szCs w:val="32"/>
        </w:rPr>
        <w:t>坚持环保设施先行，保证环保资金投入，推进东富工业园片区，瓷谷、陶子湖片区管网建设，保障污水处理厂正常运营和达标排放，切实保障雨污分流全覆盖。加快推进固废处理、垃圾处理等设施建设，切实推进绿化美化工程，确保园区环境优美清洁。</w:t>
      </w:r>
    </w:p>
    <w:p w14:paraId="12E8F1E5">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第九十条  构建循环经济产业链</w:t>
      </w:r>
    </w:p>
    <w:p w14:paraId="37C3CF87">
      <w:pPr>
        <w:spacing w:line="578" w:lineRule="exact"/>
        <w:ind w:firstLine="640"/>
        <w:rPr>
          <w:rFonts w:cs="Times New Roman"/>
          <w:sz w:val="32"/>
          <w:szCs w:val="32"/>
        </w:rPr>
      </w:pPr>
      <w:r>
        <w:rPr>
          <w:rFonts w:cs="Times New Roman"/>
          <w:sz w:val="32"/>
          <w:szCs w:val="32"/>
        </w:rPr>
        <w:t>统筹规划园区空间布局，优化产业结构和资源配置，推进园区土地集约利用，大力推行清洁生产，推进企业间废物交换、能量梯级和废水循环利用，共享共建基础设施，推进园区绿色、循环和低碳发展。建立运转有效的资源回收再生和循环利用体系，不断推进产业链升级，降低能源消耗水平和污染物排放强度，提高主要资源产出率。建设经济持续发展、资源高效利用、环境优美清洁、生态良性循环的循环化改造示范园区，实现园区可持续健康发展。</w:t>
      </w:r>
    </w:p>
    <w:p w14:paraId="533DADD8">
      <w:pPr>
        <w:spacing w:line="578" w:lineRule="exact"/>
        <w:ind w:firstLine="640"/>
        <w:rPr>
          <w:rFonts w:cs="Times New Roman"/>
          <w:kern w:val="44"/>
          <w:sz w:val="32"/>
          <w:szCs w:val="32"/>
        </w:rPr>
      </w:pPr>
      <w:r>
        <w:rPr>
          <w:rFonts w:cs="Times New Roman"/>
          <w:kern w:val="44"/>
          <w:sz w:val="32"/>
          <w:szCs w:val="32"/>
        </w:rPr>
        <w:br w:type="page"/>
      </w:r>
    </w:p>
    <w:p w14:paraId="6830D6F0">
      <w:pPr>
        <w:spacing w:line="600" w:lineRule="exact"/>
        <w:ind w:firstLine="0" w:firstLineChars="0"/>
        <w:jc w:val="center"/>
        <w:rPr>
          <w:rFonts w:eastAsia="方正小标宋简体" w:cs="Times New Roman"/>
          <w:kern w:val="44"/>
          <w:sz w:val="44"/>
          <w:szCs w:val="44"/>
        </w:rPr>
      </w:pPr>
      <w:r>
        <w:rPr>
          <w:rFonts w:eastAsia="方正小标宋简体" w:cs="Times New Roman"/>
          <w:kern w:val="44"/>
          <w:sz w:val="44"/>
          <w:szCs w:val="44"/>
        </w:rPr>
        <w:t>第七章  生态生活体系建设</w:t>
      </w:r>
    </w:p>
    <w:p w14:paraId="63E3BCFE">
      <w:pPr>
        <w:spacing w:line="600" w:lineRule="exact"/>
        <w:ind w:firstLine="0" w:firstLineChars="0"/>
        <w:jc w:val="center"/>
        <w:rPr>
          <w:rFonts w:eastAsia="方正小标宋简体" w:cs="Times New Roman"/>
          <w:kern w:val="44"/>
          <w:sz w:val="44"/>
          <w:szCs w:val="44"/>
        </w:rPr>
      </w:pPr>
    </w:p>
    <w:p w14:paraId="27030735">
      <w:pPr>
        <w:spacing w:afterLines="50" w:line="600" w:lineRule="exact"/>
        <w:ind w:firstLine="0" w:firstLineChars="0"/>
        <w:jc w:val="center"/>
        <w:rPr>
          <w:rFonts w:eastAsia="黑体" w:cs="Times New Roman"/>
          <w:sz w:val="32"/>
          <w:szCs w:val="32"/>
        </w:rPr>
      </w:pPr>
      <w:r>
        <w:rPr>
          <w:rFonts w:hint="eastAsia" w:eastAsia="黑体" w:cs="Times New Roman"/>
          <w:sz w:val="32"/>
          <w:szCs w:val="32"/>
        </w:rPr>
        <w:t xml:space="preserve">第一节  </w:t>
      </w:r>
      <w:r>
        <w:rPr>
          <w:rFonts w:eastAsia="黑体" w:cs="Times New Roman"/>
          <w:sz w:val="32"/>
          <w:szCs w:val="32"/>
        </w:rPr>
        <w:t>城乡环境一体化建设</w:t>
      </w:r>
    </w:p>
    <w:p w14:paraId="1CF26124">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第九十一条  完善城乡生活垃圾处理体系</w:t>
      </w:r>
    </w:p>
    <w:p w14:paraId="1965001E">
      <w:pPr>
        <w:spacing w:line="600" w:lineRule="exact"/>
        <w:ind w:firstLine="640"/>
        <w:rPr>
          <w:rFonts w:cs="Times New Roman"/>
          <w:sz w:val="32"/>
          <w:szCs w:val="32"/>
        </w:rPr>
      </w:pPr>
      <w:r>
        <w:rPr>
          <w:rFonts w:cs="Times New Roman"/>
          <w:sz w:val="32"/>
          <w:szCs w:val="32"/>
        </w:rPr>
        <w:t>加快建立完善的生活垃圾分类运输系统，有效衔接分类投放端和分类处理端。合理确定收运站点、频次、时间和线路，配足标识规范、清晰的分类运输车辆。统筹规划布局中转站点，提高分类收集转运效率，推行“车载桶装，换桶直运”等密闭、高效的厨余垃圾运输方式。加大对运输环节的监管力度，防止生活垃圾“先分后混”“混装混运”。以生活垃圾卫生填埋场及生活垃圾焚烧发电厂为中心，构建醴陵市中心城区生活垃圾一体化收运系统，依托已有的交通运输网，形成“城区直运体系”和“镇转运体系”。</w:t>
      </w:r>
    </w:p>
    <w:p w14:paraId="5FEBCF5F">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第九十二条  促进垃圾分类</w:t>
      </w:r>
    </w:p>
    <w:p w14:paraId="58009321">
      <w:pPr>
        <w:spacing w:line="600" w:lineRule="exact"/>
        <w:ind w:firstLine="640"/>
        <w:rPr>
          <w:rFonts w:cs="Times New Roman"/>
          <w:sz w:val="32"/>
          <w:szCs w:val="32"/>
        </w:rPr>
      </w:pPr>
      <w:r>
        <w:rPr>
          <w:rFonts w:cs="Times New Roman"/>
          <w:sz w:val="32"/>
          <w:szCs w:val="32"/>
        </w:rPr>
        <w:t>参照《生活垃圾分类标志》（GB/T19095—2019），结合实际明确生活垃圾分类方式，设置规范的垃圾分类投放标志。积极推广撤桶建站、定时投放和监督指导等分类投放模式，提升生活垃圾分类投放效果。整合规范再生资源回收网点，规范城市收旧行为，鼓励实施企业化运作，促进垃圾分类与再生资源回收利用“两网融合”。</w:t>
      </w:r>
    </w:p>
    <w:p w14:paraId="0B6C0352">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第九十三条  提升城乡生活污水处理能力</w:t>
      </w:r>
    </w:p>
    <w:p w14:paraId="08A72CEF">
      <w:pPr>
        <w:spacing w:line="578" w:lineRule="exact"/>
        <w:ind w:firstLine="640"/>
        <w:rPr>
          <w:rFonts w:cs="Times New Roman"/>
          <w:sz w:val="32"/>
          <w:szCs w:val="32"/>
        </w:rPr>
      </w:pPr>
      <w:r>
        <w:rPr>
          <w:rFonts w:cs="Times New Roman"/>
          <w:sz w:val="32"/>
          <w:szCs w:val="32"/>
        </w:rPr>
        <w:t>在城区开展污水处理提质增效项目，修建渌水新城污水处理厂，并进行雨污分流改造，提高城区污水收集率。实施集镇污水处理设施建设工程，在镇（街道）建成区修建17处污水处理设施。在农村地区因地制宜实施农村生活污水处理工程，加大农村生活污水治理力度，城区和镇近郊村庄的生活污水，优先考虑就近纳入城区和镇污水收集管网集中统一处理；城镇污水管网短期内覆盖不到的村庄集聚点建设小型人工湿地、集中式无（微）动力等低成本、低能耗、易维护、高效率的污水处理设施；布局分散、人口规模小、地形条件复杂、污水不易集中收集的村庄，推广应用分散式生活污水处理设施。</w:t>
      </w:r>
    </w:p>
    <w:p w14:paraId="17A885E3">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第九十四条  全面保障居民饮水安全</w:t>
      </w:r>
    </w:p>
    <w:p w14:paraId="2947F0F6">
      <w:pPr>
        <w:spacing w:line="578" w:lineRule="exact"/>
        <w:ind w:firstLine="640"/>
        <w:rPr>
          <w:rFonts w:cs="Times New Roman"/>
          <w:sz w:val="32"/>
          <w:szCs w:val="32"/>
        </w:rPr>
      </w:pPr>
      <w:r>
        <w:rPr>
          <w:rFonts w:cs="Times New Roman"/>
          <w:sz w:val="32"/>
          <w:szCs w:val="32"/>
        </w:rPr>
        <w:t>加强望仙桥和官庄水库及其周边地区的生态保护、渌江河水质保护。严格饮用水源地安全隐患排查，强化饮用水源供水安全。实施从水源地到水龙头的全过程监管体系，推进饮用水水质状况信息公开。加强饮用水水源地风险防范，定期排查影响饮用水水源地的环境风险源，并对水源保护范围内污染状况进行综合评估，建立饮用水水源地动态数据库。</w:t>
      </w:r>
    </w:p>
    <w:p w14:paraId="2679CB64">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第九十五条  持续推进“厕所革命”</w:t>
      </w:r>
    </w:p>
    <w:p w14:paraId="670AC07D">
      <w:pPr>
        <w:spacing w:line="600" w:lineRule="exact"/>
        <w:ind w:firstLine="640"/>
        <w:rPr>
          <w:rFonts w:cs="Times New Roman"/>
          <w:sz w:val="32"/>
          <w:szCs w:val="32"/>
        </w:rPr>
      </w:pPr>
      <w:r>
        <w:rPr>
          <w:rFonts w:cs="Times New Roman"/>
          <w:sz w:val="32"/>
          <w:szCs w:val="32"/>
        </w:rPr>
        <w:t>加强改厕与农村生活污水治理、粪污资源化利用有效衔接，持续推进农村“厕所革命”，确保农村无害化卫生厕所普及率达到上级要求。加快建立符合农村实际的卫生厕所和卫生公厕长效管护机制，建立农村公厕镇、村管护体系，明确镇（街道）、村（社区）对农村公厕管护的主体责任，建立公厕管护台账，落实公厕管护人员。解决农村改厕后的管理、维修及粪污处理问题，明确农户对户厕管护的主体责任。</w:t>
      </w:r>
    </w:p>
    <w:p w14:paraId="5FCD559F">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第九十六条  加强农业废弃物综合利用</w:t>
      </w:r>
    </w:p>
    <w:p w14:paraId="367CE50C">
      <w:pPr>
        <w:spacing w:line="600" w:lineRule="exact"/>
        <w:ind w:firstLine="640"/>
        <w:rPr>
          <w:rFonts w:cs="Times New Roman"/>
          <w:sz w:val="32"/>
          <w:szCs w:val="32"/>
        </w:rPr>
      </w:pPr>
      <w:r>
        <w:rPr>
          <w:rFonts w:cs="Times New Roman"/>
          <w:sz w:val="32"/>
          <w:szCs w:val="32"/>
        </w:rPr>
        <w:t>加快推进农业生产废弃物资源化利用，以农用有机肥和农村能源为主要利用方向，开展畜禽粪污和厕所粪污的资源化利用，促进农业绿色生态化发展。按照“一控两减三基本”要求，突出节水节肥节药，畜禽粪污、秸秆和农业废弃物综合利用，多举措治理农业面源污染，大力推进农业废弃物有效回收和无害化处理，切实降低农业面源污染对人畜及农村生态环境的污染。</w:t>
      </w:r>
    </w:p>
    <w:p w14:paraId="4C6B5314">
      <w:pPr>
        <w:pStyle w:val="14"/>
        <w:spacing w:beforeLines="50" w:afterLines="50" w:line="600" w:lineRule="exact"/>
        <w:ind w:firstLine="0" w:firstLineChars="0"/>
        <w:jc w:val="center"/>
        <w:rPr>
          <w:rFonts w:eastAsia="黑体"/>
          <w:sz w:val="32"/>
          <w:szCs w:val="32"/>
        </w:rPr>
      </w:pPr>
      <w:r>
        <w:rPr>
          <w:rFonts w:hint="eastAsia" w:eastAsia="黑体"/>
          <w:sz w:val="32"/>
          <w:szCs w:val="32"/>
        </w:rPr>
        <w:t xml:space="preserve">第二节 </w:t>
      </w:r>
      <w:r>
        <w:rPr>
          <w:rFonts w:eastAsia="黑体"/>
          <w:sz w:val="32"/>
          <w:szCs w:val="32"/>
        </w:rPr>
        <w:t xml:space="preserve"> 构建绿地生态系统</w:t>
      </w:r>
    </w:p>
    <w:p w14:paraId="55596626">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第九十七条  构建城市园林绿地格局</w:t>
      </w:r>
    </w:p>
    <w:p w14:paraId="339661B2">
      <w:pPr>
        <w:spacing w:line="600" w:lineRule="exact"/>
        <w:ind w:firstLine="640"/>
        <w:rPr>
          <w:rFonts w:cs="Times New Roman"/>
          <w:sz w:val="32"/>
          <w:szCs w:val="32"/>
        </w:rPr>
      </w:pPr>
      <w:r>
        <w:rPr>
          <w:rFonts w:cs="Times New Roman"/>
          <w:sz w:val="32"/>
          <w:szCs w:val="32"/>
        </w:rPr>
        <w:t>突出醴陵市园林绿化的特色和文化内涵，加强滨水绿地和交通绿廊建设，基本形成醴陵市域生态绿地网架。注重渌江新城的公园绿地建设，增加社区公园和街头绿地，有机融合历史文化要素，体现城市绿化文化内涵，提升老城绿化建设水平。稳步提高绿地建设水平，建设以城市公园、社区公园为主体的城乡公园体系，形成覆盖全域的多层次公园游憩体系，打造“百园绿城”城市绿地格局，形成连续、整体的生态开放空间，形成城郊结合、城乡一体的市域绿地系统，切实改善城乡人居环境。</w:t>
      </w:r>
    </w:p>
    <w:p w14:paraId="42E40822">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第九十八条  建设绿水相融的生态景观</w:t>
      </w:r>
    </w:p>
    <w:p w14:paraId="0D6CFF97">
      <w:pPr>
        <w:spacing w:line="578" w:lineRule="exact"/>
        <w:ind w:firstLine="640"/>
        <w:rPr>
          <w:rFonts w:cs="Times New Roman"/>
          <w:sz w:val="32"/>
          <w:szCs w:val="32"/>
        </w:rPr>
      </w:pPr>
      <w:r>
        <w:rPr>
          <w:rFonts w:cs="Times New Roman"/>
          <w:sz w:val="32"/>
          <w:szCs w:val="32"/>
        </w:rPr>
        <w:t>发挥醴陵生态和历史人文优势，强化“山水洲城”生态格局，加强重要生态功能区保护。以渌江为脉，支流为廊道，建立水系生态廊道，构建“一带九廊串三环”醴陵水循环结构。因地制宜对已有道路实施绿化景观改造提升，形成“一路一景”的城市景观。在城区主次干道及重要节点建设一批城市小森林、小游园、小景点项目，积极发挥绿地的游憩、景观等服务功能，切实改善城市人居环境，打造环境清洁优美、人和自然协调发展、生态良性循环的宜居之地。</w:t>
      </w:r>
    </w:p>
    <w:p w14:paraId="4C3FC564">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第九十九条  加强国家园林城市创建成果</w:t>
      </w:r>
    </w:p>
    <w:p w14:paraId="2CBB702E">
      <w:pPr>
        <w:spacing w:line="578" w:lineRule="exact"/>
        <w:ind w:firstLine="640"/>
        <w:rPr>
          <w:rFonts w:cs="Times New Roman"/>
          <w:sz w:val="32"/>
          <w:szCs w:val="32"/>
        </w:rPr>
      </w:pPr>
      <w:r>
        <w:rPr>
          <w:rFonts w:cs="Times New Roman"/>
          <w:sz w:val="32"/>
          <w:szCs w:val="32"/>
        </w:rPr>
        <w:t>巩固国家园林城市创建成果，进一步完善公园及街头绿地配套设施，增强公园的服务性功能。抓好全民义务植树工作，注重城市原有自然风貌和森林植被保护。充分利用自然山水建设风景区、自然林地，提高城市生态环境质量，形成城市各类绿地布局基本合理、功能较健的绿地系统。</w:t>
      </w:r>
    </w:p>
    <w:p w14:paraId="6F70E4B7">
      <w:pPr>
        <w:pStyle w:val="4"/>
        <w:keepNext w:val="0"/>
        <w:keepLines w:val="0"/>
        <w:spacing w:line="578" w:lineRule="exact"/>
        <w:ind w:firstLine="640" w:firstLineChars="200"/>
        <w:rPr>
          <w:rFonts w:eastAsia="楷体_GB2312" w:cs="Times New Roman"/>
          <w:b w:val="0"/>
          <w:sz w:val="32"/>
          <w:szCs w:val="32"/>
        </w:rPr>
      </w:pPr>
      <w:r>
        <w:rPr>
          <w:rFonts w:eastAsia="楷体_GB2312" w:cs="Times New Roman"/>
          <w:b w:val="0"/>
          <w:sz w:val="32"/>
          <w:szCs w:val="32"/>
        </w:rPr>
        <w:t>第一百条  积极探索建设海绵城市</w:t>
      </w:r>
    </w:p>
    <w:p w14:paraId="1ABA433A">
      <w:pPr>
        <w:spacing w:line="578" w:lineRule="exact"/>
        <w:ind w:firstLine="640"/>
        <w:rPr>
          <w:rFonts w:cs="Times New Roman"/>
          <w:sz w:val="32"/>
          <w:szCs w:val="32"/>
        </w:rPr>
      </w:pPr>
      <w:r>
        <w:rPr>
          <w:rFonts w:cs="Times New Roman"/>
          <w:sz w:val="32"/>
          <w:szCs w:val="32"/>
        </w:rPr>
        <w:t>结合醴陵市自然地形地势充分发挥山、水、林、田等原始地形地貌对降雨的积存作用，保护和修复原有生态系统，强化生态廊道生态隔离、水源涵养作用，突出生态效益。科学选用下沉式绿地、植草沟、人工湿地、透水铺装、透水路面、多功能调蓄等低影响开发设施及其组合系统。完善城市洪、涝水蓄滞和外排出路，统筹布局泄洪通道和蓄滞场地，通过排水管渠改造、雨水源头减排、排险除涝设施建设、数字化综合信息管理平台建设等工程，加快市区易涝点综合治理，整体提升城市排水防涝水平。</w:t>
      </w:r>
    </w:p>
    <w:p w14:paraId="4F4CD0C6">
      <w:pPr>
        <w:pStyle w:val="14"/>
        <w:spacing w:beforeLines="50" w:afterLines="50" w:line="630" w:lineRule="exact"/>
        <w:ind w:firstLine="0" w:firstLineChars="0"/>
        <w:jc w:val="center"/>
        <w:rPr>
          <w:rFonts w:eastAsia="黑体"/>
          <w:sz w:val="32"/>
          <w:szCs w:val="32"/>
        </w:rPr>
      </w:pPr>
      <w:r>
        <w:rPr>
          <w:rFonts w:hint="eastAsia" w:eastAsia="黑体"/>
          <w:sz w:val="32"/>
          <w:szCs w:val="32"/>
        </w:rPr>
        <w:t xml:space="preserve">第三节  </w:t>
      </w:r>
      <w:r>
        <w:rPr>
          <w:rFonts w:eastAsia="黑体"/>
          <w:sz w:val="32"/>
          <w:szCs w:val="32"/>
        </w:rPr>
        <w:t>提升人居环境建设</w:t>
      </w:r>
    </w:p>
    <w:p w14:paraId="1205064F">
      <w:pPr>
        <w:pStyle w:val="14"/>
        <w:spacing w:line="630" w:lineRule="exact"/>
        <w:ind w:firstLine="640"/>
        <w:jc w:val="both"/>
        <w:rPr>
          <w:rFonts w:eastAsia="楷体_GB2312"/>
          <w:sz w:val="32"/>
          <w:szCs w:val="32"/>
        </w:rPr>
      </w:pPr>
      <w:r>
        <w:rPr>
          <w:rFonts w:eastAsia="楷体_GB2312"/>
          <w:sz w:val="32"/>
          <w:szCs w:val="32"/>
        </w:rPr>
        <w:t>第一百零一条  建设美丽宜居乡村</w:t>
      </w:r>
    </w:p>
    <w:p w14:paraId="5F344739">
      <w:pPr>
        <w:spacing w:line="630" w:lineRule="exact"/>
        <w:ind w:firstLine="640"/>
        <w:rPr>
          <w:rFonts w:cs="Times New Roman"/>
          <w:sz w:val="32"/>
          <w:szCs w:val="32"/>
        </w:rPr>
      </w:pPr>
      <w:r>
        <w:rPr>
          <w:rFonts w:cs="Times New Roman"/>
          <w:sz w:val="32"/>
          <w:szCs w:val="32"/>
        </w:rPr>
        <w:t>着力夯实农村产业基础，抓好乡村建设行动、农村人居环境整治、深化农村改革等工作，促进城乡融合发展，培养新型职业农民，鼓励人才“上山下乡”，建设产业兴旺、生态宜居、乡风文明、治理有效、生活富裕的新农村，全市开展全域美丽乡村示范创建工作，坚持“以点带面、联面成片、串珠成链”的工作思路，全面开展“美丽乡村创建十大行动”“美醴乡村幸福屋场”和“美丽乡村试点示范十大行动”，打造集中连片、点线面结合的美丽乡村风景线。</w:t>
      </w:r>
    </w:p>
    <w:p w14:paraId="18B5E1CC">
      <w:pPr>
        <w:pStyle w:val="14"/>
        <w:spacing w:line="630" w:lineRule="exact"/>
        <w:ind w:firstLine="640"/>
        <w:jc w:val="both"/>
        <w:rPr>
          <w:rFonts w:eastAsia="楷体_GB2312"/>
          <w:sz w:val="32"/>
          <w:szCs w:val="32"/>
        </w:rPr>
      </w:pPr>
      <w:r>
        <w:rPr>
          <w:rFonts w:eastAsia="楷体_GB2312"/>
          <w:sz w:val="32"/>
          <w:szCs w:val="32"/>
        </w:rPr>
        <w:t>第一百零二条  培育特色产业小镇</w:t>
      </w:r>
    </w:p>
    <w:p w14:paraId="445C9F66">
      <w:pPr>
        <w:spacing w:line="630" w:lineRule="exact"/>
        <w:ind w:firstLine="640"/>
        <w:rPr>
          <w:rFonts w:cs="Times New Roman"/>
          <w:sz w:val="32"/>
          <w:szCs w:val="32"/>
        </w:rPr>
      </w:pPr>
      <w:r>
        <w:rPr>
          <w:rFonts w:cs="Times New Roman"/>
          <w:sz w:val="32"/>
          <w:szCs w:val="32"/>
        </w:rPr>
        <w:t>培育体现醴陵特色的产业小镇，突出“产城融合”理念和“陶瓷文化”主题，紧紧围绕打造“中国陶瓷谷”的战略定位，做大做强陶瓷产业链。重点打造醴陵五彩陶瓷特色产业小镇，突出加强陶瓷产业的研发、设计和创新能力，加强产业的延伸配套、融合、衍生，培育陶瓷新材料、陶瓷机械装备等新业态。</w:t>
      </w:r>
    </w:p>
    <w:p w14:paraId="2FDE6F7B">
      <w:pPr>
        <w:pStyle w:val="14"/>
        <w:spacing w:line="630" w:lineRule="exact"/>
        <w:ind w:firstLine="640"/>
        <w:jc w:val="both"/>
        <w:rPr>
          <w:rFonts w:eastAsia="楷体_GB2312"/>
          <w:sz w:val="32"/>
          <w:szCs w:val="32"/>
        </w:rPr>
      </w:pPr>
      <w:r>
        <w:rPr>
          <w:rFonts w:eastAsia="楷体_GB2312"/>
          <w:sz w:val="32"/>
          <w:szCs w:val="32"/>
        </w:rPr>
        <w:t>第一百零二条  推进智慧醴陵建设</w:t>
      </w:r>
    </w:p>
    <w:p w14:paraId="20F08B6E">
      <w:pPr>
        <w:spacing w:line="630" w:lineRule="exact"/>
        <w:ind w:firstLine="640"/>
        <w:rPr>
          <w:rFonts w:cs="Times New Roman"/>
          <w:sz w:val="32"/>
          <w:szCs w:val="32"/>
        </w:rPr>
      </w:pPr>
      <w:r>
        <w:rPr>
          <w:rFonts w:cs="Times New Roman"/>
          <w:sz w:val="32"/>
          <w:szCs w:val="32"/>
        </w:rPr>
        <w:t>持续深化改革，创新体制机制，打造健康、宜居、安全、韧性的新型智慧城市发展样板，助力提升城市法治、共治、精治水平，建设智慧醴陵，推进治理能力现代化。</w:t>
      </w:r>
    </w:p>
    <w:p w14:paraId="5BC28F4F">
      <w:pPr>
        <w:pStyle w:val="14"/>
        <w:spacing w:beforeLines="50" w:afterLines="50" w:line="630" w:lineRule="exact"/>
        <w:ind w:firstLine="0" w:firstLineChars="0"/>
        <w:jc w:val="center"/>
        <w:rPr>
          <w:rFonts w:eastAsia="黑体"/>
          <w:sz w:val="32"/>
          <w:szCs w:val="32"/>
        </w:rPr>
      </w:pPr>
      <w:r>
        <w:rPr>
          <w:rFonts w:hint="eastAsia" w:eastAsia="黑体"/>
          <w:sz w:val="32"/>
          <w:szCs w:val="32"/>
        </w:rPr>
        <w:t xml:space="preserve">第四节 </w:t>
      </w:r>
      <w:r>
        <w:rPr>
          <w:rFonts w:eastAsia="黑体"/>
          <w:sz w:val="32"/>
          <w:szCs w:val="32"/>
        </w:rPr>
        <w:t xml:space="preserve"> 倡导绿色生活方式</w:t>
      </w:r>
    </w:p>
    <w:p w14:paraId="47086B44">
      <w:pPr>
        <w:pStyle w:val="14"/>
        <w:spacing w:line="578" w:lineRule="exact"/>
        <w:ind w:firstLine="640"/>
        <w:jc w:val="both"/>
        <w:rPr>
          <w:rFonts w:eastAsia="楷体_GB2312"/>
          <w:sz w:val="32"/>
          <w:szCs w:val="32"/>
        </w:rPr>
      </w:pPr>
      <w:r>
        <w:rPr>
          <w:rFonts w:eastAsia="楷体_GB2312"/>
          <w:sz w:val="32"/>
          <w:szCs w:val="32"/>
        </w:rPr>
        <w:t>第一百零三条  提升绿色建筑发展水平</w:t>
      </w:r>
    </w:p>
    <w:p w14:paraId="75C697C5">
      <w:pPr>
        <w:spacing w:line="578" w:lineRule="exact"/>
        <w:ind w:firstLine="640"/>
        <w:rPr>
          <w:rFonts w:cs="Times New Roman"/>
          <w:sz w:val="32"/>
          <w:szCs w:val="32"/>
        </w:rPr>
      </w:pPr>
      <w:r>
        <w:rPr>
          <w:rFonts w:cs="Times New Roman"/>
          <w:sz w:val="32"/>
          <w:szCs w:val="32"/>
        </w:rPr>
        <w:t>执行绿色建筑强制性标准，积极推进绿色建筑施工，推广使用绿色建材。加大施工阶段绿色建筑和建筑节能标准执行力度，积极探索和推动既有建筑节能改造、政府机关办公建筑和大型公共建筑用能监管、可再生能源与建筑一体化应用等工作，充分发挥绿色建筑和建筑节能示范工程的示范效应，推动节能建筑向绿色建筑、高能耗建筑向低能耗建筑的转变，全面提升醴陵市绿色建筑发展水平。</w:t>
      </w:r>
    </w:p>
    <w:p w14:paraId="73A00BFD">
      <w:pPr>
        <w:pStyle w:val="14"/>
        <w:spacing w:line="578" w:lineRule="exact"/>
        <w:ind w:firstLine="640"/>
        <w:jc w:val="both"/>
        <w:rPr>
          <w:rFonts w:eastAsia="楷体_GB2312"/>
          <w:sz w:val="32"/>
          <w:szCs w:val="32"/>
        </w:rPr>
      </w:pPr>
      <w:r>
        <w:rPr>
          <w:rFonts w:eastAsia="楷体_GB2312"/>
          <w:sz w:val="32"/>
          <w:szCs w:val="32"/>
        </w:rPr>
        <w:t>第一百零四条  推广政府绿色采购</w:t>
      </w:r>
    </w:p>
    <w:p w14:paraId="29A8A3D6">
      <w:pPr>
        <w:spacing w:line="578" w:lineRule="exact"/>
        <w:ind w:firstLine="640"/>
        <w:rPr>
          <w:rFonts w:cs="Times New Roman"/>
          <w:sz w:val="32"/>
          <w:szCs w:val="32"/>
        </w:rPr>
      </w:pPr>
      <w:r>
        <w:rPr>
          <w:rFonts w:cs="Times New Roman"/>
          <w:sz w:val="32"/>
          <w:szCs w:val="32"/>
        </w:rPr>
        <w:t>强化绿色产品管理，加强能效标识、节能节水、绿色标识和无公害产品的认证，严厉打击商家虚假宣传和伪造绿色产品证书的行为，定期通过政府网、政府官方微博、官方微信、报纸等群众易接触知晓的传播媒体公布绿色产品名录。鼓励非政府企事业单位实行绿色采购，引导居民优先选购绿色产品；企业加强绿色产品研发和生产，丰富绿色产品种类，增加绿色产品供给，使用绿色原料，采用简易、绿色包装方式。</w:t>
      </w:r>
    </w:p>
    <w:p w14:paraId="5DD3B560">
      <w:pPr>
        <w:pStyle w:val="14"/>
        <w:spacing w:line="578" w:lineRule="exact"/>
        <w:ind w:firstLine="640"/>
        <w:jc w:val="both"/>
        <w:rPr>
          <w:rFonts w:eastAsia="楷体_GB2312"/>
          <w:sz w:val="32"/>
          <w:szCs w:val="32"/>
        </w:rPr>
      </w:pPr>
      <w:r>
        <w:rPr>
          <w:rFonts w:eastAsia="楷体_GB2312"/>
          <w:sz w:val="32"/>
          <w:szCs w:val="32"/>
        </w:rPr>
        <w:t>第一百零五条  建设绿色交通</w:t>
      </w:r>
    </w:p>
    <w:p w14:paraId="3C9650C9">
      <w:pPr>
        <w:pStyle w:val="13"/>
        <w:spacing w:line="578" w:lineRule="exact"/>
        <w:ind w:firstLine="640"/>
        <w:rPr>
          <w:rFonts w:cs="Times New Roman"/>
          <w:sz w:val="32"/>
          <w:szCs w:val="32"/>
        </w:rPr>
      </w:pPr>
      <w:r>
        <w:rPr>
          <w:rFonts w:cs="Times New Roman"/>
          <w:sz w:val="32"/>
          <w:szCs w:val="32"/>
        </w:rPr>
        <w:t>提升公共交通服务水平，以节能低碳为重点，积极发展绿色养护，鼓励发展资源节约、环境友好的运输工具与交通方式，采用新能源、燃料电池汽车。全面开展绿色出行行动、深入实施公交优先战略、加强绿色出行宣传和科普教育等任务，倡导绿色出行方式，加强城市慢行系统建设，全面推进“公交都市”建设，扩大公共交通覆盖面，启动全市绿色交通宣教行动。</w:t>
      </w:r>
    </w:p>
    <w:p w14:paraId="761A373E">
      <w:pPr>
        <w:pStyle w:val="14"/>
        <w:spacing w:line="578" w:lineRule="exact"/>
        <w:ind w:firstLine="640"/>
        <w:jc w:val="both"/>
        <w:rPr>
          <w:rFonts w:eastAsia="楷体_GB2312"/>
          <w:sz w:val="32"/>
          <w:szCs w:val="32"/>
        </w:rPr>
      </w:pPr>
      <w:r>
        <w:rPr>
          <w:rFonts w:eastAsia="楷体_GB2312"/>
          <w:sz w:val="32"/>
          <w:szCs w:val="32"/>
        </w:rPr>
        <w:t>第一百零六条  践行绿色生活</w:t>
      </w:r>
    </w:p>
    <w:p w14:paraId="21D46A94">
      <w:pPr>
        <w:spacing w:line="578" w:lineRule="exact"/>
        <w:ind w:firstLine="640"/>
        <w:rPr>
          <w:rFonts w:cs="Times New Roman"/>
          <w:sz w:val="32"/>
          <w:szCs w:val="32"/>
        </w:rPr>
      </w:pPr>
      <w:r>
        <w:rPr>
          <w:rFonts w:cs="Times New Roman"/>
          <w:sz w:val="32"/>
          <w:szCs w:val="32"/>
        </w:rPr>
        <w:t>加强塑料污染治理和长效管理机制建设，减少一次性不可降解塑料制品使用。推广绿色出行，打造绿色交通管理系统，加大绿色交通工具的研发与推广力度，加快轨道交通、智慧公交建设。推行绿色办公，健全政府绿色采购制度，提高办公设备和资产使用效率。积极开展绿色学校、绿色机关、绿色社区、绿色家庭等形式多样的绿色创建活动。</w:t>
      </w:r>
    </w:p>
    <w:p w14:paraId="39DAF116">
      <w:pPr>
        <w:spacing w:line="578" w:lineRule="exact"/>
        <w:ind w:firstLine="640"/>
        <w:rPr>
          <w:rFonts w:cs="Times New Roman"/>
          <w:kern w:val="44"/>
          <w:sz w:val="32"/>
          <w:szCs w:val="32"/>
        </w:rPr>
      </w:pPr>
      <w:r>
        <w:rPr>
          <w:rFonts w:cs="Times New Roman"/>
          <w:kern w:val="44"/>
          <w:sz w:val="32"/>
          <w:szCs w:val="32"/>
        </w:rPr>
        <w:br w:type="page"/>
      </w:r>
    </w:p>
    <w:p w14:paraId="70C407F3">
      <w:pPr>
        <w:spacing w:line="578" w:lineRule="exact"/>
        <w:ind w:firstLine="0" w:firstLineChars="0"/>
        <w:jc w:val="center"/>
        <w:rPr>
          <w:rFonts w:eastAsia="方正小标宋简体" w:cs="Times New Roman"/>
          <w:kern w:val="44"/>
          <w:sz w:val="44"/>
          <w:szCs w:val="44"/>
        </w:rPr>
      </w:pPr>
      <w:r>
        <w:rPr>
          <w:rFonts w:hint="eastAsia" w:eastAsia="方正小标宋简体" w:cs="Times New Roman"/>
          <w:kern w:val="44"/>
          <w:sz w:val="44"/>
          <w:szCs w:val="44"/>
        </w:rPr>
        <w:t xml:space="preserve">第八章 </w:t>
      </w:r>
      <w:r>
        <w:rPr>
          <w:rFonts w:eastAsia="方正小标宋简体" w:cs="Times New Roman"/>
          <w:kern w:val="44"/>
          <w:sz w:val="44"/>
          <w:szCs w:val="44"/>
        </w:rPr>
        <w:t xml:space="preserve"> 生态文化体系建设</w:t>
      </w:r>
    </w:p>
    <w:p w14:paraId="73334D20">
      <w:pPr>
        <w:spacing w:line="578" w:lineRule="exact"/>
        <w:ind w:firstLine="0" w:firstLineChars="0"/>
        <w:jc w:val="center"/>
        <w:rPr>
          <w:rFonts w:eastAsia="方正小标宋简体" w:cs="Times New Roman"/>
          <w:kern w:val="44"/>
          <w:sz w:val="44"/>
          <w:szCs w:val="44"/>
        </w:rPr>
      </w:pPr>
    </w:p>
    <w:p w14:paraId="2E1D9928">
      <w:pPr>
        <w:spacing w:afterLines="50" w:line="578" w:lineRule="exact"/>
        <w:ind w:firstLine="0" w:firstLineChars="0"/>
        <w:jc w:val="center"/>
        <w:rPr>
          <w:rFonts w:eastAsia="黑体" w:cs="Times New Roman"/>
          <w:sz w:val="32"/>
          <w:szCs w:val="32"/>
        </w:rPr>
      </w:pPr>
      <w:r>
        <w:rPr>
          <w:rFonts w:hint="eastAsia" w:eastAsia="黑体" w:cs="Times New Roman"/>
          <w:sz w:val="32"/>
          <w:szCs w:val="32"/>
        </w:rPr>
        <w:t xml:space="preserve">第一节 </w:t>
      </w:r>
      <w:r>
        <w:rPr>
          <w:rFonts w:eastAsia="黑体" w:cs="Times New Roman"/>
          <w:sz w:val="32"/>
          <w:szCs w:val="32"/>
        </w:rPr>
        <w:t xml:space="preserve"> 生态文化载体建设</w:t>
      </w:r>
    </w:p>
    <w:p w14:paraId="49C25D5D">
      <w:pPr>
        <w:pStyle w:val="14"/>
        <w:spacing w:line="578" w:lineRule="exact"/>
        <w:ind w:firstLine="640"/>
        <w:jc w:val="both"/>
        <w:rPr>
          <w:rFonts w:eastAsia="楷体_GB2312"/>
          <w:sz w:val="32"/>
          <w:szCs w:val="32"/>
        </w:rPr>
      </w:pPr>
      <w:r>
        <w:rPr>
          <w:rFonts w:eastAsia="楷体_GB2312"/>
          <w:sz w:val="32"/>
          <w:szCs w:val="32"/>
        </w:rPr>
        <w:t>第一百零七条  保护历史文化资源</w:t>
      </w:r>
    </w:p>
    <w:p w14:paraId="0801FC41">
      <w:pPr>
        <w:spacing w:line="578" w:lineRule="exact"/>
        <w:ind w:firstLine="640"/>
        <w:rPr>
          <w:rFonts w:cs="Times New Roman"/>
          <w:sz w:val="32"/>
          <w:szCs w:val="32"/>
        </w:rPr>
      </w:pPr>
      <w:r>
        <w:rPr>
          <w:rFonts w:cs="Times New Roman"/>
          <w:sz w:val="32"/>
          <w:szCs w:val="32"/>
        </w:rPr>
        <w:t>传承湖湘文化底蕴，梳理醴陵乡土文脉，保护和弘扬具有湘楚区域特质的农耕文化、瓷器文化、花炮文化，实施古城、古街（区）、古镇（村）、古寺、古遗址和名人故居（墓葬）“五古一故”保护工程。做好左权故居等名人故居保护，推进醴陵窑考古遗址公园、渌江书院、陶瓷工业遗址、醴陵古城遗址等历史文化项目建设，加强非物质文化遗产和传统技艺的挖掘、保护和传承，加快推进濒危非物质文化遗产的数字化保护。</w:t>
      </w:r>
    </w:p>
    <w:p w14:paraId="538E8BE8">
      <w:pPr>
        <w:pStyle w:val="14"/>
        <w:spacing w:line="578" w:lineRule="exact"/>
        <w:ind w:firstLine="640"/>
        <w:jc w:val="both"/>
        <w:rPr>
          <w:rFonts w:eastAsia="楷体_GB2312"/>
          <w:sz w:val="32"/>
          <w:szCs w:val="32"/>
        </w:rPr>
      </w:pPr>
      <w:r>
        <w:rPr>
          <w:rFonts w:eastAsia="楷体_GB2312"/>
          <w:sz w:val="32"/>
          <w:szCs w:val="32"/>
        </w:rPr>
        <w:t>第一百零八条  保护非物质文化遗产</w:t>
      </w:r>
    </w:p>
    <w:p w14:paraId="4FBD9B56">
      <w:pPr>
        <w:spacing w:line="578" w:lineRule="exact"/>
        <w:ind w:firstLine="640"/>
        <w:rPr>
          <w:rFonts w:cs="Times New Roman"/>
          <w:sz w:val="32"/>
          <w:szCs w:val="32"/>
        </w:rPr>
      </w:pPr>
      <w:r>
        <w:rPr>
          <w:rFonts w:cs="Times New Roman"/>
          <w:sz w:val="32"/>
          <w:szCs w:val="32"/>
        </w:rPr>
        <w:t>完善非物质文化遗产认定、保护机制，传承和振兴非物质文化遗产。实施“醴陵名品”“醴陵名匠”“醴陵民俗”保护工程，传承和振兴醴陵特色非物质文化遗产。创新历史文化遗产保护理念，划定文化保护红线，统筹文化传承、产业发展和城市建设。深化各类优秀历史文化资源的研究利用，不断挖掘书院、名人、家训、红色和山水文化等地方特色文化。有效保护村落文化生态，加快数字化非遗保护工程建设，打造一批特色示范村落基地。建立非物质文化遗产传承人培养激励机制，传承地方故事和民风民俗。</w:t>
      </w:r>
    </w:p>
    <w:p w14:paraId="5C5F8E8D">
      <w:pPr>
        <w:pStyle w:val="14"/>
        <w:spacing w:line="578" w:lineRule="exact"/>
        <w:ind w:firstLine="640"/>
        <w:jc w:val="both"/>
        <w:rPr>
          <w:rFonts w:eastAsia="楷体_GB2312"/>
          <w:sz w:val="32"/>
          <w:szCs w:val="32"/>
        </w:rPr>
      </w:pPr>
      <w:r>
        <w:rPr>
          <w:rFonts w:eastAsia="楷体_GB2312"/>
          <w:sz w:val="32"/>
          <w:szCs w:val="32"/>
        </w:rPr>
        <w:t>第一百零九条  推进生态示范创建</w:t>
      </w:r>
    </w:p>
    <w:p w14:paraId="7E297D63">
      <w:pPr>
        <w:pStyle w:val="13"/>
        <w:spacing w:line="578" w:lineRule="exact"/>
        <w:ind w:firstLine="640"/>
        <w:rPr>
          <w:rFonts w:cs="Times New Roman"/>
          <w:sz w:val="32"/>
          <w:szCs w:val="32"/>
        </w:rPr>
      </w:pPr>
      <w:r>
        <w:rPr>
          <w:rFonts w:cs="Times New Roman"/>
          <w:sz w:val="32"/>
          <w:szCs w:val="32"/>
        </w:rPr>
        <w:t>完善生态文明体系建设，根据《国家生态文明建设示范市县建设指标》《国家生态文明建设示范区建设指标（修订版）》《湖南省生态文明建设示范市县建设指标》等相关文件精神，学习优秀生态文明示范市建设的经验与做法，积极推进“国家生态文明建设示范市县”和“生态文明建设示范镇村创建”工作。</w:t>
      </w:r>
    </w:p>
    <w:p w14:paraId="2D97486C">
      <w:pPr>
        <w:spacing w:beforeLines="50" w:afterLines="50" w:line="578" w:lineRule="exact"/>
        <w:ind w:firstLine="0" w:firstLineChars="0"/>
        <w:jc w:val="center"/>
        <w:rPr>
          <w:rFonts w:eastAsia="黑体" w:cs="Times New Roman"/>
          <w:sz w:val="32"/>
          <w:szCs w:val="32"/>
        </w:rPr>
      </w:pPr>
      <w:r>
        <w:rPr>
          <w:rFonts w:hint="eastAsia" w:eastAsia="黑体" w:cs="Times New Roman"/>
          <w:sz w:val="32"/>
          <w:szCs w:val="32"/>
        </w:rPr>
        <w:t xml:space="preserve">第二节 </w:t>
      </w:r>
      <w:r>
        <w:rPr>
          <w:rFonts w:eastAsia="黑体" w:cs="Times New Roman"/>
          <w:sz w:val="32"/>
          <w:szCs w:val="32"/>
        </w:rPr>
        <w:t xml:space="preserve"> 生态文明宣传教育</w:t>
      </w:r>
    </w:p>
    <w:p w14:paraId="054EB248">
      <w:pPr>
        <w:pStyle w:val="14"/>
        <w:spacing w:line="600" w:lineRule="exact"/>
        <w:ind w:firstLine="640"/>
        <w:jc w:val="both"/>
        <w:rPr>
          <w:rFonts w:eastAsia="楷体_GB2312"/>
          <w:sz w:val="32"/>
          <w:szCs w:val="32"/>
        </w:rPr>
      </w:pPr>
      <w:r>
        <w:rPr>
          <w:rFonts w:eastAsia="楷体_GB2312"/>
          <w:sz w:val="32"/>
          <w:szCs w:val="32"/>
        </w:rPr>
        <w:t>第一百一十条  加强对领导干部的生态文明理念培训力度</w:t>
      </w:r>
    </w:p>
    <w:p w14:paraId="22EC4B90">
      <w:pPr>
        <w:spacing w:line="578" w:lineRule="exact"/>
        <w:ind w:firstLine="640"/>
        <w:rPr>
          <w:rFonts w:cs="Times New Roman"/>
          <w:sz w:val="32"/>
          <w:szCs w:val="32"/>
        </w:rPr>
      </w:pPr>
      <w:r>
        <w:rPr>
          <w:rFonts w:cs="Times New Roman"/>
          <w:sz w:val="32"/>
          <w:szCs w:val="32"/>
        </w:rPr>
        <w:t>加强面向决策层的环保宣传，重点加强对领导干部的生态文明理念培训力度，广泛树立生态环境保护与社会经济协调发展思想，培养正确的生态价值观和科学的经济发展理念。</w:t>
      </w:r>
    </w:p>
    <w:p w14:paraId="66D5C69E">
      <w:pPr>
        <w:pStyle w:val="14"/>
        <w:spacing w:line="600" w:lineRule="exact"/>
        <w:ind w:firstLine="640"/>
        <w:jc w:val="both"/>
        <w:rPr>
          <w:rFonts w:eastAsia="楷体_GB2312"/>
          <w:sz w:val="32"/>
          <w:szCs w:val="32"/>
        </w:rPr>
      </w:pPr>
      <w:r>
        <w:rPr>
          <w:rFonts w:eastAsia="楷体_GB2312"/>
          <w:sz w:val="32"/>
          <w:szCs w:val="32"/>
        </w:rPr>
        <w:t>第一百一十一条  广泛开展学校生态文明教育</w:t>
      </w:r>
    </w:p>
    <w:p w14:paraId="5206FB9D">
      <w:pPr>
        <w:spacing w:line="578" w:lineRule="exact"/>
        <w:ind w:firstLine="640"/>
        <w:rPr>
          <w:rFonts w:cs="Times New Roman"/>
          <w:sz w:val="32"/>
          <w:szCs w:val="32"/>
        </w:rPr>
      </w:pPr>
      <w:r>
        <w:rPr>
          <w:rFonts w:cs="Times New Roman"/>
          <w:sz w:val="32"/>
          <w:szCs w:val="32"/>
        </w:rPr>
        <w:t>加强对教师的生态文明建设培训，把“生态文明理念与常识”纳入教师教育体系，将生态文明建设内容纳入教学计划，作为实施教育的重要内容。在校园内组织开展以节能低碳、绿色文明、节水节电等为重点内容的教育和社会实践活动，深入开展生态文明主题教育实践活动，营造节约型绿色校园的良好氛围。</w:t>
      </w:r>
    </w:p>
    <w:p w14:paraId="13500669">
      <w:pPr>
        <w:pStyle w:val="14"/>
        <w:spacing w:line="578" w:lineRule="exact"/>
        <w:ind w:firstLine="640"/>
        <w:jc w:val="both"/>
        <w:rPr>
          <w:rFonts w:eastAsia="楷体_GB2312"/>
          <w:sz w:val="32"/>
          <w:szCs w:val="32"/>
        </w:rPr>
      </w:pPr>
      <w:r>
        <w:rPr>
          <w:rFonts w:eastAsia="楷体_GB2312"/>
          <w:sz w:val="32"/>
          <w:szCs w:val="32"/>
        </w:rPr>
        <w:t>第一百一十二条  强化企业生态文明责任意识</w:t>
      </w:r>
    </w:p>
    <w:p w14:paraId="274B2F7A">
      <w:pPr>
        <w:spacing w:line="578" w:lineRule="exact"/>
        <w:ind w:firstLine="640"/>
        <w:rPr>
          <w:rFonts w:cs="Times New Roman"/>
          <w:sz w:val="32"/>
          <w:szCs w:val="32"/>
        </w:rPr>
      </w:pPr>
      <w:r>
        <w:rPr>
          <w:rFonts w:cs="Times New Roman"/>
          <w:sz w:val="32"/>
          <w:szCs w:val="32"/>
        </w:rPr>
        <w:t>积极宣传《中华人民共和国环境保护法》等法律法规，强化企业环境主体责任，提高企业生态意识、责任意识和自律意识，</w:t>
      </w:r>
      <w:r>
        <w:rPr>
          <w:rFonts w:cs="Times New Roman"/>
          <w:spacing w:val="-6"/>
          <w:sz w:val="32"/>
          <w:szCs w:val="32"/>
        </w:rPr>
        <w:t>环境重点监控企业负责人每年至少接受1次环境教育培训。加强企业的清洁生产技术培训，重点培训与企业节能减排、清洁生产有关的绿色环保技术和管理方法，鼓励企业进行技术改造和创新。</w:t>
      </w:r>
    </w:p>
    <w:p w14:paraId="305C9793">
      <w:pPr>
        <w:spacing w:afterLines="50" w:line="578" w:lineRule="exact"/>
        <w:ind w:firstLine="0" w:firstLineChars="0"/>
        <w:jc w:val="center"/>
        <w:rPr>
          <w:rFonts w:eastAsia="黑体" w:cs="Times New Roman"/>
          <w:sz w:val="32"/>
          <w:szCs w:val="32"/>
        </w:rPr>
      </w:pPr>
      <w:r>
        <w:rPr>
          <w:rFonts w:hint="eastAsia" w:eastAsia="黑体" w:cs="Times New Roman"/>
          <w:sz w:val="32"/>
          <w:szCs w:val="32"/>
        </w:rPr>
        <w:t xml:space="preserve">第三节 </w:t>
      </w:r>
      <w:r>
        <w:rPr>
          <w:rFonts w:eastAsia="黑体" w:cs="Times New Roman"/>
          <w:sz w:val="32"/>
          <w:szCs w:val="32"/>
        </w:rPr>
        <w:t xml:space="preserve"> 生态文明共建共享</w:t>
      </w:r>
    </w:p>
    <w:p w14:paraId="7CAA32B5">
      <w:pPr>
        <w:pStyle w:val="14"/>
        <w:spacing w:line="578" w:lineRule="exact"/>
        <w:ind w:firstLine="640"/>
        <w:jc w:val="both"/>
        <w:rPr>
          <w:rFonts w:eastAsia="楷体_GB2312"/>
          <w:sz w:val="32"/>
          <w:szCs w:val="32"/>
        </w:rPr>
      </w:pPr>
      <w:r>
        <w:rPr>
          <w:rFonts w:eastAsia="楷体_GB2312"/>
          <w:sz w:val="32"/>
          <w:szCs w:val="32"/>
        </w:rPr>
        <w:t>第一百一十三条  提升生态文明公众参与</w:t>
      </w:r>
    </w:p>
    <w:p w14:paraId="18ED1675">
      <w:pPr>
        <w:spacing w:line="578" w:lineRule="exact"/>
        <w:ind w:firstLine="640"/>
        <w:rPr>
          <w:rFonts w:cs="Times New Roman"/>
          <w:sz w:val="32"/>
          <w:szCs w:val="32"/>
        </w:rPr>
      </w:pPr>
      <w:r>
        <w:rPr>
          <w:rFonts w:cs="Times New Roman"/>
          <w:sz w:val="32"/>
          <w:szCs w:val="32"/>
        </w:rPr>
        <w:t>建立健全党委统一领导、党政齐抓共管、有关部门分工负责、社会力量积极参与的工作体制和工作格局。坚持把引导公众与依靠公众有机统一起来，把政府主导的生态文明建设领域与公众能够广泛参与的生态文明建设渠道相结合，形成政府大力推进、市场有效驱动、公众自觉参与的环境治理体系。</w:t>
      </w:r>
    </w:p>
    <w:p w14:paraId="2EB86F45">
      <w:pPr>
        <w:pStyle w:val="14"/>
        <w:spacing w:line="578" w:lineRule="exact"/>
        <w:ind w:firstLine="640"/>
        <w:jc w:val="both"/>
        <w:rPr>
          <w:rFonts w:eastAsia="楷体_GB2312"/>
          <w:sz w:val="32"/>
          <w:szCs w:val="32"/>
        </w:rPr>
      </w:pPr>
      <w:r>
        <w:rPr>
          <w:rFonts w:eastAsia="楷体_GB2312"/>
          <w:sz w:val="32"/>
          <w:szCs w:val="32"/>
        </w:rPr>
        <w:t>第一百一十四条  加强公共文化服务体系建设</w:t>
      </w:r>
    </w:p>
    <w:p w14:paraId="4C1A0118">
      <w:pPr>
        <w:spacing w:line="578" w:lineRule="exact"/>
        <w:ind w:firstLine="640"/>
        <w:rPr>
          <w:rFonts w:cs="Times New Roman"/>
          <w:sz w:val="32"/>
          <w:szCs w:val="32"/>
        </w:rPr>
      </w:pPr>
      <w:r>
        <w:rPr>
          <w:rFonts w:cs="Times New Roman"/>
          <w:sz w:val="32"/>
          <w:szCs w:val="32"/>
        </w:rPr>
        <w:t>推动公共文化服务村（社区）延伸，扩大公共文化设施的受众面。继续实行文化馆、图书馆和纪念馆免费开放制度，拓宽服务领域，创新服务方式，提升服务质量，在巩固现有图书馆、文化馆的基础上，实现镇有综合文化站，村有文化活动室。依托公共文化设施，大力开展生态讲座、论坛、展览、培训等文化活动。</w:t>
      </w:r>
    </w:p>
    <w:p w14:paraId="1E78C7BD">
      <w:pPr>
        <w:spacing w:afterLines="50" w:line="578" w:lineRule="exact"/>
        <w:ind w:firstLine="0" w:firstLineChars="0"/>
        <w:jc w:val="center"/>
        <w:rPr>
          <w:rFonts w:eastAsia="黑体" w:cs="Times New Roman"/>
          <w:sz w:val="32"/>
          <w:szCs w:val="32"/>
        </w:rPr>
      </w:pPr>
      <w:bookmarkStart w:id="62" w:name="_Toc2382"/>
      <w:bookmarkStart w:id="63" w:name="_Toc6044"/>
      <w:r>
        <w:rPr>
          <w:rFonts w:hint="eastAsia" w:eastAsia="黑体" w:cs="Times New Roman"/>
          <w:sz w:val="32"/>
          <w:szCs w:val="32"/>
        </w:rPr>
        <w:t xml:space="preserve">第四节 </w:t>
      </w:r>
      <w:r>
        <w:rPr>
          <w:rFonts w:eastAsia="黑体" w:cs="Times New Roman"/>
          <w:sz w:val="32"/>
          <w:szCs w:val="32"/>
        </w:rPr>
        <w:t xml:space="preserve"> 挖掘传统文化内涵</w:t>
      </w:r>
      <w:bookmarkEnd w:id="62"/>
      <w:bookmarkEnd w:id="63"/>
    </w:p>
    <w:p w14:paraId="524C675A">
      <w:pPr>
        <w:pStyle w:val="14"/>
        <w:spacing w:line="578" w:lineRule="exact"/>
        <w:ind w:firstLine="640"/>
        <w:jc w:val="both"/>
        <w:rPr>
          <w:rFonts w:eastAsia="楷体_GB2312"/>
          <w:sz w:val="32"/>
          <w:szCs w:val="32"/>
        </w:rPr>
      </w:pPr>
      <w:r>
        <w:rPr>
          <w:rFonts w:eastAsia="楷体_GB2312"/>
          <w:sz w:val="32"/>
          <w:szCs w:val="32"/>
        </w:rPr>
        <w:t>第一百一十五条  弘扬红色文化</w:t>
      </w:r>
    </w:p>
    <w:p w14:paraId="24A2C47D">
      <w:pPr>
        <w:spacing w:line="578" w:lineRule="exact"/>
        <w:ind w:firstLine="640"/>
        <w:rPr>
          <w:rFonts w:cs="Times New Roman"/>
          <w:sz w:val="32"/>
          <w:szCs w:val="32"/>
        </w:rPr>
      </w:pPr>
      <w:r>
        <w:rPr>
          <w:rFonts w:cs="Times New Roman"/>
          <w:sz w:val="32"/>
          <w:szCs w:val="32"/>
        </w:rPr>
        <w:t>依托醴陵丰富的红色文化资源，与湘赣边各县（市、区）合力打造以“一节一会一论坛”为标志的湘赣边红色文化品牌，大力发展红色文化旅游产业。积极申办和参加中国红色文化艺术节活动，积极申办并组织相关企业、景区参加中国红色旅游博览会，积极参与“不忘初心、牢记使命”高峰论坛。提质左家老屋、耿传公祠、李立三故居等红色景区的内涵发展，打造一批“初心源”旅游景区，弘扬红色文化。</w:t>
      </w:r>
    </w:p>
    <w:p w14:paraId="7601287E">
      <w:pPr>
        <w:pStyle w:val="14"/>
        <w:spacing w:line="578" w:lineRule="exact"/>
        <w:ind w:firstLine="640"/>
        <w:jc w:val="both"/>
        <w:rPr>
          <w:rFonts w:eastAsia="楷体_GB2312"/>
          <w:sz w:val="32"/>
          <w:szCs w:val="32"/>
        </w:rPr>
      </w:pPr>
      <w:r>
        <w:rPr>
          <w:rFonts w:eastAsia="楷体_GB2312"/>
          <w:sz w:val="32"/>
          <w:szCs w:val="32"/>
        </w:rPr>
        <w:t>第一百一十六条  传承陶瓷文化</w:t>
      </w:r>
    </w:p>
    <w:p w14:paraId="47D14113">
      <w:pPr>
        <w:spacing w:line="578" w:lineRule="exact"/>
        <w:ind w:firstLine="640"/>
        <w:rPr>
          <w:rFonts w:cs="Times New Roman"/>
          <w:sz w:val="32"/>
          <w:szCs w:val="32"/>
        </w:rPr>
      </w:pPr>
      <w:r>
        <w:rPr>
          <w:rFonts w:cs="Times New Roman"/>
          <w:sz w:val="32"/>
          <w:szCs w:val="32"/>
        </w:rPr>
        <w:t>大力推进“陶瓷＋”工程，发展“瓷＋文旅”，依托中国陶瓷谷、1915文化特色街区、釉下五彩城、陶子湖、醴陵陶瓷会展馆等陶瓷文化主题项目，吸引陶瓷创意工作者聚集，打造“创意陶瓷特色街”。发展“瓷＋茶”文化，立足醴陵市包装陶瓷、日用陶瓷等优势，将陶瓷文化与茶文化相融合，打造“美瓷美茶”文化理念。发展“瓷+酒”“瓷＋美食”文化，加强对婚宴餐具、家用餐具的创新设计，推动“美食配美器”文化理念深入人心。</w:t>
      </w:r>
    </w:p>
    <w:p w14:paraId="3A39EBDD">
      <w:pPr>
        <w:spacing w:line="578" w:lineRule="exact"/>
        <w:ind w:firstLine="640"/>
        <w:rPr>
          <w:rFonts w:cs="Times New Roman"/>
          <w:sz w:val="32"/>
          <w:szCs w:val="32"/>
        </w:rPr>
      </w:pPr>
      <w:r>
        <w:rPr>
          <w:rFonts w:cs="Times New Roman"/>
          <w:sz w:val="32"/>
          <w:szCs w:val="32"/>
        </w:rPr>
        <w:br w:type="page"/>
      </w:r>
    </w:p>
    <w:p w14:paraId="5B736186">
      <w:pPr>
        <w:pStyle w:val="2"/>
        <w:spacing w:line="578" w:lineRule="exact"/>
        <w:rPr>
          <w:rFonts w:ascii="方正小标宋简体" w:eastAsia="方正小标宋简体" w:cs="Times New Roman"/>
          <w:b w:val="0"/>
          <w:sz w:val="44"/>
          <w:szCs w:val="44"/>
        </w:rPr>
      </w:pPr>
      <w:bookmarkStart w:id="64" w:name="_Toc101876887"/>
      <w:r>
        <w:rPr>
          <w:rFonts w:hint="eastAsia" w:ascii="方正小标宋简体" w:eastAsia="方正小标宋简体" w:cs="Times New Roman"/>
          <w:b w:val="0"/>
          <w:sz w:val="44"/>
          <w:szCs w:val="44"/>
        </w:rPr>
        <w:t>第九章  重点工程与效益分析</w:t>
      </w:r>
      <w:bookmarkEnd w:id="64"/>
    </w:p>
    <w:p w14:paraId="1A56D255">
      <w:pPr>
        <w:ind w:firstLine="560"/>
        <w:rPr>
          <w:rFonts w:cs="Times New Roman"/>
        </w:rPr>
      </w:pPr>
    </w:p>
    <w:p w14:paraId="7705E95A">
      <w:pPr>
        <w:pStyle w:val="3"/>
        <w:numPr>
          <w:ilvl w:val="0"/>
          <w:numId w:val="1"/>
        </w:numPr>
        <w:spacing w:afterLines="50" w:line="578" w:lineRule="exact"/>
        <w:rPr>
          <w:rFonts w:eastAsia="黑体" w:cs="Times New Roman"/>
          <w:b w:val="0"/>
          <w:sz w:val="32"/>
          <w:szCs w:val="32"/>
        </w:rPr>
      </w:pPr>
      <w:r>
        <w:rPr>
          <w:rFonts w:eastAsia="黑体" w:cs="Times New Roman"/>
          <w:b w:val="0"/>
          <w:sz w:val="32"/>
          <w:szCs w:val="32"/>
        </w:rPr>
        <w:t xml:space="preserve"> </w:t>
      </w:r>
      <w:bookmarkStart w:id="65" w:name="_Toc101876888"/>
      <w:r>
        <w:rPr>
          <w:rFonts w:eastAsia="黑体" w:cs="Times New Roman"/>
          <w:b w:val="0"/>
          <w:sz w:val="32"/>
          <w:szCs w:val="32"/>
        </w:rPr>
        <w:t>工程内容与投资估算</w:t>
      </w:r>
      <w:bookmarkEnd w:id="65"/>
    </w:p>
    <w:p w14:paraId="794595ED">
      <w:pPr>
        <w:pStyle w:val="14"/>
        <w:spacing w:line="578" w:lineRule="exact"/>
        <w:ind w:firstLine="640"/>
        <w:jc w:val="both"/>
        <w:rPr>
          <w:rFonts w:eastAsia="楷体_GB2312"/>
          <w:sz w:val="32"/>
          <w:szCs w:val="32"/>
        </w:rPr>
      </w:pPr>
      <w:r>
        <w:rPr>
          <w:rFonts w:eastAsia="楷体_GB2312"/>
          <w:sz w:val="32"/>
          <w:szCs w:val="32"/>
        </w:rPr>
        <w:t>第一百一十七条  工程内容与投资估算</w:t>
      </w:r>
    </w:p>
    <w:p w14:paraId="1C62CDB2">
      <w:pPr>
        <w:spacing w:line="578" w:lineRule="exact"/>
        <w:ind w:firstLine="640"/>
        <w:rPr>
          <w:rFonts w:cs="Times New Roman"/>
          <w:sz w:val="32"/>
          <w:szCs w:val="32"/>
        </w:rPr>
        <w:sectPr>
          <w:footerReference r:id="rId14" w:type="default"/>
          <w:pgSz w:w="11906" w:h="16838"/>
          <w:pgMar w:top="2098" w:right="1531" w:bottom="1701" w:left="1531" w:header="851" w:footer="1247" w:gutter="0"/>
          <w:cols w:space="425" w:num="1"/>
          <w:docGrid w:type="lines" w:linePitch="312" w:charSpace="0"/>
        </w:sectPr>
      </w:pPr>
      <w:r>
        <w:rPr>
          <w:rFonts w:cs="Times New Roman"/>
          <w:sz w:val="32"/>
          <w:szCs w:val="32"/>
        </w:rPr>
        <w:t>根据国家和省级生态文明建设示范市建设目标，以项目为载体，找出醴陵市在生态文明建设示范市创建过程中的问题和差距，实施生态制度、生态安全、生态空间、生态经济、生态生活、生态文化6个方面的重点建设项目，共计38个项目，项目总投资预计48.685亿元（详见下表）。</w:t>
      </w:r>
    </w:p>
    <w:p w14:paraId="2055C18A">
      <w:pPr>
        <w:spacing w:line="560" w:lineRule="exact"/>
        <w:ind w:firstLine="0" w:firstLineChars="0"/>
        <w:jc w:val="left"/>
        <w:rPr>
          <w:rFonts w:eastAsia="黑体" w:cs="Times New Roman"/>
          <w:bCs/>
          <w:sz w:val="32"/>
          <w:szCs w:val="32"/>
        </w:rPr>
      </w:pPr>
    </w:p>
    <w:p w14:paraId="2E30B4C7">
      <w:pPr>
        <w:spacing w:line="560" w:lineRule="exact"/>
        <w:ind w:firstLine="0" w:firstLineChars="0"/>
        <w:jc w:val="center"/>
        <w:rPr>
          <w:rFonts w:eastAsia="方正小标宋简体" w:cs="Times New Roman"/>
          <w:sz w:val="44"/>
          <w:szCs w:val="44"/>
        </w:rPr>
      </w:pPr>
      <w:r>
        <w:rPr>
          <w:rFonts w:eastAsia="方正小标宋简体" w:cs="Times New Roman"/>
          <w:bCs/>
          <w:sz w:val="44"/>
          <w:szCs w:val="44"/>
        </w:rPr>
        <w:t>醴陵市重点建设项目汇总表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7"/>
        <w:gridCol w:w="485"/>
        <w:gridCol w:w="1931"/>
        <w:gridCol w:w="5512"/>
        <w:gridCol w:w="1075"/>
        <w:gridCol w:w="1270"/>
        <w:gridCol w:w="1037"/>
        <w:gridCol w:w="1595"/>
      </w:tblGrid>
      <w:tr w14:paraId="0145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tblHeader/>
          <w:jc w:val="center"/>
        </w:trPr>
        <w:tc>
          <w:tcPr>
            <w:tcW w:w="235" w:type="pct"/>
            <w:noWrap/>
            <w:vAlign w:val="center"/>
          </w:tcPr>
          <w:p w14:paraId="570A46C1">
            <w:pPr>
              <w:overflowPunct w:val="0"/>
              <w:spacing w:line="300" w:lineRule="exact"/>
              <w:ind w:firstLine="0" w:firstLineChars="0"/>
              <w:jc w:val="center"/>
              <w:rPr>
                <w:rFonts w:eastAsia="黑体" w:cs="Times New Roman"/>
                <w:bCs/>
                <w:sz w:val="21"/>
                <w:szCs w:val="21"/>
              </w:rPr>
            </w:pPr>
            <w:r>
              <w:rPr>
                <w:rFonts w:eastAsia="黑体" w:cs="Times New Roman"/>
                <w:bCs/>
                <w:sz w:val="21"/>
                <w:szCs w:val="21"/>
              </w:rPr>
              <w:t>建设领域</w:t>
            </w:r>
          </w:p>
        </w:tc>
        <w:tc>
          <w:tcPr>
            <w:tcW w:w="179" w:type="pct"/>
            <w:noWrap/>
            <w:vAlign w:val="center"/>
          </w:tcPr>
          <w:p w14:paraId="6DC8E5AF">
            <w:pPr>
              <w:overflowPunct w:val="0"/>
              <w:spacing w:line="300" w:lineRule="exact"/>
              <w:ind w:firstLine="0" w:firstLineChars="0"/>
              <w:jc w:val="center"/>
              <w:rPr>
                <w:rFonts w:eastAsia="黑体" w:cs="Times New Roman"/>
                <w:bCs/>
                <w:sz w:val="21"/>
                <w:szCs w:val="21"/>
              </w:rPr>
            </w:pPr>
            <w:r>
              <w:rPr>
                <w:rFonts w:eastAsia="黑体" w:cs="Times New Roman"/>
                <w:bCs/>
                <w:sz w:val="21"/>
                <w:szCs w:val="21"/>
              </w:rPr>
              <w:t>序号</w:t>
            </w:r>
          </w:p>
        </w:tc>
        <w:tc>
          <w:tcPr>
            <w:tcW w:w="713" w:type="pct"/>
            <w:noWrap/>
            <w:vAlign w:val="center"/>
          </w:tcPr>
          <w:p w14:paraId="5DF7BFAC">
            <w:pPr>
              <w:overflowPunct w:val="0"/>
              <w:spacing w:line="300" w:lineRule="exact"/>
              <w:ind w:firstLine="0" w:firstLineChars="0"/>
              <w:jc w:val="center"/>
              <w:rPr>
                <w:rFonts w:eastAsia="黑体" w:cs="Times New Roman"/>
                <w:bCs/>
                <w:sz w:val="21"/>
                <w:szCs w:val="21"/>
              </w:rPr>
            </w:pPr>
            <w:r>
              <w:rPr>
                <w:rFonts w:eastAsia="黑体" w:cs="Times New Roman"/>
                <w:bCs/>
                <w:sz w:val="21"/>
                <w:szCs w:val="21"/>
              </w:rPr>
              <w:t>项目名称</w:t>
            </w:r>
          </w:p>
        </w:tc>
        <w:tc>
          <w:tcPr>
            <w:tcW w:w="2035" w:type="pct"/>
            <w:noWrap/>
            <w:vAlign w:val="center"/>
          </w:tcPr>
          <w:p w14:paraId="5B04D8FF">
            <w:pPr>
              <w:overflowPunct w:val="0"/>
              <w:spacing w:line="300" w:lineRule="exact"/>
              <w:ind w:firstLine="0" w:firstLineChars="0"/>
              <w:jc w:val="center"/>
              <w:rPr>
                <w:rFonts w:eastAsia="黑体" w:cs="Times New Roman"/>
                <w:bCs/>
                <w:sz w:val="21"/>
                <w:szCs w:val="21"/>
              </w:rPr>
            </w:pPr>
            <w:r>
              <w:rPr>
                <w:rFonts w:eastAsia="黑体" w:cs="Times New Roman"/>
                <w:bCs/>
                <w:sz w:val="21"/>
                <w:szCs w:val="21"/>
              </w:rPr>
              <w:t>建设内容</w:t>
            </w:r>
          </w:p>
        </w:tc>
        <w:tc>
          <w:tcPr>
            <w:tcW w:w="397" w:type="pct"/>
            <w:noWrap/>
            <w:vAlign w:val="center"/>
          </w:tcPr>
          <w:p w14:paraId="4C3DFA8B">
            <w:pPr>
              <w:overflowPunct w:val="0"/>
              <w:spacing w:line="300" w:lineRule="exact"/>
              <w:ind w:firstLine="0" w:firstLineChars="0"/>
              <w:jc w:val="center"/>
              <w:rPr>
                <w:rFonts w:eastAsia="黑体" w:cs="Times New Roman"/>
                <w:bCs/>
                <w:sz w:val="21"/>
                <w:szCs w:val="21"/>
              </w:rPr>
            </w:pPr>
            <w:r>
              <w:rPr>
                <w:rFonts w:eastAsia="黑体" w:cs="Times New Roman"/>
                <w:bCs/>
                <w:sz w:val="21"/>
                <w:szCs w:val="21"/>
              </w:rPr>
              <w:t>项目属性</w:t>
            </w:r>
          </w:p>
        </w:tc>
        <w:tc>
          <w:tcPr>
            <w:tcW w:w="469" w:type="pct"/>
            <w:noWrap/>
            <w:vAlign w:val="center"/>
          </w:tcPr>
          <w:p w14:paraId="395F6866">
            <w:pPr>
              <w:overflowPunct w:val="0"/>
              <w:spacing w:line="300" w:lineRule="exact"/>
              <w:ind w:firstLine="0" w:firstLineChars="0"/>
              <w:jc w:val="center"/>
              <w:rPr>
                <w:rFonts w:eastAsia="黑体" w:cs="Times New Roman"/>
                <w:bCs/>
                <w:sz w:val="21"/>
                <w:szCs w:val="21"/>
              </w:rPr>
            </w:pPr>
            <w:r>
              <w:rPr>
                <w:rFonts w:eastAsia="黑体" w:cs="Times New Roman"/>
                <w:bCs/>
                <w:sz w:val="21"/>
                <w:szCs w:val="21"/>
              </w:rPr>
              <w:t>建设年限</w:t>
            </w:r>
          </w:p>
        </w:tc>
        <w:tc>
          <w:tcPr>
            <w:tcW w:w="383" w:type="pct"/>
            <w:noWrap/>
            <w:vAlign w:val="center"/>
          </w:tcPr>
          <w:p w14:paraId="5F85B529">
            <w:pPr>
              <w:overflowPunct w:val="0"/>
              <w:spacing w:line="300" w:lineRule="exact"/>
              <w:ind w:firstLine="0" w:firstLineChars="0"/>
              <w:jc w:val="center"/>
              <w:rPr>
                <w:rFonts w:eastAsia="黑体" w:cs="Times New Roman"/>
                <w:bCs/>
                <w:sz w:val="21"/>
                <w:szCs w:val="21"/>
              </w:rPr>
            </w:pPr>
            <w:r>
              <w:rPr>
                <w:rFonts w:eastAsia="黑体" w:cs="Times New Roman"/>
                <w:bCs/>
                <w:sz w:val="21"/>
                <w:szCs w:val="21"/>
              </w:rPr>
              <w:t>总投资（万元）</w:t>
            </w:r>
          </w:p>
        </w:tc>
        <w:tc>
          <w:tcPr>
            <w:tcW w:w="589" w:type="pct"/>
            <w:noWrap/>
            <w:vAlign w:val="center"/>
          </w:tcPr>
          <w:p w14:paraId="05594BDF">
            <w:pPr>
              <w:overflowPunct w:val="0"/>
              <w:spacing w:line="300" w:lineRule="exact"/>
              <w:ind w:firstLine="0" w:firstLineChars="0"/>
              <w:jc w:val="center"/>
              <w:rPr>
                <w:rFonts w:eastAsia="黑体" w:cs="Times New Roman"/>
                <w:bCs/>
                <w:sz w:val="21"/>
                <w:szCs w:val="21"/>
              </w:rPr>
            </w:pPr>
            <w:r>
              <w:rPr>
                <w:rFonts w:eastAsia="黑体" w:cs="Times New Roman"/>
                <w:bCs/>
                <w:sz w:val="21"/>
                <w:szCs w:val="21"/>
              </w:rPr>
              <w:t>责任单位</w:t>
            </w:r>
          </w:p>
        </w:tc>
      </w:tr>
      <w:tr w14:paraId="278F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restart"/>
            <w:noWrap/>
            <w:vAlign w:val="center"/>
          </w:tcPr>
          <w:p w14:paraId="31A501B4">
            <w:pPr>
              <w:overflowPunct w:val="0"/>
              <w:spacing w:line="300" w:lineRule="exact"/>
              <w:ind w:firstLine="0" w:firstLineChars="0"/>
              <w:jc w:val="center"/>
              <w:rPr>
                <w:rFonts w:cs="Times New Roman"/>
                <w:sz w:val="21"/>
                <w:szCs w:val="21"/>
              </w:rPr>
            </w:pPr>
            <w:r>
              <w:rPr>
                <w:rFonts w:cs="Times New Roman"/>
                <w:sz w:val="21"/>
                <w:szCs w:val="21"/>
              </w:rPr>
              <w:t>生态制度建设</w:t>
            </w:r>
          </w:p>
        </w:tc>
        <w:tc>
          <w:tcPr>
            <w:tcW w:w="179" w:type="pct"/>
            <w:noWrap/>
            <w:vAlign w:val="center"/>
          </w:tcPr>
          <w:p w14:paraId="181D80DD">
            <w:pPr>
              <w:overflowPunct w:val="0"/>
              <w:spacing w:line="300" w:lineRule="exact"/>
              <w:ind w:firstLine="0" w:firstLineChars="0"/>
              <w:jc w:val="center"/>
              <w:rPr>
                <w:rFonts w:cs="Times New Roman"/>
                <w:bCs/>
                <w:sz w:val="21"/>
                <w:szCs w:val="21"/>
              </w:rPr>
            </w:pPr>
            <w:r>
              <w:rPr>
                <w:rFonts w:cs="Times New Roman"/>
                <w:bCs/>
                <w:sz w:val="21"/>
                <w:szCs w:val="21"/>
              </w:rPr>
              <w:t>1</w:t>
            </w:r>
          </w:p>
        </w:tc>
        <w:tc>
          <w:tcPr>
            <w:tcW w:w="713" w:type="pct"/>
            <w:noWrap/>
            <w:vAlign w:val="center"/>
          </w:tcPr>
          <w:p w14:paraId="374E3668">
            <w:pPr>
              <w:overflowPunct w:val="0"/>
              <w:spacing w:line="300" w:lineRule="exact"/>
              <w:ind w:firstLine="0" w:firstLineChars="0"/>
              <w:jc w:val="center"/>
              <w:rPr>
                <w:rFonts w:cs="Times New Roman"/>
                <w:sz w:val="21"/>
                <w:szCs w:val="21"/>
              </w:rPr>
            </w:pPr>
            <w:r>
              <w:rPr>
                <w:rFonts w:cs="Times New Roman"/>
                <w:sz w:val="21"/>
                <w:szCs w:val="21"/>
              </w:rPr>
              <w:t>生态文明建设</w:t>
            </w:r>
          </w:p>
          <w:p w14:paraId="680B8340">
            <w:pPr>
              <w:overflowPunct w:val="0"/>
              <w:spacing w:line="300" w:lineRule="exact"/>
              <w:ind w:firstLine="0" w:firstLineChars="0"/>
              <w:jc w:val="center"/>
              <w:rPr>
                <w:rFonts w:cs="Times New Roman"/>
                <w:sz w:val="21"/>
                <w:szCs w:val="21"/>
              </w:rPr>
            </w:pPr>
            <w:r>
              <w:rPr>
                <w:rFonts w:cs="Times New Roman"/>
                <w:sz w:val="21"/>
                <w:szCs w:val="21"/>
              </w:rPr>
              <w:t>示范市规划编制</w:t>
            </w:r>
          </w:p>
        </w:tc>
        <w:tc>
          <w:tcPr>
            <w:tcW w:w="2035" w:type="pct"/>
            <w:noWrap/>
            <w:vAlign w:val="center"/>
          </w:tcPr>
          <w:p w14:paraId="36EADC43">
            <w:pPr>
              <w:overflowPunct w:val="0"/>
              <w:spacing w:line="300" w:lineRule="exact"/>
              <w:ind w:firstLine="0" w:firstLineChars="0"/>
              <w:rPr>
                <w:rFonts w:cs="Times New Roman"/>
                <w:sz w:val="21"/>
                <w:szCs w:val="21"/>
              </w:rPr>
            </w:pPr>
            <w:r>
              <w:rPr>
                <w:rFonts w:cs="Times New Roman"/>
                <w:sz w:val="21"/>
                <w:szCs w:val="21"/>
              </w:rPr>
              <w:t>编制《湖南省株洲市醴陵市生态文明建设示范市规划（2021—2030年）》。</w:t>
            </w:r>
          </w:p>
        </w:tc>
        <w:tc>
          <w:tcPr>
            <w:tcW w:w="397" w:type="pct"/>
            <w:noWrap/>
            <w:vAlign w:val="center"/>
          </w:tcPr>
          <w:p w14:paraId="2FB5C990">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02CCF34E">
            <w:pPr>
              <w:overflowPunct w:val="0"/>
              <w:spacing w:line="300" w:lineRule="exact"/>
              <w:ind w:firstLine="0" w:firstLineChars="0"/>
              <w:jc w:val="center"/>
              <w:rPr>
                <w:rFonts w:cs="Times New Roman"/>
                <w:sz w:val="21"/>
                <w:szCs w:val="21"/>
              </w:rPr>
            </w:pPr>
            <w:r>
              <w:rPr>
                <w:rFonts w:cs="Times New Roman"/>
                <w:sz w:val="21"/>
                <w:szCs w:val="21"/>
              </w:rPr>
              <w:t>2021—2022</w:t>
            </w:r>
          </w:p>
        </w:tc>
        <w:tc>
          <w:tcPr>
            <w:tcW w:w="383" w:type="pct"/>
            <w:noWrap/>
            <w:vAlign w:val="center"/>
          </w:tcPr>
          <w:p w14:paraId="66E5104C">
            <w:pPr>
              <w:spacing w:line="300" w:lineRule="exact"/>
              <w:ind w:firstLine="0" w:firstLineChars="0"/>
              <w:jc w:val="center"/>
              <w:rPr>
                <w:rFonts w:cs="Times New Roman"/>
                <w:sz w:val="21"/>
                <w:szCs w:val="21"/>
              </w:rPr>
            </w:pPr>
            <w:r>
              <w:rPr>
                <w:rFonts w:cs="Times New Roman"/>
                <w:sz w:val="21"/>
                <w:szCs w:val="21"/>
              </w:rPr>
              <w:t>100</w:t>
            </w:r>
          </w:p>
        </w:tc>
        <w:tc>
          <w:tcPr>
            <w:tcW w:w="589" w:type="pct"/>
            <w:noWrap/>
            <w:vAlign w:val="center"/>
          </w:tcPr>
          <w:p w14:paraId="753EFE65">
            <w:pPr>
              <w:overflowPunct w:val="0"/>
              <w:spacing w:line="300" w:lineRule="exact"/>
              <w:ind w:firstLine="0" w:firstLineChars="0"/>
              <w:jc w:val="center"/>
              <w:rPr>
                <w:rFonts w:cs="Times New Roman"/>
                <w:sz w:val="21"/>
                <w:szCs w:val="21"/>
              </w:rPr>
            </w:pPr>
            <w:r>
              <w:rPr>
                <w:rFonts w:cs="Times New Roman"/>
                <w:sz w:val="21"/>
                <w:szCs w:val="21"/>
              </w:rPr>
              <w:t>株洲市生态环境局醴陵分局</w:t>
            </w:r>
          </w:p>
        </w:tc>
      </w:tr>
      <w:tr w14:paraId="0247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jc w:val="center"/>
        </w:trPr>
        <w:tc>
          <w:tcPr>
            <w:tcW w:w="235" w:type="pct"/>
            <w:vMerge w:val="continue"/>
            <w:noWrap/>
            <w:vAlign w:val="center"/>
          </w:tcPr>
          <w:p w14:paraId="7E03C302">
            <w:pPr>
              <w:overflowPunct w:val="0"/>
              <w:spacing w:line="300" w:lineRule="exact"/>
              <w:ind w:firstLine="0" w:firstLineChars="0"/>
              <w:jc w:val="center"/>
              <w:rPr>
                <w:rFonts w:cs="Times New Roman"/>
                <w:sz w:val="21"/>
                <w:szCs w:val="21"/>
              </w:rPr>
            </w:pPr>
          </w:p>
        </w:tc>
        <w:tc>
          <w:tcPr>
            <w:tcW w:w="179" w:type="pct"/>
            <w:noWrap/>
            <w:vAlign w:val="center"/>
          </w:tcPr>
          <w:p w14:paraId="6DFD8410">
            <w:pPr>
              <w:overflowPunct w:val="0"/>
              <w:spacing w:line="300" w:lineRule="exact"/>
              <w:ind w:firstLine="0" w:firstLineChars="0"/>
              <w:jc w:val="center"/>
              <w:rPr>
                <w:rFonts w:cs="Times New Roman"/>
                <w:bCs/>
                <w:sz w:val="21"/>
                <w:szCs w:val="21"/>
              </w:rPr>
            </w:pPr>
            <w:r>
              <w:rPr>
                <w:rFonts w:cs="Times New Roman"/>
                <w:bCs/>
                <w:sz w:val="21"/>
                <w:szCs w:val="21"/>
              </w:rPr>
              <w:t>2</w:t>
            </w:r>
          </w:p>
        </w:tc>
        <w:tc>
          <w:tcPr>
            <w:tcW w:w="713" w:type="pct"/>
            <w:noWrap/>
            <w:vAlign w:val="center"/>
          </w:tcPr>
          <w:p w14:paraId="6FA41AD5">
            <w:pPr>
              <w:overflowPunct w:val="0"/>
              <w:spacing w:line="300" w:lineRule="exact"/>
              <w:ind w:firstLine="0" w:firstLineChars="0"/>
              <w:jc w:val="center"/>
              <w:rPr>
                <w:rFonts w:cs="Times New Roman"/>
                <w:sz w:val="21"/>
                <w:szCs w:val="21"/>
              </w:rPr>
            </w:pPr>
            <w:r>
              <w:rPr>
                <w:rFonts w:cs="Times New Roman"/>
                <w:sz w:val="21"/>
                <w:szCs w:val="21"/>
              </w:rPr>
              <w:t>生态文明建设</w:t>
            </w:r>
          </w:p>
          <w:p w14:paraId="1B6DDA18">
            <w:pPr>
              <w:overflowPunct w:val="0"/>
              <w:spacing w:line="300" w:lineRule="exact"/>
              <w:ind w:firstLine="0" w:firstLineChars="0"/>
              <w:jc w:val="center"/>
              <w:rPr>
                <w:rFonts w:cs="Times New Roman"/>
                <w:sz w:val="21"/>
                <w:szCs w:val="21"/>
              </w:rPr>
            </w:pPr>
            <w:r>
              <w:rPr>
                <w:rFonts w:cs="Times New Roman"/>
                <w:sz w:val="21"/>
                <w:szCs w:val="21"/>
              </w:rPr>
              <w:t>示范镇村创建</w:t>
            </w:r>
          </w:p>
        </w:tc>
        <w:tc>
          <w:tcPr>
            <w:tcW w:w="2035" w:type="pct"/>
            <w:noWrap/>
            <w:vAlign w:val="center"/>
          </w:tcPr>
          <w:p w14:paraId="3EBD70CF">
            <w:pPr>
              <w:overflowPunct w:val="0"/>
              <w:spacing w:line="300" w:lineRule="exact"/>
              <w:ind w:firstLine="0" w:firstLineChars="0"/>
              <w:rPr>
                <w:rFonts w:cs="Times New Roman"/>
                <w:sz w:val="21"/>
                <w:szCs w:val="21"/>
              </w:rPr>
            </w:pPr>
            <w:r>
              <w:rPr>
                <w:rFonts w:cs="Times New Roman"/>
                <w:sz w:val="21"/>
                <w:szCs w:val="21"/>
              </w:rPr>
              <w:t>市域范围内满足申报条件和有申报意愿的镇（街道）、村（社区）编制生态文明建设实施方案并组织实施和开展生态文明建设示范镇村创建。</w:t>
            </w:r>
          </w:p>
        </w:tc>
        <w:tc>
          <w:tcPr>
            <w:tcW w:w="397" w:type="pct"/>
            <w:noWrap/>
            <w:vAlign w:val="center"/>
          </w:tcPr>
          <w:p w14:paraId="23422C33">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57E91DAB">
            <w:pPr>
              <w:overflowPunct w:val="0"/>
              <w:spacing w:line="300" w:lineRule="exact"/>
              <w:ind w:firstLine="0" w:firstLineChars="0"/>
              <w:jc w:val="center"/>
              <w:rPr>
                <w:rFonts w:cs="Times New Roman"/>
                <w:sz w:val="21"/>
                <w:szCs w:val="21"/>
              </w:rPr>
            </w:pPr>
            <w:r>
              <w:rPr>
                <w:rFonts w:cs="Times New Roman"/>
                <w:sz w:val="21"/>
                <w:szCs w:val="21"/>
              </w:rPr>
              <w:t>2021—2030</w:t>
            </w:r>
          </w:p>
        </w:tc>
        <w:tc>
          <w:tcPr>
            <w:tcW w:w="383" w:type="pct"/>
            <w:noWrap/>
            <w:vAlign w:val="center"/>
          </w:tcPr>
          <w:p w14:paraId="1756F6E5">
            <w:pPr>
              <w:spacing w:line="300" w:lineRule="exact"/>
              <w:ind w:firstLine="0" w:firstLineChars="0"/>
              <w:jc w:val="center"/>
              <w:rPr>
                <w:rFonts w:cs="Times New Roman"/>
                <w:sz w:val="21"/>
                <w:szCs w:val="21"/>
              </w:rPr>
            </w:pPr>
            <w:r>
              <w:rPr>
                <w:rFonts w:cs="Times New Roman"/>
                <w:sz w:val="21"/>
                <w:szCs w:val="21"/>
              </w:rPr>
              <w:t>100</w:t>
            </w:r>
          </w:p>
        </w:tc>
        <w:tc>
          <w:tcPr>
            <w:tcW w:w="589" w:type="pct"/>
            <w:noWrap/>
            <w:vAlign w:val="center"/>
          </w:tcPr>
          <w:p w14:paraId="36F6CA0E">
            <w:pPr>
              <w:overflowPunct w:val="0"/>
              <w:spacing w:line="300" w:lineRule="exact"/>
              <w:ind w:firstLine="0" w:firstLineChars="0"/>
              <w:jc w:val="center"/>
              <w:rPr>
                <w:rFonts w:cs="Times New Roman"/>
                <w:sz w:val="21"/>
                <w:szCs w:val="21"/>
              </w:rPr>
            </w:pPr>
            <w:r>
              <w:rPr>
                <w:rFonts w:cs="Times New Roman"/>
                <w:sz w:val="21"/>
                <w:szCs w:val="21"/>
              </w:rPr>
              <w:t>株洲市生态环境局醴陵分局</w:t>
            </w:r>
          </w:p>
        </w:tc>
      </w:tr>
      <w:tr w14:paraId="393B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restart"/>
            <w:noWrap/>
            <w:vAlign w:val="center"/>
          </w:tcPr>
          <w:p w14:paraId="0C7B1463">
            <w:pPr>
              <w:overflowPunct w:val="0"/>
              <w:spacing w:line="300" w:lineRule="exact"/>
              <w:ind w:firstLine="0" w:firstLineChars="0"/>
              <w:jc w:val="center"/>
              <w:rPr>
                <w:rFonts w:cs="Times New Roman"/>
                <w:sz w:val="21"/>
                <w:szCs w:val="21"/>
              </w:rPr>
            </w:pPr>
            <w:r>
              <w:rPr>
                <w:rFonts w:cs="Times New Roman"/>
                <w:sz w:val="21"/>
                <w:szCs w:val="21"/>
              </w:rPr>
              <w:t>生态安全建设</w:t>
            </w:r>
          </w:p>
        </w:tc>
        <w:tc>
          <w:tcPr>
            <w:tcW w:w="179" w:type="pct"/>
            <w:noWrap/>
            <w:vAlign w:val="center"/>
          </w:tcPr>
          <w:p w14:paraId="4611918D">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3</w:t>
            </w:r>
          </w:p>
        </w:tc>
        <w:tc>
          <w:tcPr>
            <w:tcW w:w="713" w:type="pct"/>
            <w:noWrap/>
            <w:vAlign w:val="center"/>
          </w:tcPr>
          <w:p w14:paraId="7687C609">
            <w:pPr>
              <w:overflowPunct w:val="0"/>
              <w:spacing w:line="300" w:lineRule="exact"/>
              <w:ind w:firstLine="0" w:firstLineChars="0"/>
              <w:jc w:val="center"/>
              <w:rPr>
                <w:rFonts w:cs="Times New Roman"/>
                <w:sz w:val="21"/>
                <w:szCs w:val="21"/>
              </w:rPr>
            </w:pPr>
            <w:r>
              <w:rPr>
                <w:rFonts w:cs="Times New Roman"/>
                <w:sz w:val="21"/>
                <w:szCs w:val="21"/>
              </w:rPr>
              <w:t>水土流失综合</w:t>
            </w:r>
          </w:p>
          <w:p w14:paraId="5E825CB0">
            <w:pPr>
              <w:overflowPunct w:val="0"/>
              <w:spacing w:line="300" w:lineRule="exact"/>
              <w:ind w:firstLine="0" w:firstLineChars="0"/>
              <w:jc w:val="center"/>
              <w:rPr>
                <w:rFonts w:cs="Times New Roman"/>
                <w:sz w:val="21"/>
                <w:szCs w:val="21"/>
              </w:rPr>
            </w:pPr>
            <w:r>
              <w:rPr>
                <w:rFonts w:cs="Times New Roman"/>
                <w:sz w:val="21"/>
                <w:szCs w:val="21"/>
              </w:rPr>
              <w:t>防治项目</w:t>
            </w:r>
          </w:p>
        </w:tc>
        <w:tc>
          <w:tcPr>
            <w:tcW w:w="2035" w:type="pct"/>
            <w:noWrap/>
            <w:vAlign w:val="center"/>
          </w:tcPr>
          <w:p w14:paraId="7A70C85A">
            <w:pPr>
              <w:overflowPunct w:val="0"/>
              <w:spacing w:line="300" w:lineRule="exact"/>
              <w:ind w:firstLine="0" w:firstLineChars="0"/>
              <w:rPr>
                <w:rFonts w:cs="Times New Roman"/>
                <w:sz w:val="21"/>
                <w:szCs w:val="21"/>
              </w:rPr>
            </w:pPr>
            <w:r>
              <w:rPr>
                <w:rFonts w:cs="Times New Roman"/>
                <w:sz w:val="21"/>
                <w:szCs w:val="21"/>
              </w:rPr>
              <w:t>石亭镇樟树河等河流实施生态清洁小流域建设，开展水土保持综合治理。</w:t>
            </w:r>
          </w:p>
        </w:tc>
        <w:tc>
          <w:tcPr>
            <w:tcW w:w="397" w:type="pct"/>
            <w:noWrap/>
            <w:vAlign w:val="center"/>
          </w:tcPr>
          <w:p w14:paraId="04E1AA88">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752D830A">
            <w:pPr>
              <w:overflowPunct w:val="0"/>
              <w:spacing w:line="300" w:lineRule="exact"/>
              <w:ind w:firstLine="0" w:firstLineChars="0"/>
              <w:jc w:val="center"/>
              <w:rPr>
                <w:rFonts w:cs="Times New Roman"/>
                <w:sz w:val="21"/>
                <w:szCs w:val="21"/>
              </w:rPr>
            </w:pPr>
            <w:r>
              <w:rPr>
                <w:rFonts w:cs="Times New Roman"/>
                <w:sz w:val="21"/>
                <w:szCs w:val="21"/>
              </w:rPr>
              <w:t>2021—2025</w:t>
            </w:r>
          </w:p>
        </w:tc>
        <w:tc>
          <w:tcPr>
            <w:tcW w:w="383" w:type="pct"/>
            <w:noWrap/>
            <w:vAlign w:val="center"/>
          </w:tcPr>
          <w:p w14:paraId="7AC3AD09">
            <w:pPr>
              <w:spacing w:line="300" w:lineRule="exact"/>
              <w:ind w:firstLine="0" w:firstLineChars="0"/>
              <w:jc w:val="center"/>
              <w:rPr>
                <w:rFonts w:cs="Times New Roman"/>
                <w:sz w:val="21"/>
                <w:szCs w:val="21"/>
              </w:rPr>
            </w:pPr>
            <w:r>
              <w:rPr>
                <w:rFonts w:cs="Times New Roman"/>
                <w:sz w:val="21"/>
                <w:szCs w:val="21"/>
              </w:rPr>
              <w:t>600</w:t>
            </w:r>
          </w:p>
        </w:tc>
        <w:tc>
          <w:tcPr>
            <w:tcW w:w="589" w:type="pct"/>
            <w:noWrap/>
            <w:vAlign w:val="center"/>
          </w:tcPr>
          <w:p w14:paraId="3AFCF373">
            <w:pPr>
              <w:overflowPunct w:val="0"/>
              <w:spacing w:line="300" w:lineRule="exact"/>
              <w:ind w:firstLine="0" w:firstLineChars="0"/>
              <w:jc w:val="center"/>
              <w:rPr>
                <w:rFonts w:cs="Times New Roman"/>
                <w:sz w:val="21"/>
                <w:szCs w:val="21"/>
              </w:rPr>
            </w:pPr>
            <w:r>
              <w:rPr>
                <w:rFonts w:cs="Times New Roman"/>
                <w:sz w:val="21"/>
                <w:szCs w:val="21"/>
              </w:rPr>
              <w:t>市水利局</w:t>
            </w:r>
          </w:p>
        </w:tc>
      </w:tr>
      <w:tr w14:paraId="3CAC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noWrap/>
            <w:vAlign w:val="center"/>
          </w:tcPr>
          <w:p w14:paraId="5BA92F8A">
            <w:pPr>
              <w:overflowPunct w:val="0"/>
              <w:spacing w:line="300" w:lineRule="exact"/>
              <w:ind w:firstLine="0" w:firstLineChars="0"/>
              <w:jc w:val="center"/>
              <w:rPr>
                <w:rFonts w:cs="Times New Roman"/>
                <w:sz w:val="21"/>
                <w:szCs w:val="21"/>
              </w:rPr>
            </w:pPr>
          </w:p>
        </w:tc>
        <w:tc>
          <w:tcPr>
            <w:tcW w:w="179" w:type="pct"/>
            <w:noWrap/>
            <w:vAlign w:val="center"/>
          </w:tcPr>
          <w:p w14:paraId="333AF4B7">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4</w:t>
            </w:r>
          </w:p>
        </w:tc>
        <w:tc>
          <w:tcPr>
            <w:tcW w:w="713" w:type="pct"/>
            <w:noWrap/>
            <w:vAlign w:val="center"/>
          </w:tcPr>
          <w:p w14:paraId="22D5DB40">
            <w:pPr>
              <w:overflowPunct w:val="0"/>
              <w:spacing w:line="300" w:lineRule="exact"/>
              <w:ind w:firstLine="0" w:firstLineChars="0"/>
              <w:jc w:val="center"/>
              <w:rPr>
                <w:rFonts w:cs="Times New Roman"/>
                <w:sz w:val="21"/>
                <w:szCs w:val="21"/>
              </w:rPr>
            </w:pPr>
            <w:r>
              <w:rPr>
                <w:rFonts w:cs="Times New Roman"/>
                <w:sz w:val="21"/>
                <w:szCs w:val="21"/>
              </w:rPr>
              <w:t>重点流域水环境综合治理项目</w:t>
            </w:r>
          </w:p>
        </w:tc>
        <w:tc>
          <w:tcPr>
            <w:tcW w:w="2035" w:type="pct"/>
            <w:noWrap/>
            <w:vAlign w:val="center"/>
          </w:tcPr>
          <w:p w14:paraId="0F029AF5">
            <w:pPr>
              <w:overflowPunct w:val="0"/>
              <w:spacing w:line="300" w:lineRule="exact"/>
              <w:ind w:firstLine="0" w:firstLineChars="0"/>
              <w:rPr>
                <w:rFonts w:cs="Times New Roman"/>
                <w:sz w:val="21"/>
                <w:szCs w:val="21"/>
              </w:rPr>
            </w:pPr>
            <w:r>
              <w:rPr>
                <w:rFonts w:cs="Times New Roman"/>
                <w:sz w:val="21"/>
                <w:szCs w:val="21"/>
              </w:rPr>
              <w:t>综合治理店香河、藕塘、荷田水库等流域水环境，做好码头复绿、样板河打造、河道清淤、标识牌设置等。</w:t>
            </w:r>
          </w:p>
        </w:tc>
        <w:tc>
          <w:tcPr>
            <w:tcW w:w="397" w:type="pct"/>
            <w:noWrap/>
            <w:vAlign w:val="center"/>
          </w:tcPr>
          <w:p w14:paraId="69CBF2CB">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6177B4FE">
            <w:pPr>
              <w:overflowPunct w:val="0"/>
              <w:spacing w:line="300" w:lineRule="exact"/>
              <w:ind w:firstLine="0" w:firstLineChars="0"/>
              <w:jc w:val="center"/>
              <w:rPr>
                <w:rFonts w:cs="Times New Roman"/>
                <w:sz w:val="21"/>
                <w:szCs w:val="21"/>
              </w:rPr>
            </w:pPr>
            <w:r>
              <w:rPr>
                <w:rFonts w:cs="Times New Roman"/>
                <w:sz w:val="21"/>
                <w:szCs w:val="21"/>
              </w:rPr>
              <w:t>2021—2030</w:t>
            </w:r>
          </w:p>
        </w:tc>
        <w:tc>
          <w:tcPr>
            <w:tcW w:w="383" w:type="pct"/>
            <w:noWrap/>
            <w:vAlign w:val="center"/>
          </w:tcPr>
          <w:p w14:paraId="53E77391">
            <w:pPr>
              <w:spacing w:line="300" w:lineRule="exact"/>
              <w:ind w:firstLine="0" w:firstLineChars="0"/>
              <w:jc w:val="center"/>
              <w:rPr>
                <w:rFonts w:cs="Times New Roman"/>
                <w:sz w:val="21"/>
                <w:szCs w:val="21"/>
              </w:rPr>
            </w:pPr>
            <w:r>
              <w:rPr>
                <w:rFonts w:cs="Times New Roman"/>
                <w:sz w:val="21"/>
                <w:szCs w:val="21"/>
              </w:rPr>
              <w:t>8000</w:t>
            </w:r>
          </w:p>
        </w:tc>
        <w:tc>
          <w:tcPr>
            <w:tcW w:w="589" w:type="pct"/>
            <w:noWrap/>
            <w:vAlign w:val="center"/>
          </w:tcPr>
          <w:p w14:paraId="2BE68C7A">
            <w:pPr>
              <w:overflowPunct w:val="0"/>
              <w:spacing w:line="300" w:lineRule="exact"/>
              <w:ind w:firstLine="0" w:firstLineChars="0"/>
              <w:jc w:val="center"/>
              <w:rPr>
                <w:rFonts w:cs="Times New Roman"/>
                <w:sz w:val="21"/>
                <w:szCs w:val="21"/>
              </w:rPr>
            </w:pPr>
            <w:r>
              <w:rPr>
                <w:rFonts w:cs="Times New Roman"/>
                <w:sz w:val="21"/>
                <w:szCs w:val="21"/>
              </w:rPr>
              <w:t>市水利局</w:t>
            </w:r>
          </w:p>
        </w:tc>
      </w:tr>
      <w:tr w14:paraId="7009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noWrap/>
            <w:vAlign w:val="center"/>
          </w:tcPr>
          <w:p w14:paraId="6EF8E3BA">
            <w:pPr>
              <w:overflowPunct w:val="0"/>
              <w:spacing w:line="300" w:lineRule="exact"/>
              <w:ind w:firstLine="0" w:firstLineChars="0"/>
              <w:jc w:val="center"/>
              <w:rPr>
                <w:rFonts w:cs="Times New Roman"/>
                <w:sz w:val="21"/>
                <w:szCs w:val="21"/>
              </w:rPr>
            </w:pPr>
          </w:p>
        </w:tc>
        <w:tc>
          <w:tcPr>
            <w:tcW w:w="179" w:type="pct"/>
            <w:noWrap/>
            <w:vAlign w:val="center"/>
          </w:tcPr>
          <w:p w14:paraId="4C4A859B">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5</w:t>
            </w:r>
          </w:p>
        </w:tc>
        <w:tc>
          <w:tcPr>
            <w:tcW w:w="713" w:type="pct"/>
            <w:noWrap/>
            <w:vAlign w:val="center"/>
          </w:tcPr>
          <w:p w14:paraId="0EFA3C65">
            <w:pPr>
              <w:overflowPunct w:val="0"/>
              <w:spacing w:line="300" w:lineRule="exact"/>
              <w:ind w:firstLine="0" w:firstLineChars="0"/>
              <w:jc w:val="center"/>
              <w:rPr>
                <w:rFonts w:cs="Times New Roman"/>
                <w:sz w:val="21"/>
                <w:szCs w:val="21"/>
              </w:rPr>
            </w:pPr>
            <w:r>
              <w:rPr>
                <w:rFonts w:cs="Times New Roman"/>
                <w:sz w:val="21"/>
                <w:szCs w:val="21"/>
              </w:rPr>
              <w:t>工业园区污水</w:t>
            </w:r>
          </w:p>
          <w:p w14:paraId="11461833">
            <w:pPr>
              <w:overflowPunct w:val="0"/>
              <w:spacing w:line="300" w:lineRule="exact"/>
              <w:ind w:firstLine="0" w:firstLineChars="0"/>
              <w:jc w:val="center"/>
              <w:rPr>
                <w:rFonts w:cs="Times New Roman"/>
                <w:sz w:val="21"/>
                <w:szCs w:val="21"/>
              </w:rPr>
            </w:pPr>
            <w:r>
              <w:rPr>
                <w:rFonts w:cs="Times New Roman"/>
                <w:sz w:val="21"/>
                <w:szCs w:val="21"/>
              </w:rPr>
              <w:t>处理工程</w:t>
            </w:r>
          </w:p>
        </w:tc>
        <w:tc>
          <w:tcPr>
            <w:tcW w:w="2035" w:type="pct"/>
            <w:noWrap/>
            <w:vAlign w:val="center"/>
          </w:tcPr>
          <w:p w14:paraId="68031549">
            <w:pPr>
              <w:overflowPunct w:val="0"/>
              <w:spacing w:line="300" w:lineRule="exact"/>
              <w:ind w:firstLine="0" w:firstLineChars="0"/>
              <w:rPr>
                <w:rFonts w:cs="Times New Roman"/>
                <w:sz w:val="21"/>
                <w:szCs w:val="21"/>
              </w:rPr>
            </w:pPr>
            <w:r>
              <w:rPr>
                <w:rFonts w:cs="Times New Roman"/>
                <w:sz w:val="21"/>
                <w:szCs w:val="21"/>
              </w:rPr>
              <w:t>东富工业园片区新建管网4千米，瓷谷、陶子湖片区新建管网5千米。</w:t>
            </w:r>
          </w:p>
        </w:tc>
        <w:tc>
          <w:tcPr>
            <w:tcW w:w="397" w:type="pct"/>
            <w:noWrap/>
            <w:vAlign w:val="center"/>
          </w:tcPr>
          <w:p w14:paraId="7A6FD580">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5AF94B4E">
            <w:pPr>
              <w:overflowPunct w:val="0"/>
              <w:spacing w:line="300" w:lineRule="exact"/>
              <w:ind w:firstLine="0" w:firstLineChars="0"/>
              <w:jc w:val="center"/>
              <w:rPr>
                <w:rFonts w:cs="Times New Roman"/>
                <w:sz w:val="21"/>
                <w:szCs w:val="21"/>
              </w:rPr>
            </w:pPr>
            <w:r>
              <w:rPr>
                <w:rFonts w:cs="Times New Roman"/>
                <w:sz w:val="21"/>
                <w:szCs w:val="21"/>
              </w:rPr>
              <w:t>2021—2025</w:t>
            </w:r>
          </w:p>
        </w:tc>
        <w:tc>
          <w:tcPr>
            <w:tcW w:w="383" w:type="pct"/>
            <w:noWrap/>
            <w:vAlign w:val="center"/>
          </w:tcPr>
          <w:p w14:paraId="1BE7A3BB">
            <w:pPr>
              <w:spacing w:line="300" w:lineRule="exact"/>
              <w:ind w:firstLine="0" w:firstLineChars="0"/>
              <w:jc w:val="center"/>
              <w:rPr>
                <w:rFonts w:cs="Times New Roman"/>
                <w:sz w:val="21"/>
                <w:szCs w:val="21"/>
              </w:rPr>
            </w:pPr>
            <w:r>
              <w:rPr>
                <w:rFonts w:cs="Times New Roman"/>
                <w:sz w:val="21"/>
                <w:szCs w:val="21"/>
              </w:rPr>
              <w:t>6000</w:t>
            </w:r>
          </w:p>
        </w:tc>
        <w:tc>
          <w:tcPr>
            <w:tcW w:w="589" w:type="pct"/>
            <w:noWrap/>
            <w:vAlign w:val="center"/>
          </w:tcPr>
          <w:p w14:paraId="412A76CE">
            <w:pPr>
              <w:overflowPunct w:val="0"/>
              <w:spacing w:line="300" w:lineRule="exact"/>
              <w:ind w:firstLine="0" w:firstLineChars="0"/>
              <w:jc w:val="center"/>
              <w:rPr>
                <w:rFonts w:cs="Times New Roman"/>
                <w:sz w:val="21"/>
                <w:szCs w:val="21"/>
              </w:rPr>
            </w:pPr>
            <w:r>
              <w:rPr>
                <w:rFonts w:cs="Times New Roman"/>
                <w:sz w:val="21"/>
                <w:szCs w:val="21"/>
              </w:rPr>
              <w:t>市住建局</w:t>
            </w:r>
          </w:p>
          <w:p w14:paraId="25023057">
            <w:pPr>
              <w:overflowPunct w:val="0"/>
              <w:spacing w:line="300" w:lineRule="exact"/>
              <w:ind w:firstLine="0" w:firstLineChars="0"/>
              <w:jc w:val="center"/>
              <w:rPr>
                <w:rFonts w:cs="Times New Roman"/>
                <w:sz w:val="21"/>
                <w:szCs w:val="21"/>
              </w:rPr>
            </w:pPr>
            <w:r>
              <w:rPr>
                <w:rFonts w:cs="Times New Roman"/>
                <w:sz w:val="21"/>
                <w:szCs w:val="21"/>
              </w:rPr>
              <w:t>（市人防办）</w:t>
            </w:r>
          </w:p>
          <w:p w14:paraId="79B62CBD">
            <w:pPr>
              <w:overflowPunct w:val="0"/>
              <w:spacing w:line="300" w:lineRule="exact"/>
              <w:ind w:firstLine="0" w:firstLineChars="0"/>
              <w:jc w:val="center"/>
              <w:rPr>
                <w:rFonts w:cs="Times New Roman"/>
                <w:sz w:val="21"/>
                <w:szCs w:val="21"/>
              </w:rPr>
            </w:pPr>
            <w:r>
              <w:rPr>
                <w:rFonts w:cs="Times New Roman"/>
                <w:sz w:val="21"/>
                <w:szCs w:val="21"/>
              </w:rPr>
              <w:t>财政局</w:t>
            </w:r>
          </w:p>
        </w:tc>
      </w:tr>
      <w:tr w14:paraId="55D0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noWrap/>
            <w:vAlign w:val="center"/>
          </w:tcPr>
          <w:p w14:paraId="3E9A8457">
            <w:pPr>
              <w:overflowPunct w:val="0"/>
              <w:spacing w:line="300" w:lineRule="exact"/>
              <w:ind w:firstLine="0" w:firstLineChars="0"/>
              <w:jc w:val="center"/>
              <w:rPr>
                <w:rFonts w:cs="Times New Roman"/>
                <w:sz w:val="21"/>
                <w:szCs w:val="21"/>
              </w:rPr>
            </w:pPr>
          </w:p>
        </w:tc>
        <w:tc>
          <w:tcPr>
            <w:tcW w:w="179" w:type="pct"/>
            <w:noWrap/>
            <w:vAlign w:val="center"/>
          </w:tcPr>
          <w:p w14:paraId="74E6BFE0">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6</w:t>
            </w:r>
          </w:p>
        </w:tc>
        <w:tc>
          <w:tcPr>
            <w:tcW w:w="713" w:type="pct"/>
            <w:noWrap/>
            <w:vAlign w:val="center"/>
          </w:tcPr>
          <w:p w14:paraId="3B76D950">
            <w:pPr>
              <w:overflowPunct w:val="0"/>
              <w:spacing w:line="300" w:lineRule="exact"/>
              <w:ind w:firstLine="0" w:firstLineChars="0"/>
              <w:jc w:val="center"/>
              <w:rPr>
                <w:rFonts w:cs="Times New Roman"/>
                <w:sz w:val="21"/>
                <w:szCs w:val="21"/>
              </w:rPr>
            </w:pPr>
            <w:r>
              <w:rPr>
                <w:rFonts w:cs="Times New Roman"/>
                <w:sz w:val="21"/>
                <w:szCs w:val="21"/>
              </w:rPr>
              <w:t>工业锅炉整治</w:t>
            </w:r>
          </w:p>
          <w:p w14:paraId="64075F20">
            <w:pPr>
              <w:overflowPunct w:val="0"/>
              <w:spacing w:line="300" w:lineRule="exact"/>
              <w:ind w:firstLine="0" w:firstLineChars="0"/>
              <w:jc w:val="center"/>
              <w:rPr>
                <w:rFonts w:cs="Times New Roman"/>
                <w:sz w:val="21"/>
                <w:szCs w:val="21"/>
              </w:rPr>
            </w:pPr>
            <w:r>
              <w:rPr>
                <w:rFonts w:cs="Times New Roman"/>
                <w:sz w:val="21"/>
                <w:szCs w:val="21"/>
              </w:rPr>
              <w:t>工程</w:t>
            </w:r>
          </w:p>
        </w:tc>
        <w:tc>
          <w:tcPr>
            <w:tcW w:w="2035" w:type="pct"/>
            <w:noWrap/>
            <w:vAlign w:val="center"/>
          </w:tcPr>
          <w:p w14:paraId="3092963B">
            <w:pPr>
              <w:overflowPunct w:val="0"/>
              <w:spacing w:line="300" w:lineRule="exact"/>
              <w:ind w:firstLine="0" w:firstLineChars="0"/>
              <w:rPr>
                <w:rFonts w:cs="Times New Roman"/>
                <w:sz w:val="21"/>
                <w:szCs w:val="21"/>
              </w:rPr>
            </w:pPr>
            <w:r>
              <w:rPr>
                <w:rFonts w:cs="Times New Roman"/>
                <w:sz w:val="21"/>
                <w:szCs w:val="21"/>
              </w:rPr>
              <w:t>工业企业的工业锅炉、窑炉全部改用天然气、电等清洁能源。</w:t>
            </w:r>
          </w:p>
        </w:tc>
        <w:tc>
          <w:tcPr>
            <w:tcW w:w="397" w:type="pct"/>
            <w:noWrap/>
            <w:vAlign w:val="center"/>
          </w:tcPr>
          <w:p w14:paraId="1529D431">
            <w:pPr>
              <w:overflowPunct w:val="0"/>
              <w:spacing w:line="300" w:lineRule="exact"/>
              <w:ind w:firstLine="0" w:firstLineChars="0"/>
              <w:jc w:val="center"/>
              <w:rPr>
                <w:rFonts w:cs="Times New Roman"/>
                <w:sz w:val="21"/>
                <w:szCs w:val="21"/>
              </w:rPr>
            </w:pPr>
            <w:r>
              <w:rPr>
                <w:rFonts w:cs="Times New Roman"/>
                <w:sz w:val="21"/>
                <w:szCs w:val="21"/>
              </w:rPr>
              <w:t>改建</w:t>
            </w:r>
          </w:p>
        </w:tc>
        <w:tc>
          <w:tcPr>
            <w:tcW w:w="469" w:type="pct"/>
            <w:noWrap/>
            <w:vAlign w:val="center"/>
          </w:tcPr>
          <w:p w14:paraId="6F060C6A">
            <w:pPr>
              <w:overflowPunct w:val="0"/>
              <w:spacing w:line="300" w:lineRule="exact"/>
              <w:ind w:firstLine="0" w:firstLineChars="0"/>
              <w:jc w:val="center"/>
              <w:rPr>
                <w:rFonts w:cs="Times New Roman"/>
                <w:sz w:val="21"/>
                <w:szCs w:val="21"/>
              </w:rPr>
            </w:pPr>
            <w:r>
              <w:rPr>
                <w:rFonts w:cs="Times New Roman"/>
                <w:sz w:val="21"/>
                <w:szCs w:val="21"/>
              </w:rPr>
              <w:t>2021—2030</w:t>
            </w:r>
          </w:p>
        </w:tc>
        <w:tc>
          <w:tcPr>
            <w:tcW w:w="383" w:type="pct"/>
            <w:noWrap/>
            <w:vAlign w:val="center"/>
          </w:tcPr>
          <w:p w14:paraId="6B7270CE">
            <w:pPr>
              <w:spacing w:line="300" w:lineRule="exact"/>
              <w:ind w:firstLine="0" w:firstLineChars="0"/>
              <w:jc w:val="center"/>
              <w:rPr>
                <w:rFonts w:cs="Times New Roman"/>
                <w:sz w:val="21"/>
                <w:szCs w:val="21"/>
              </w:rPr>
            </w:pPr>
            <w:r>
              <w:rPr>
                <w:rFonts w:cs="Times New Roman"/>
                <w:sz w:val="21"/>
                <w:szCs w:val="21"/>
              </w:rPr>
              <w:t>5000</w:t>
            </w:r>
          </w:p>
        </w:tc>
        <w:tc>
          <w:tcPr>
            <w:tcW w:w="589" w:type="pct"/>
            <w:noWrap/>
            <w:vAlign w:val="center"/>
          </w:tcPr>
          <w:p w14:paraId="6F68DE7F">
            <w:pPr>
              <w:overflowPunct w:val="0"/>
              <w:spacing w:line="300" w:lineRule="exact"/>
              <w:ind w:firstLine="0" w:firstLineChars="0"/>
              <w:jc w:val="center"/>
              <w:rPr>
                <w:rFonts w:cs="Times New Roman"/>
                <w:sz w:val="21"/>
                <w:szCs w:val="21"/>
              </w:rPr>
            </w:pPr>
            <w:r>
              <w:rPr>
                <w:rFonts w:cs="Times New Roman"/>
                <w:sz w:val="21"/>
                <w:szCs w:val="21"/>
              </w:rPr>
              <w:t>株洲市生态环境局醴陵分局</w:t>
            </w:r>
          </w:p>
        </w:tc>
      </w:tr>
      <w:tr w14:paraId="456F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61" w:hRule="atLeast"/>
          <w:jc w:val="center"/>
        </w:trPr>
        <w:tc>
          <w:tcPr>
            <w:tcW w:w="235" w:type="pct"/>
            <w:vMerge w:val="restart"/>
            <w:noWrap/>
            <w:vAlign w:val="center"/>
          </w:tcPr>
          <w:p w14:paraId="388B4C18">
            <w:pPr>
              <w:overflowPunct w:val="0"/>
              <w:spacing w:line="300" w:lineRule="exact"/>
              <w:ind w:firstLine="0" w:firstLineChars="0"/>
              <w:jc w:val="center"/>
              <w:rPr>
                <w:rFonts w:cs="Times New Roman"/>
                <w:sz w:val="21"/>
                <w:szCs w:val="21"/>
              </w:rPr>
            </w:pPr>
            <w:r>
              <w:rPr>
                <w:rFonts w:cs="Times New Roman"/>
                <w:sz w:val="21"/>
                <w:szCs w:val="21"/>
              </w:rPr>
              <w:t>生态安全建设</w:t>
            </w:r>
          </w:p>
        </w:tc>
        <w:tc>
          <w:tcPr>
            <w:tcW w:w="179" w:type="pct"/>
            <w:noWrap/>
            <w:vAlign w:val="center"/>
          </w:tcPr>
          <w:p w14:paraId="1F1C3541">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7</w:t>
            </w:r>
          </w:p>
        </w:tc>
        <w:tc>
          <w:tcPr>
            <w:tcW w:w="713" w:type="pct"/>
            <w:noWrap/>
            <w:vAlign w:val="center"/>
          </w:tcPr>
          <w:p w14:paraId="537C8C06">
            <w:pPr>
              <w:overflowPunct w:val="0"/>
              <w:spacing w:line="300" w:lineRule="exact"/>
              <w:ind w:firstLine="0" w:firstLineChars="0"/>
              <w:jc w:val="center"/>
              <w:rPr>
                <w:rFonts w:cs="Times New Roman"/>
                <w:sz w:val="21"/>
                <w:szCs w:val="21"/>
              </w:rPr>
            </w:pPr>
            <w:r>
              <w:rPr>
                <w:rFonts w:cs="Times New Roman"/>
                <w:sz w:val="21"/>
                <w:szCs w:val="21"/>
              </w:rPr>
              <w:t>醴陵市石景冲</w:t>
            </w:r>
          </w:p>
          <w:p w14:paraId="234E45ED">
            <w:pPr>
              <w:overflowPunct w:val="0"/>
              <w:spacing w:line="300" w:lineRule="exact"/>
              <w:ind w:firstLine="0" w:firstLineChars="0"/>
              <w:jc w:val="center"/>
              <w:rPr>
                <w:rFonts w:cs="Times New Roman"/>
                <w:sz w:val="21"/>
                <w:szCs w:val="21"/>
              </w:rPr>
            </w:pPr>
            <w:r>
              <w:rPr>
                <w:rFonts w:cs="Times New Roman"/>
                <w:sz w:val="21"/>
                <w:szCs w:val="21"/>
              </w:rPr>
              <w:t>铅锌银矿选矿区重金属综合整治工程</w:t>
            </w:r>
          </w:p>
        </w:tc>
        <w:tc>
          <w:tcPr>
            <w:tcW w:w="2035" w:type="pct"/>
            <w:noWrap/>
            <w:vAlign w:val="center"/>
          </w:tcPr>
          <w:p w14:paraId="6872C20B">
            <w:pPr>
              <w:overflowPunct w:val="0"/>
              <w:spacing w:line="300" w:lineRule="exact"/>
              <w:ind w:firstLine="0" w:firstLineChars="0"/>
              <w:rPr>
                <w:rFonts w:cs="Times New Roman"/>
                <w:sz w:val="21"/>
                <w:szCs w:val="21"/>
              </w:rPr>
            </w:pPr>
            <w:r>
              <w:rPr>
                <w:rFonts w:cs="Times New Roman"/>
                <w:sz w:val="21"/>
                <w:szCs w:val="21"/>
              </w:rPr>
              <w:t>开展河床和矿区尾矿清理和清运8万立方米，河道恢复400米，做好厂区及尾砂清运后生态恢复。</w:t>
            </w:r>
          </w:p>
        </w:tc>
        <w:tc>
          <w:tcPr>
            <w:tcW w:w="397" w:type="pct"/>
            <w:noWrap/>
            <w:vAlign w:val="center"/>
          </w:tcPr>
          <w:p w14:paraId="53EECE60">
            <w:pPr>
              <w:overflowPunct w:val="0"/>
              <w:spacing w:line="300" w:lineRule="exact"/>
              <w:ind w:firstLine="0" w:firstLineChars="0"/>
              <w:jc w:val="center"/>
              <w:rPr>
                <w:rFonts w:cs="Times New Roman"/>
                <w:sz w:val="21"/>
                <w:szCs w:val="21"/>
              </w:rPr>
            </w:pPr>
            <w:r>
              <w:rPr>
                <w:rFonts w:cs="Times New Roman"/>
                <w:sz w:val="21"/>
                <w:szCs w:val="21"/>
              </w:rPr>
              <w:t>续建</w:t>
            </w:r>
          </w:p>
        </w:tc>
        <w:tc>
          <w:tcPr>
            <w:tcW w:w="469" w:type="pct"/>
            <w:noWrap/>
            <w:vAlign w:val="center"/>
          </w:tcPr>
          <w:p w14:paraId="0D73D6DA">
            <w:pPr>
              <w:overflowPunct w:val="0"/>
              <w:spacing w:line="300" w:lineRule="exact"/>
              <w:ind w:firstLine="0" w:firstLineChars="0"/>
              <w:jc w:val="center"/>
              <w:rPr>
                <w:rFonts w:cs="Times New Roman"/>
                <w:sz w:val="21"/>
                <w:szCs w:val="21"/>
              </w:rPr>
            </w:pPr>
            <w:r>
              <w:rPr>
                <w:rFonts w:cs="Times New Roman"/>
                <w:sz w:val="21"/>
                <w:szCs w:val="21"/>
              </w:rPr>
              <w:t>2021</w:t>
            </w:r>
          </w:p>
        </w:tc>
        <w:tc>
          <w:tcPr>
            <w:tcW w:w="383" w:type="pct"/>
            <w:noWrap/>
            <w:vAlign w:val="center"/>
          </w:tcPr>
          <w:p w14:paraId="2346BF14">
            <w:pPr>
              <w:spacing w:line="300" w:lineRule="exact"/>
              <w:ind w:firstLine="0" w:firstLineChars="0"/>
              <w:jc w:val="center"/>
              <w:rPr>
                <w:rFonts w:cs="Times New Roman"/>
                <w:sz w:val="21"/>
                <w:szCs w:val="21"/>
              </w:rPr>
            </w:pPr>
            <w:r>
              <w:rPr>
                <w:rFonts w:cs="Times New Roman"/>
                <w:sz w:val="21"/>
                <w:szCs w:val="21"/>
              </w:rPr>
              <w:t>1850</w:t>
            </w:r>
          </w:p>
        </w:tc>
        <w:tc>
          <w:tcPr>
            <w:tcW w:w="589" w:type="pct"/>
            <w:noWrap/>
            <w:vAlign w:val="center"/>
          </w:tcPr>
          <w:p w14:paraId="05F48B17">
            <w:pPr>
              <w:overflowPunct w:val="0"/>
              <w:spacing w:line="300" w:lineRule="exact"/>
              <w:ind w:firstLine="0" w:firstLineChars="0"/>
              <w:jc w:val="center"/>
              <w:rPr>
                <w:rFonts w:cs="Times New Roman"/>
                <w:sz w:val="21"/>
                <w:szCs w:val="21"/>
              </w:rPr>
            </w:pPr>
            <w:r>
              <w:rPr>
                <w:rFonts w:cs="Times New Roman"/>
                <w:sz w:val="21"/>
                <w:szCs w:val="21"/>
              </w:rPr>
              <w:t>株洲市生态环境局醴陵分局</w:t>
            </w:r>
          </w:p>
        </w:tc>
      </w:tr>
      <w:tr w14:paraId="3FA5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76" w:hRule="atLeast"/>
          <w:jc w:val="center"/>
        </w:trPr>
        <w:tc>
          <w:tcPr>
            <w:tcW w:w="235" w:type="pct"/>
            <w:vMerge w:val="continue"/>
            <w:noWrap/>
            <w:vAlign w:val="center"/>
          </w:tcPr>
          <w:p w14:paraId="0471992A">
            <w:pPr>
              <w:overflowPunct w:val="0"/>
              <w:spacing w:line="300" w:lineRule="exact"/>
              <w:ind w:firstLine="0" w:firstLineChars="0"/>
              <w:jc w:val="center"/>
              <w:rPr>
                <w:rFonts w:cs="Times New Roman"/>
                <w:sz w:val="21"/>
                <w:szCs w:val="21"/>
              </w:rPr>
            </w:pPr>
          </w:p>
        </w:tc>
        <w:tc>
          <w:tcPr>
            <w:tcW w:w="179" w:type="pct"/>
            <w:noWrap/>
            <w:vAlign w:val="center"/>
          </w:tcPr>
          <w:p w14:paraId="1122315F">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8</w:t>
            </w:r>
          </w:p>
        </w:tc>
        <w:tc>
          <w:tcPr>
            <w:tcW w:w="713" w:type="pct"/>
            <w:noWrap/>
            <w:vAlign w:val="center"/>
          </w:tcPr>
          <w:p w14:paraId="3877F1D0">
            <w:pPr>
              <w:overflowPunct w:val="0"/>
              <w:spacing w:line="300" w:lineRule="exact"/>
              <w:ind w:firstLine="0" w:firstLineChars="0"/>
              <w:jc w:val="center"/>
              <w:rPr>
                <w:rFonts w:cs="Times New Roman"/>
                <w:sz w:val="21"/>
                <w:szCs w:val="21"/>
              </w:rPr>
            </w:pPr>
            <w:r>
              <w:rPr>
                <w:rFonts w:cs="Times New Roman"/>
                <w:sz w:val="21"/>
                <w:szCs w:val="21"/>
              </w:rPr>
              <w:t>官庄水库历史</w:t>
            </w:r>
          </w:p>
          <w:p w14:paraId="126CF7DD">
            <w:pPr>
              <w:overflowPunct w:val="0"/>
              <w:spacing w:line="300" w:lineRule="exact"/>
              <w:ind w:firstLine="0" w:firstLineChars="0"/>
              <w:jc w:val="center"/>
              <w:rPr>
                <w:rFonts w:cs="Times New Roman"/>
                <w:sz w:val="21"/>
                <w:szCs w:val="21"/>
              </w:rPr>
            </w:pPr>
            <w:r>
              <w:rPr>
                <w:rFonts w:cs="Times New Roman"/>
                <w:sz w:val="21"/>
                <w:szCs w:val="21"/>
              </w:rPr>
              <w:t>遗留废渣风险管控项目</w:t>
            </w:r>
          </w:p>
        </w:tc>
        <w:tc>
          <w:tcPr>
            <w:tcW w:w="2035" w:type="pct"/>
            <w:noWrap/>
            <w:vAlign w:val="center"/>
          </w:tcPr>
          <w:p w14:paraId="75829888">
            <w:pPr>
              <w:overflowPunct w:val="0"/>
              <w:spacing w:line="300" w:lineRule="exact"/>
              <w:ind w:firstLine="0" w:firstLineChars="0"/>
              <w:rPr>
                <w:rFonts w:cs="Times New Roman"/>
                <w:sz w:val="21"/>
                <w:szCs w:val="21"/>
              </w:rPr>
            </w:pPr>
            <w:r>
              <w:rPr>
                <w:rFonts w:cs="Times New Roman"/>
                <w:sz w:val="21"/>
                <w:szCs w:val="21"/>
              </w:rPr>
              <w:t>官庄水库历史遗留废渣进行风险管控，防治对官庄水库的水质污染。</w:t>
            </w:r>
          </w:p>
        </w:tc>
        <w:tc>
          <w:tcPr>
            <w:tcW w:w="397" w:type="pct"/>
            <w:noWrap/>
            <w:vAlign w:val="center"/>
          </w:tcPr>
          <w:p w14:paraId="78C676CC">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4C2EF47C">
            <w:pPr>
              <w:overflowPunct w:val="0"/>
              <w:spacing w:line="300" w:lineRule="exact"/>
              <w:ind w:firstLine="0" w:firstLineChars="0"/>
              <w:jc w:val="center"/>
              <w:rPr>
                <w:rFonts w:cs="Times New Roman"/>
                <w:sz w:val="21"/>
                <w:szCs w:val="21"/>
              </w:rPr>
            </w:pPr>
            <w:r>
              <w:rPr>
                <w:rFonts w:cs="Times New Roman"/>
                <w:sz w:val="21"/>
                <w:szCs w:val="21"/>
              </w:rPr>
              <w:t>2021—2025</w:t>
            </w:r>
          </w:p>
        </w:tc>
        <w:tc>
          <w:tcPr>
            <w:tcW w:w="383" w:type="pct"/>
            <w:noWrap/>
            <w:vAlign w:val="center"/>
          </w:tcPr>
          <w:p w14:paraId="09FF5221">
            <w:pPr>
              <w:spacing w:line="300" w:lineRule="exact"/>
              <w:ind w:firstLine="0" w:firstLineChars="0"/>
              <w:jc w:val="center"/>
              <w:rPr>
                <w:rFonts w:cs="Times New Roman"/>
                <w:sz w:val="21"/>
                <w:szCs w:val="21"/>
              </w:rPr>
            </w:pPr>
            <w:r>
              <w:rPr>
                <w:rFonts w:cs="Times New Roman"/>
                <w:sz w:val="21"/>
                <w:szCs w:val="21"/>
              </w:rPr>
              <w:t>1000</w:t>
            </w:r>
          </w:p>
        </w:tc>
        <w:tc>
          <w:tcPr>
            <w:tcW w:w="589" w:type="pct"/>
            <w:noWrap/>
            <w:vAlign w:val="center"/>
          </w:tcPr>
          <w:p w14:paraId="3BDF959E">
            <w:pPr>
              <w:overflowPunct w:val="0"/>
              <w:spacing w:line="300" w:lineRule="exact"/>
              <w:ind w:firstLine="0" w:firstLineChars="0"/>
              <w:jc w:val="center"/>
              <w:rPr>
                <w:rFonts w:cs="Times New Roman"/>
                <w:sz w:val="21"/>
                <w:szCs w:val="21"/>
              </w:rPr>
            </w:pPr>
            <w:r>
              <w:rPr>
                <w:rFonts w:cs="Times New Roman"/>
                <w:sz w:val="21"/>
                <w:szCs w:val="21"/>
              </w:rPr>
              <w:t>株洲市生态环境局醴陵分局</w:t>
            </w:r>
          </w:p>
        </w:tc>
      </w:tr>
      <w:tr w14:paraId="3A9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noWrap/>
            <w:vAlign w:val="center"/>
          </w:tcPr>
          <w:p w14:paraId="63497609">
            <w:pPr>
              <w:overflowPunct w:val="0"/>
              <w:spacing w:line="300" w:lineRule="exact"/>
              <w:ind w:firstLine="0" w:firstLineChars="0"/>
              <w:jc w:val="center"/>
              <w:rPr>
                <w:rFonts w:cs="Times New Roman"/>
                <w:sz w:val="21"/>
                <w:szCs w:val="21"/>
              </w:rPr>
            </w:pPr>
          </w:p>
        </w:tc>
        <w:tc>
          <w:tcPr>
            <w:tcW w:w="179" w:type="pct"/>
            <w:noWrap/>
            <w:vAlign w:val="center"/>
          </w:tcPr>
          <w:p w14:paraId="20A67B5B">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9</w:t>
            </w:r>
          </w:p>
        </w:tc>
        <w:tc>
          <w:tcPr>
            <w:tcW w:w="713" w:type="pct"/>
            <w:noWrap/>
            <w:vAlign w:val="center"/>
          </w:tcPr>
          <w:p w14:paraId="3E30FD2E">
            <w:pPr>
              <w:overflowPunct w:val="0"/>
              <w:spacing w:line="300" w:lineRule="exact"/>
              <w:ind w:firstLine="0" w:firstLineChars="0"/>
              <w:jc w:val="center"/>
              <w:rPr>
                <w:rFonts w:cs="Times New Roman"/>
                <w:sz w:val="21"/>
                <w:szCs w:val="21"/>
              </w:rPr>
            </w:pPr>
            <w:r>
              <w:rPr>
                <w:rFonts w:cs="Times New Roman"/>
                <w:sz w:val="21"/>
                <w:szCs w:val="21"/>
              </w:rPr>
              <w:t>生态廊道建设</w:t>
            </w:r>
          </w:p>
          <w:p w14:paraId="2BF897D6">
            <w:pPr>
              <w:overflowPunct w:val="0"/>
              <w:spacing w:line="300" w:lineRule="exact"/>
              <w:ind w:firstLine="0" w:firstLineChars="0"/>
              <w:jc w:val="center"/>
              <w:rPr>
                <w:rFonts w:cs="Times New Roman"/>
                <w:sz w:val="21"/>
                <w:szCs w:val="21"/>
              </w:rPr>
            </w:pPr>
            <w:r>
              <w:rPr>
                <w:rFonts w:cs="Times New Roman"/>
                <w:sz w:val="21"/>
                <w:szCs w:val="21"/>
              </w:rPr>
              <w:t>项目</w:t>
            </w:r>
          </w:p>
        </w:tc>
        <w:tc>
          <w:tcPr>
            <w:tcW w:w="2035" w:type="pct"/>
            <w:noWrap/>
            <w:vAlign w:val="center"/>
          </w:tcPr>
          <w:p w14:paraId="22265AF7">
            <w:pPr>
              <w:overflowPunct w:val="0"/>
              <w:spacing w:line="300" w:lineRule="exact"/>
              <w:ind w:firstLine="0" w:firstLineChars="0"/>
              <w:rPr>
                <w:rFonts w:cs="Times New Roman"/>
                <w:sz w:val="21"/>
                <w:szCs w:val="21"/>
              </w:rPr>
            </w:pPr>
            <w:r>
              <w:rPr>
                <w:rFonts w:cs="Times New Roman"/>
                <w:sz w:val="21"/>
                <w:szCs w:val="21"/>
              </w:rPr>
              <w:t>对醴陵市主要廊道17671亩进行增绿扩量、森林质量精准提升、生态修复等，构建结构稳定、景观优美的生态廊道。</w:t>
            </w:r>
          </w:p>
        </w:tc>
        <w:tc>
          <w:tcPr>
            <w:tcW w:w="397" w:type="pct"/>
            <w:noWrap/>
            <w:vAlign w:val="center"/>
          </w:tcPr>
          <w:p w14:paraId="42BBB7BE">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778AF83E">
            <w:pPr>
              <w:overflowPunct w:val="0"/>
              <w:spacing w:line="300" w:lineRule="exact"/>
              <w:ind w:firstLine="0" w:firstLineChars="0"/>
              <w:jc w:val="center"/>
              <w:rPr>
                <w:rFonts w:cs="Times New Roman"/>
                <w:sz w:val="21"/>
                <w:szCs w:val="21"/>
              </w:rPr>
            </w:pPr>
            <w:r>
              <w:rPr>
                <w:rFonts w:cs="Times New Roman"/>
                <w:sz w:val="21"/>
                <w:szCs w:val="21"/>
              </w:rPr>
              <w:t>2021—2025</w:t>
            </w:r>
          </w:p>
        </w:tc>
        <w:tc>
          <w:tcPr>
            <w:tcW w:w="383" w:type="pct"/>
            <w:noWrap/>
            <w:vAlign w:val="center"/>
          </w:tcPr>
          <w:p w14:paraId="55FCAAA5">
            <w:pPr>
              <w:spacing w:line="300" w:lineRule="exact"/>
              <w:ind w:firstLine="0" w:firstLineChars="0"/>
              <w:jc w:val="center"/>
              <w:rPr>
                <w:rFonts w:cs="Times New Roman"/>
                <w:sz w:val="21"/>
                <w:szCs w:val="21"/>
              </w:rPr>
            </w:pPr>
            <w:r>
              <w:rPr>
                <w:rFonts w:cs="Times New Roman"/>
                <w:sz w:val="21"/>
                <w:szCs w:val="21"/>
              </w:rPr>
              <w:t>2000</w:t>
            </w:r>
          </w:p>
        </w:tc>
        <w:tc>
          <w:tcPr>
            <w:tcW w:w="589" w:type="pct"/>
            <w:noWrap/>
            <w:vAlign w:val="center"/>
          </w:tcPr>
          <w:p w14:paraId="5D9AD1C3">
            <w:pPr>
              <w:overflowPunct w:val="0"/>
              <w:spacing w:line="300" w:lineRule="exact"/>
              <w:ind w:firstLine="0" w:firstLineChars="0"/>
              <w:jc w:val="center"/>
              <w:rPr>
                <w:rFonts w:cs="Times New Roman"/>
                <w:sz w:val="21"/>
                <w:szCs w:val="21"/>
              </w:rPr>
            </w:pPr>
            <w:r>
              <w:rPr>
                <w:rFonts w:cs="Times New Roman"/>
                <w:sz w:val="21"/>
                <w:szCs w:val="21"/>
              </w:rPr>
              <w:t>市林业局</w:t>
            </w:r>
          </w:p>
        </w:tc>
      </w:tr>
      <w:tr w14:paraId="497F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noWrap/>
            <w:vAlign w:val="center"/>
          </w:tcPr>
          <w:p w14:paraId="70235973">
            <w:pPr>
              <w:overflowPunct w:val="0"/>
              <w:spacing w:line="300" w:lineRule="exact"/>
              <w:ind w:firstLine="0" w:firstLineChars="0"/>
              <w:jc w:val="center"/>
              <w:rPr>
                <w:rFonts w:cs="Times New Roman"/>
                <w:sz w:val="21"/>
                <w:szCs w:val="21"/>
              </w:rPr>
            </w:pPr>
          </w:p>
        </w:tc>
        <w:tc>
          <w:tcPr>
            <w:tcW w:w="179" w:type="pct"/>
            <w:noWrap/>
            <w:vAlign w:val="center"/>
          </w:tcPr>
          <w:p w14:paraId="276F6B4E">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10</w:t>
            </w:r>
          </w:p>
        </w:tc>
        <w:tc>
          <w:tcPr>
            <w:tcW w:w="713" w:type="pct"/>
            <w:noWrap/>
            <w:vAlign w:val="center"/>
          </w:tcPr>
          <w:p w14:paraId="48209993">
            <w:pPr>
              <w:overflowPunct w:val="0"/>
              <w:spacing w:line="300" w:lineRule="exact"/>
              <w:ind w:firstLine="0" w:firstLineChars="0"/>
              <w:jc w:val="center"/>
              <w:rPr>
                <w:rFonts w:cs="Times New Roman"/>
                <w:sz w:val="21"/>
                <w:szCs w:val="21"/>
              </w:rPr>
            </w:pPr>
            <w:r>
              <w:rPr>
                <w:rFonts w:cs="Times New Roman"/>
                <w:sz w:val="21"/>
                <w:szCs w:val="21"/>
              </w:rPr>
              <w:t>增绿工程</w:t>
            </w:r>
          </w:p>
        </w:tc>
        <w:tc>
          <w:tcPr>
            <w:tcW w:w="2035" w:type="pct"/>
            <w:noWrap/>
            <w:vAlign w:val="center"/>
          </w:tcPr>
          <w:p w14:paraId="5614B6DE">
            <w:pPr>
              <w:overflowPunct w:val="0"/>
              <w:spacing w:line="300" w:lineRule="exact"/>
              <w:ind w:firstLine="0" w:firstLineChars="0"/>
              <w:rPr>
                <w:rFonts w:cs="Times New Roman"/>
                <w:sz w:val="21"/>
                <w:szCs w:val="21"/>
              </w:rPr>
            </w:pPr>
            <w:r>
              <w:rPr>
                <w:rFonts w:cs="Times New Roman"/>
                <w:sz w:val="21"/>
                <w:szCs w:val="21"/>
              </w:rPr>
              <w:t>营造林10万亩以上，森林蓄积量增长50万立方米以上。</w:t>
            </w:r>
          </w:p>
        </w:tc>
        <w:tc>
          <w:tcPr>
            <w:tcW w:w="397" w:type="pct"/>
            <w:noWrap/>
            <w:vAlign w:val="center"/>
          </w:tcPr>
          <w:p w14:paraId="7A988203">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2F3A8033">
            <w:pPr>
              <w:overflowPunct w:val="0"/>
              <w:spacing w:line="300" w:lineRule="exact"/>
              <w:ind w:firstLine="0" w:firstLineChars="0"/>
              <w:jc w:val="center"/>
              <w:rPr>
                <w:rFonts w:cs="Times New Roman"/>
                <w:sz w:val="21"/>
                <w:szCs w:val="21"/>
              </w:rPr>
            </w:pPr>
            <w:r>
              <w:rPr>
                <w:rFonts w:cs="Times New Roman"/>
                <w:sz w:val="21"/>
                <w:szCs w:val="21"/>
              </w:rPr>
              <w:t>2021—2025</w:t>
            </w:r>
          </w:p>
        </w:tc>
        <w:tc>
          <w:tcPr>
            <w:tcW w:w="383" w:type="pct"/>
            <w:noWrap/>
            <w:vAlign w:val="center"/>
          </w:tcPr>
          <w:p w14:paraId="3FC92765">
            <w:pPr>
              <w:spacing w:line="300" w:lineRule="exact"/>
              <w:ind w:firstLine="0" w:firstLineChars="0"/>
              <w:jc w:val="center"/>
              <w:rPr>
                <w:rFonts w:cs="Times New Roman"/>
                <w:sz w:val="21"/>
                <w:szCs w:val="21"/>
              </w:rPr>
            </w:pPr>
            <w:r>
              <w:rPr>
                <w:rFonts w:cs="Times New Roman"/>
                <w:sz w:val="21"/>
                <w:szCs w:val="21"/>
              </w:rPr>
              <w:t>2000</w:t>
            </w:r>
          </w:p>
        </w:tc>
        <w:tc>
          <w:tcPr>
            <w:tcW w:w="589" w:type="pct"/>
            <w:noWrap/>
            <w:vAlign w:val="center"/>
          </w:tcPr>
          <w:p w14:paraId="377E4AFD">
            <w:pPr>
              <w:overflowPunct w:val="0"/>
              <w:spacing w:line="300" w:lineRule="exact"/>
              <w:ind w:firstLine="0" w:firstLineChars="0"/>
              <w:jc w:val="center"/>
              <w:rPr>
                <w:rFonts w:cs="Times New Roman"/>
                <w:sz w:val="21"/>
                <w:szCs w:val="21"/>
              </w:rPr>
            </w:pPr>
            <w:r>
              <w:rPr>
                <w:rFonts w:cs="Times New Roman"/>
                <w:sz w:val="21"/>
                <w:szCs w:val="21"/>
              </w:rPr>
              <w:t>市林业局</w:t>
            </w:r>
          </w:p>
        </w:tc>
      </w:tr>
      <w:tr w14:paraId="7D4C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21" w:hRule="atLeast"/>
          <w:jc w:val="center"/>
        </w:trPr>
        <w:tc>
          <w:tcPr>
            <w:tcW w:w="235" w:type="pct"/>
            <w:vMerge w:val="continue"/>
            <w:noWrap/>
            <w:vAlign w:val="center"/>
          </w:tcPr>
          <w:p w14:paraId="777583C3">
            <w:pPr>
              <w:overflowPunct w:val="0"/>
              <w:spacing w:line="300" w:lineRule="exact"/>
              <w:ind w:firstLine="0" w:firstLineChars="0"/>
              <w:jc w:val="center"/>
              <w:rPr>
                <w:rFonts w:cs="Times New Roman"/>
                <w:sz w:val="21"/>
                <w:szCs w:val="21"/>
              </w:rPr>
            </w:pPr>
          </w:p>
        </w:tc>
        <w:tc>
          <w:tcPr>
            <w:tcW w:w="179" w:type="pct"/>
            <w:noWrap/>
            <w:vAlign w:val="center"/>
          </w:tcPr>
          <w:p w14:paraId="3BF4DBFF">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11</w:t>
            </w:r>
          </w:p>
        </w:tc>
        <w:tc>
          <w:tcPr>
            <w:tcW w:w="713" w:type="pct"/>
            <w:noWrap/>
            <w:vAlign w:val="center"/>
          </w:tcPr>
          <w:p w14:paraId="62F9CAEC">
            <w:pPr>
              <w:overflowPunct w:val="0"/>
              <w:spacing w:line="300" w:lineRule="exact"/>
              <w:ind w:firstLine="0" w:firstLineChars="0"/>
              <w:jc w:val="center"/>
              <w:rPr>
                <w:rFonts w:cs="Times New Roman"/>
                <w:sz w:val="21"/>
                <w:szCs w:val="21"/>
              </w:rPr>
            </w:pPr>
            <w:r>
              <w:rPr>
                <w:rFonts w:cs="Times New Roman"/>
                <w:sz w:val="21"/>
                <w:szCs w:val="21"/>
              </w:rPr>
              <w:t>生物物种资源保护能力提升工程</w:t>
            </w:r>
          </w:p>
        </w:tc>
        <w:tc>
          <w:tcPr>
            <w:tcW w:w="2035" w:type="pct"/>
            <w:noWrap/>
            <w:vAlign w:val="center"/>
          </w:tcPr>
          <w:p w14:paraId="1D3016C7">
            <w:pPr>
              <w:overflowPunct w:val="0"/>
              <w:spacing w:line="300" w:lineRule="exact"/>
              <w:ind w:firstLine="0" w:firstLineChars="0"/>
              <w:rPr>
                <w:rFonts w:cs="Times New Roman"/>
                <w:sz w:val="21"/>
                <w:szCs w:val="21"/>
              </w:rPr>
            </w:pPr>
            <w:r>
              <w:rPr>
                <w:rFonts w:cs="Times New Roman"/>
                <w:sz w:val="21"/>
                <w:szCs w:val="21"/>
              </w:rPr>
              <w:t>加强区内生物多样性数据和信息共享能力建设，实时监测和掌握外来有害物种入侵及动态变化，打击涉水生野生动物保护违法行为。</w:t>
            </w:r>
          </w:p>
        </w:tc>
        <w:tc>
          <w:tcPr>
            <w:tcW w:w="397" w:type="pct"/>
            <w:noWrap/>
            <w:vAlign w:val="center"/>
          </w:tcPr>
          <w:p w14:paraId="0896490F">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16076F6E">
            <w:pPr>
              <w:overflowPunct w:val="0"/>
              <w:spacing w:line="300" w:lineRule="exact"/>
              <w:ind w:firstLine="0" w:firstLineChars="0"/>
              <w:jc w:val="center"/>
              <w:rPr>
                <w:rFonts w:cs="Times New Roman"/>
                <w:sz w:val="21"/>
                <w:szCs w:val="21"/>
              </w:rPr>
            </w:pPr>
            <w:r>
              <w:rPr>
                <w:rFonts w:cs="Times New Roman"/>
                <w:sz w:val="21"/>
                <w:szCs w:val="21"/>
              </w:rPr>
              <w:t>2021—2030</w:t>
            </w:r>
          </w:p>
        </w:tc>
        <w:tc>
          <w:tcPr>
            <w:tcW w:w="383" w:type="pct"/>
            <w:noWrap/>
            <w:vAlign w:val="center"/>
          </w:tcPr>
          <w:p w14:paraId="59B5E84B">
            <w:pPr>
              <w:spacing w:line="300" w:lineRule="exact"/>
              <w:ind w:firstLine="0" w:firstLineChars="0"/>
              <w:jc w:val="center"/>
              <w:rPr>
                <w:rFonts w:cs="Times New Roman"/>
                <w:sz w:val="21"/>
                <w:szCs w:val="21"/>
              </w:rPr>
            </w:pPr>
            <w:r>
              <w:rPr>
                <w:rFonts w:cs="Times New Roman"/>
                <w:sz w:val="21"/>
                <w:szCs w:val="21"/>
              </w:rPr>
              <w:t>1000</w:t>
            </w:r>
          </w:p>
        </w:tc>
        <w:tc>
          <w:tcPr>
            <w:tcW w:w="589" w:type="pct"/>
            <w:noWrap/>
            <w:vAlign w:val="center"/>
          </w:tcPr>
          <w:p w14:paraId="3253B1C3">
            <w:pPr>
              <w:overflowPunct w:val="0"/>
              <w:spacing w:line="300" w:lineRule="exact"/>
              <w:ind w:firstLine="0" w:firstLineChars="0"/>
              <w:jc w:val="center"/>
              <w:rPr>
                <w:rFonts w:cs="Times New Roman"/>
                <w:sz w:val="21"/>
                <w:szCs w:val="21"/>
              </w:rPr>
            </w:pPr>
            <w:r>
              <w:rPr>
                <w:rFonts w:cs="Times New Roman"/>
                <w:sz w:val="21"/>
                <w:szCs w:val="21"/>
              </w:rPr>
              <w:t>市农业农村局、市林业局、市畜牧水产事务中心</w:t>
            </w:r>
          </w:p>
        </w:tc>
      </w:tr>
      <w:tr w14:paraId="1B81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restart"/>
            <w:noWrap/>
            <w:vAlign w:val="center"/>
          </w:tcPr>
          <w:p w14:paraId="74CE6D4D">
            <w:pPr>
              <w:pStyle w:val="13"/>
              <w:spacing w:line="300" w:lineRule="exact"/>
              <w:ind w:firstLine="0" w:firstLineChars="0"/>
              <w:jc w:val="center"/>
              <w:rPr>
                <w:rFonts w:cs="Times New Roman"/>
                <w:sz w:val="21"/>
                <w:szCs w:val="21"/>
              </w:rPr>
            </w:pPr>
            <w:r>
              <w:rPr>
                <w:rFonts w:cs="Times New Roman"/>
                <w:sz w:val="21"/>
                <w:szCs w:val="21"/>
              </w:rPr>
              <w:t>生态空间建设</w:t>
            </w:r>
          </w:p>
        </w:tc>
        <w:tc>
          <w:tcPr>
            <w:tcW w:w="179" w:type="pct"/>
            <w:noWrap/>
            <w:vAlign w:val="center"/>
          </w:tcPr>
          <w:p w14:paraId="40369A75">
            <w:pPr>
              <w:tabs>
                <w:tab w:val="left" w:pos="511"/>
              </w:tabs>
              <w:overflowPunct w:val="0"/>
              <w:spacing w:line="300" w:lineRule="exact"/>
              <w:ind w:firstLine="0" w:firstLineChars="0"/>
              <w:jc w:val="center"/>
              <w:rPr>
                <w:rFonts w:cs="Times New Roman"/>
                <w:bCs/>
                <w:sz w:val="21"/>
                <w:szCs w:val="21"/>
              </w:rPr>
            </w:pPr>
            <w:r>
              <w:rPr>
                <w:rFonts w:cs="Times New Roman"/>
                <w:bCs/>
                <w:sz w:val="21"/>
                <w:szCs w:val="21"/>
              </w:rPr>
              <w:t>12</w:t>
            </w:r>
          </w:p>
        </w:tc>
        <w:tc>
          <w:tcPr>
            <w:tcW w:w="713" w:type="pct"/>
            <w:noWrap/>
            <w:vAlign w:val="center"/>
          </w:tcPr>
          <w:p w14:paraId="03706073">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湿地保护</w:t>
            </w:r>
          </w:p>
        </w:tc>
        <w:tc>
          <w:tcPr>
            <w:tcW w:w="2035" w:type="pct"/>
            <w:noWrap/>
            <w:vAlign w:val="center"/>
          </w:tcPr>
          <w:p w14:paraId="399FE254">
            <w:pPr>
              <w:widowControl/>
              <w:spacing w:line="300" w:lineRule="exact"/>
              <w:ind w:firstLine="0" w:firstLineChars="0"/>
              <w:textAlignment w:val="center"/>
              <w:rPr>
                <w:rFonts w:cs="Times New Roman"/>
                <w:kern w:val="0"/>
                <w:sz w:val="21"/>
                <w:szCs w:val="21"/>
              </w:rPr>
            </w:pPr>
            <w:r>
              <w:rPr>
                <w:rFonts w:cs="Times New Roman"/>
                <w:kern w:val="0"/>
                <w:sz w:val="21"/>
                <w:szCs w:val="21"/>
              </w:rPr>
              <w:t>醴陵市渌江、铁水沿线湿地建设与保护。</w:t>
            </w:r>
          </w:p>
        </w:tc>
        <w:tc>
          <w:tcPr>
            <w:tcW w:w="397" w:type="pct"/>
            <w:noWrap/>
            <w:vAlign w:val="center"/>
          </w:tcPr>
          <w:p w14:paraId="1AB78D8E">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续建</w:t>
            </w:r>
          </w:p>
        </w:tc>
        <w:tc>
          <w:tcPr>
            <w:tcW w:w="469" w:type="pct"/>
            <w:noWrap/>
            <w:vAlign w:val="center"/>
          </w:tcPr>
          <w:p w14:paraId="65D3AB9D">
            <w:pPr>
              <w:widowControl/>
              <w:spacing w:line="300" w:lineRule="exact"/>
              <w:ind w:firstLine="0" w:firstLineChars="0"/>
              <w:jc w:val="center"/>
              <w:textAlignment w:val="center"/>
              <w:rPr>
                <w:rFonts w:cs="Times New Roman"/>
                <w:sz w:val="21"/>
                <w:szCs w:val="21"/>
              </w:rPr>
            </w:pPr>
            <w:r>
              <w:rPr>
                <w:rFonts w:cs="Times New Roman"/>
                <w:sz w:val="21"/>
                <w:szCs w:val="21"/>
              </w:rPr>
              <w:t>2021—2030</w:t>
            </w:r>
          </w:p>
        </w:tc>
        <w:tc>
          <w:tcPr>
            <w:tcW w:w="383" w:type="pct"/>
            <w:noWrap/>
            <w:vAlign w:val="center"/>
          </w:tcPr>
          <w:p w14:paraId="642D98B2">
            <w:pPr>
              <w:spacing w:line="300" w:lineRule="exact"/>
              <w:ind w:firstLine="0" w:firstLineChars="0"/>
              <w:jc w:val="center"/>
              <w:rPr>
                <w:rFonts w:cs="Times New Roman"/>
                <w:sz w:val="21"/>
                <w:szCs w:val="21"/>
              </w:rPr>
            </w:pPr>
            <w:r>
              <w:rPr>
                <w:rFonts w:cs="Times New Roman"/>
                <w:sz w:val="21"/>
                <w:szCs w:val="21"/>
              </w:rPr>
              <w:t>1000</w:t>
            </w:r>
          </w:p>
        </w:tc>
        <w:tc>
          <w:tcPr>
            <w:tcW w:w="589" w:type="pct"/>
            <w:noWrap/>
            <w:vAlign w:val="center"/>
          </w:tcPr>
          <w:p w14:paraId="123A464D">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市水利局、市林业局</w:t>
            </w:r>
          </w:p>
        </w:tc>
      </w:tr>
      <w:tr w14:paraId="774B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noWrap/>
            <w:vAlign w:val="center"/>
          </w:tcPr>
          <w:p w14:paraId="1D3AF979">
            <w:pPr>
              <w:pStyle w:val="13"/>
              <w:spacing w:line="300" w:lineRule="exact"/>
              <w:ind w:firstLine="0" w:firstLineChars="0"/>
              <w:jc w:val="center"/>
              <w:rPr>
                <w:rFonts w:cs="Times New Roman"/>
                <w:sz w:val="21"/>
                <w:szCs w:val="21"/>
              </w:rPr>
            </w:pPr>
          </w:p>
        </w:tc>
        <w:tc>
          <w:tcPr>
            <w:tcW w:w="179" w:type="pct"/>
            <w:noWrap/>
            <w:vAlign w:val="center"/>
          </w:tcPr>
          <w:p w14:paraId="033EC623">
            <w:pPr>
              <w:pStyle w:val="13"/>
              <w:tabs>
                <w:tab w:val="left" w:pos="511"/>
              </w:tabs>
              <w:spacing w:line="300" w:lineRule="exact"/>
              <w:ind w:firstLine="0" w:firstLineChars="0"/>
              <w:jc w:val="center"/>
              <w:rPr>
                <w:rFonts w:cs="Times New Roman"/>
                <w:bCs/>
                <w:sz w:val="21"/>
                <w:szCs w:val="21"/>
              </w:rPr>
            </w:pPr>
            <w:r>
              <w:rPr>
                <w:rFonts w:cs="Times New Roman"/>
                <w:bCs/>
                <w:sz w:val="21"/>
                <w:szCs w:val="21"/>
              </w:rPr>
              <w:t>13</w:t>
            </w:r>
          </w:p>
        </w:tc>
        <w:tc>
          <w:tcPr>
            <w:tcW w:w="713" w:type="pct"/>
            <w:noWrap/>
            <w:vAlign w:val="center"/>
          </w:tcPr>
          <w:p w14:paraId="58D159D9">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河湖连通工程</w:t>
            </w:r>
          </w:p>
        </w:tc>
        <w:tc>
          <w:tcPr>
            <w:tcW w:w="2035" w:type="pct"/>
            <w:noWrap/>
            <w:vAlign w:val="center"/>
          </w:tcPr>
          <w:p w14:paraId="3FA6547B">
            <w:pPr>
              <w:widowControl/>
              <w:spacing w:line="300" w:lineRule="exact"/>
              <w:ind w:firstLine="0" w:firstLineChars="0"/>
              <w:textAlignment w:val="center"/>
              <w:rPr>
                <w:rFonts w:cs="Times New Roman"/>
                <w:kern w:val="0"/>
                <w:sz w:val="21"/>
                <w:szCs w:val="21"/>
              </w:rPr>
            </w:pPr>
            <w:r>
              <w:rPr>
                <w:rFonts w:cs="Times New Roman"/>
                <w:kern w:val="0"/>
                <w:sz w:val="21"/>
                <w:szCs w:val="21"/>
              </w:rPr>
              <w:t>于左权镇、板杉镇、枫林镇开展磨子石河水系河湖连通。</w:t>
            </w:r>
          </w:p>
        </w:tc>
        <w:tc>
          <w:tcPr>
            <w:tcW w:w="397" w:type="pct"/>
            <w:noWrap/>
            <w:vAlign w:val="center"/>
          </w:tcPr>
          <w:p w14:paraId="3726F672">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新建</w:t>
            </w:r>
          </w:p>
        </w:tc>
        <w:tc>
          <w:tcPr>
            <w:tcW w:w="469" w:type="pct"/>
            <w:noWrap/>
            <w:vAlign w:val="center"/>
          </w:tcPr>
          <w:p w14:paraId="0EDC04D2">
            <w:pPr>
              <w:widowControl/>
              <w:spacing w:line="300" w:lineRule="exact"/>
              <w:ind w:firstLine="0" w:firstLineChars="0"/>
              <w:jc w:val="center"/>
              <w:textAlignment w:val="center"/>
              <w:rPr>
                <w:rFonts w:cs="Times New Roman"/>
                <w:sz w:val="21"/>
                <w:szCs w:val="21"/>
              </w:rPr>
            </w:pPr>
            <w:r>
              <w:rPr>
                <w:rFonts w:cs="Times New Roman"/>
                <w:sz w:val="21"/>
                <w:szCs w:val="21"/>
              </w:rPr>
              <w:t>2021—2030</w:t>
            </w:r>
          </w:p>
        </w:tc>
        <w:tc>
          <w:tcPr>
            <w:tcW w:w="383" w:type="pct"/>
            <w:noWrap/>
            <w:vAlign w:val="center"/>
          </w:tcPr>
          <w:p w14:paraId="13454225">
            <w:pPr>
              <w:spacing w:line="300" w:lineRule="exact"/>
              <w:ind w:firstLine="0" w:firstLineChars="0"/>
              <w:jc w:val="center"/>
              <w:rPr>
                <w:rFonts w:cs="Times New Roman"/>
                <w:sz w:val="21"/>
                <w:szCs w:val="21"/>
              </w:rPr>
            </w:pPr>
            <w:r>
              <w:rPr>
                <w:rFonts w:cs="Times New Roman"/>
                <w:sz w:val="21"/>
                <w:szCs w:val="21"/>
              </w:rPr>
              <w:t>36000</w:t>
            </w:r>
          </w:p>
        </w:tc>
        <w:tc>
          <w:tcPr>
            <w:tcW w:w="589" w:type="pct"/>
            <w:noWrap/>
            <w:vAlign w:val="center"/>
          </w:tcPr>
          <w:p w14:paraId="228D8D8F">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市水利局</w:t>
            </w:r>
          </w:p>
        </w:tc>
      </w:tr>
      <w:tr w14:paraId="0342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03" w:hRule="atLeast"/>
          <w:jc w:val="center"/>
        </w:trPr>
        <w:tc>
          <w:tcPr>
            <w:tcW w:w="235" w:type="pct"/>
            <w:vMerge w:val="restart"/>
            <w:noWrap/>
            <w:vAlign w:val="center"/>
          </w:tcPr>
          <w:p w14:paraId="4F15FE14">
            <w:pPr>
              <w:pStyle w:val="13"/>
              <w:spacing w:line="300" w:lineRule="exact"/>
              <w:ind w:firstLine="0" w:firstLineChars="0"/>
              <w:jc w:val="center"/>
              <w:rPr>
                <w:rFonts w:cs="Times New Roman"/>
                <w:sz w:val="21"/>
                <w:szCs w:val="21"/>
              </w:rPr>
            </w:pPr>
            <w:r>
              <w:rPr>
                <w:rFonts w:cs="Times New Roman"/>
                <w:sz w:val="21"/>
                <w:szCs w:val="21"/>
              </w:rPr>
              <w:t>生态经济建设</w:t>
            </w:r>
          </w:p>
        </w:tc>
        <w:tc>
          <w:tcPr>
            <w:tcW w:w="179" w:type="pct"/>
            <w:noWrap/>
            <w:vAlign w:val="center"/>
          </w:tcPr>
          <w:p w14:paraId="2B4679AF">
            <w:pPr>
              <w:pStyle w:val="13"/>
              <w:tabs>
                <w:tab w:val="left" w:pos="511"/>
              </w:tabs>
              <w:spacing w:line="300" w:lineRule="exact"/>
              <w:ind w:firstLine="0" w:firstLineChars="0"/>
              <w:jc w:val="center"/>
              <w:rPr>
                <w:rFonts w:cs="Times New Roman"/>
                <w:bCs/>
                <w:sz w:val="21"/>
                <w:szCs w:val="21"/>
              </w:rPr>
            </w:pPr>
            <w:r>
              <w:rPr>
                <w:rFonts w:cs="Times New Roman"/>
                <w:bCs/>
                <w:sz w:val="21"/>
                <w:szCs w:val="21"/>
              </w:rPr>
              <w:t>14</w:t>
            </w:r>
          </w:p>
        </w:tc>
        <w:tc>
          <w:tcPr>
            <w:tcW w:w="713" w:type="pct"/>
            <w:noWrap/>
            <w:vAlign w:val="center"/>
          </w:tcPr>
          <w:p w14:paraId="6A8CB152">
            <w:pPr>
              <w:spacing w:line="300" w:lineRule="exact"/>
              <w:ind w:firstLine="0" w:firstLineChars="0"/>
              <w:jc w:val="center"/>
              <w:textAlignment w:val="center"/>
              <w:rPr>
                <w:rFonts w:cs="Times New Roman"/>
                <w:sz w:val="21"/>
                <w:szCs w:val="21"/>
              </w:rPr>
            </w:pPr>
            <w:r>
              <w:rPr>
                <w:rFonts w:cs="Times New Roman"/>
                <w:kern w:val="0"/>
                <w:sz w:val="21"/>
                <w:szCs w:val="21"/>
              </w:rPr>
              <w:t>贺家桥二期风电场</w:t>
            </w:r>
          </w:p>
        </w:tc>
        <w:tc>
          <w:tcPr>
            <w:tcW w:w="2035" w:type="pct"/>
            <w:noWrap/>
            <w:vAlign w:val="center"/>
          </w:tcPr>
          <w:p w14:paraId="14DF2C45">
            <w:pPr>
              <w:spacing w:line="300" w:lineRule="exact"/>
              <w:ind w:firstLine="420"/>
              <w:textAlignment w:val="center"/>
              <w:rPr>
                <w:rFonts w:cs="Times New Roman"/>
                <w:sz w:val="21"/>
                <w:szCs w:val="21"/>
              </w:rPr>
            </w:pPr>
            <w:r>
              <w:rPr>
                <w:rFonts w:cs="Times New Roman"/>
                <w:kern w:val="0"/>
                <w:sz w:val="21"/>
                <w:szCs w:val="21"/>
              </w:rPr>
              <w:t>装机规模50MW，拟安装20台轮毂高度90米的2.5MW风力发电机组；风力发电机组接线方式为一机一变的单元接线方式，配置20台箱式变电站；集电线路根据20台风机的分布分为3个回路，采用35kV埋地电缆送至风电场内新建110kV升压站的35kV配电装置；风电场同期扩建场内110kV升压站一座，升压站110kV电气主接线采用单母线接线方式；设计项目年理论发电量14354万千瓦时，预计项目年上网电量92500万千瓦时，年等效满负荷小时数1850小时。</w:t>
            </w:r>
          </w:p>
        </w:tc>
        <w:tc>
          <w:tcPr>
            <w:tcW w:w="397" w:type="pct"/>
            <w:noWrap/>
            <w:vAlign w:val="center"/>
          </w:tcPr>
          <w:p w14:paraId="5DFB9E04">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扩建</w:t>
            </w:r>
          </w:p>
        </w:tc>
        <w:tc>
          <w:tcPr>
            <w:tcW w:w="469" w:type="pct"/>
            <w:noWrap/>
            <w:vAlign w:val="center"/>
          </w:tcPr>
          <w:p w14:paraId="1BCDABFC">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2021—2025</w:t>
            </w:r>
          </w:p>
        </w:tc>
        <w:tc>
          <w:tcPr>
            <w:tcW w:w="383" w:type="pct"/>
            <w:noWrap/>
            <w:vAlign w:val="center"/>
          </w:tcPr>
          <w:p w14:paraId="7721E856">
            <w:pPr>
              <w:spacing w:line="300" w:lineRule="exact"/>
              <w:ind w:firstLine="0" w:firstLineChars="0"/>
              <w:jc w:val="center"/>
              <w:rPr>
                <w:rFonts w:cs="Times New Roman"/>
                <w:sz w:val="21"/>
                <w:szCs w:val="21"/>
              </w:rPr>
            </w:pPr>
            <w:r>
              <w:rPr>
                <w:rFonts w:cs="Times New Roman"/>
                <w:sz w:val="21"/>
                <w:szCs w:val="21"/>
              </w:rPr>
              <w:t>41000</w:t>
            </w:r>
          </w:p>
        </w:tc>
        <w:tc>
          <w:tcPr>
            <w:tcW w:w="589" w:type="pct"/>
            <w:noWrap/>
            <w:vAlign w:val="center"/>
          </w:tcPr>
          <w:p w14:paraId="402A6A83">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湖南醴陵中电</w:t>
            </w:r>
          </w:p>
          <w:p w14:paraId="504243D2">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工程新能源有限公司</w:t>
            </w:r>
          </w:p>
        </w:tc>
      </w:tr>
      <w:tr w14:paraId="771E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05" w:hRule="atLeast"/>
          <w:jc w:val="center"/>
        </w:trPr>
        <w:tc>
          <w:tcPr>
            <w:tcW w:w="235" w:type="pct"/>
            <w:vMerge w:val="continue"/>
            <w:noWrap/>
            <w:vAlign w:val="center"/>
          </w:tcPr>
          <w:p w14:paraId="3FF18A52">
            <w:pPr>
              <w:pStyle w:val="13"/>
              <w:spacing w:line="300" w:lineRule="exact"/>
              <w:ind w:firstLine="0" w:firstLineChars="0"/>
              <w:jc w:val="center"/>
              <w:rPr>
                <w:rFonts w:cs="Times New Roman"/>
                <w:sz w:val="21"/>
                <w:szCs w:val="21"/>
              </w:rPr>
            </w:pPr>
          </w:p>
        </w:tc>
        <w:tc>
          <w:tcPr>
            <w:tcW w:w="179" w:type="pct"/>
            <w:noWrap/>
            <w:vAlign w:val="center"/>
          </w:tcPr>
          <w:p w14:paraId="702CDD9B">
            <w:pPr>
              <w:pStyle w:val="13"/>
              <w:tabs>
                <w:tab w:val="left" w:pos="511"/>
              </w:tabs>
              <w:spacing w:line="300" w:lineRule="exact"/>
              <w:ind w:firstLine="0" w:firstLineChars="0"/>
              <w:jc w:val="center"/>
              <w:rPr>
                <w:rFonts w:cs="Times New Roman"/>
                <w:bCs/>
                <w:sz w:val="21"/>
                <w:szCs w:val="21"/>
              </w:rPr>
            </w:pPr>
            <w:r>
              <w:rPr>
                <w:rFonts w:cs="Times New Roman"/>
                <w:bCs/>
                <w:sz w:val="21"/>
                <w:szCs w:val="21"/>
              </w:rPr>
              <w:t>15</w:t>
            </w:r>
          </w:p>
        </w:tc>
        <w:tc>
          <w:tcPr>
            <w:tcW w:w="713" w:type="pct"/>
            <w:noWrap/>
            <w:vAlign w:val="center"/>
          </w:tcPr>
          <w:p w14:paraId="3C7872E3">
            <w:pPr>
              <w:overflowPunct w:val="0"/>
              <w:spacing w:line="300" w:lineRule="exact"/>
              <w:ind w:firstLine="0" w:firstLineChars="0"/>
              <w:jc w:val="center"/>
              <w:rPr>
                <w:rFonts w:cs="Times New Roman"/>
                <w:sz w:val="21"/>
                <w:szCs w:val="21"/>
              </w:rPr>
            </w:pPr>
            <w:r>
              <w:rPr>
                <w:rFonts w:cs="Times New Roman"/>
                <w:sz w:val="21"/>
                <w:szCs w:val="21"/>
              </w:rPr>
              <w:t>清洁能源工程</w:t>
            </w:r>
          </w:p>
        </w:tc>
        <w:tc>
          <w:tcPr>
            <w:tcW w:w="2035" w:type="pct"/>
            <w:noWrap/>
            <w:vAlign w:val="center"/>
          </w:tcPr>
          <w:p w14:paraId="438253A1">
            <w:pPr>
              <w:overflowPunct w:val="0"/>
              <w:spacing w:line="300" w:lineRule="exact"/>
              <w:ind w:firstLine="0" w:firstLineChars="0"/>
              <w:rPr>
                <w:rFonts w:cs="Times New Roman"/>
                <w:sz w:val="21"/>
                <w:szCs w:val="21"/>
              </w:rPr>
            </w:pPr>
            <w:r>
              <w:rPr>
                <w:rFonts w:cs="Times New Roman"/>
                <w:sz w:val="21"/>
                <w:szCs w:val="21"/>
              </w:rPr>
              <w:t>积极推广清洁能源使用，实施大唐华银醴陵泗汾鸭塘水库60MW复合光伏发电项目与浦口镇、白兔潭镇、明月镇、沩山镇风力发电项目。</w:t>
            </w:r>
          </w:p>
        </w:tc>
        <w:tc>
          <w:tcPr>
            <w:tcW w:w="397" w:type="pct"/>
            <w:noWrap/>
            <w:vAlign w:val="center"/>
          </w:tcPr>
          <w:p w14:paraId="525317D8">
            <w:pPr>
              <w:overflowPunct w:val="0"/>
              <w:spacing w:line="300" w:lineRule="exact"/>
              <w:ind w:firstLine="0" w:firstLineChars="0"/>
              <w:jc w:val="center"/>
              <w:rPr>
                <w:rFonts w:cs="Times New Roman"/>
                <w:sz w:val="21"/>
                <w:szCs w:val="21"/>
              </w:rPr>
            </w:pPr>
            <w:r>
              <w:rPr>
                <w:rFonts w:cs="Times New Roman"/>
                <w:sz w:val="21"/>
                <w:szCs w:val="21"/>
              </w:rPr>
              <w:t>新建</w:t>
            </w:r>
          </w:p>
        </w:tc>
        <w:tc>
          <w:tcPr>
            <w:tcW w:w="469" w:type="pct"/>
            <w:noWrap/>
            <w:vAlign w:val="center"/>
          </w:tcPr>
          <w:p w14:paraId="7184C6E3">
            <w:pPr>
              <w:overflowPunct w:val="0"/>
              <w:spacing w:line="300" w:lineRule="exact"/>
              <w:ind w:firstLine="0" w:firstLineChars="0"/>
              <w:jc w:val="center"/>
              <w:rPr>
                <w:rFonts w:cs="Times New Roman"/>
                <w:sz w:val="21"/>
                <w:szCs w:val="21"/>
              </w:rPr>
            </w:pPr>
            <w:r>
              <w:rPr>
                <w:rFonts w:cs="Times New Roman"/>
                <w:sz w:val="21"/>
                <w:szCs w:val="21"/>
              </w:rPr>
              <w:t>2021—2030</w:t>
            </w:r>
          </w:p>
        </w:tc>
        <w:tc>
          <w:tcPr>
            <w:tcW w:w="383" w:type="pct"/>
            <w:noWrap/>
            <w:vAlign w:val="center"/>
          </w:tcPr>
          <w:p w14:paraId="307F63C2">
            <w:pPr>
              <w:spacing w:line="300" w:lineRule="exact"/>
              <w:ind w:firstLine="0" w:firstLineChars="0"/>
              <w:jc w:val="center"/>
              <w:rPr>
                <w:rFonts w:cs="Times New Roman"/>
                <w:sz w:val="21"/>
                <w:szCs w:val="21"/>
              </w:rPr>
            </w:pPr>
            <w:r>
              <w:rPr>
                <w:rFonts w:cs="Times New Roman"/>
                <w:sz w:val="21"/>
                <w:szCs w:val="21"/>
              </w:rPr>
              <w:t>110000</w:t>
            </w:r>
          </w:p>
        </w:tc>
        <w:tc>
          <w:tcPr>
            <w:tcW w:w="589" w:type="pct"/>
            <w:noWrap/>
            <w:vAlign w:val="center"/>
          </w:tcPr>
          <w:p w14:paraId="0FA0F811">
            <w:pPr>
              <w:overflowPunct w:val="0"/>
              <w:spacing w:line="300" w:lineRule="exact"/>
              <w:ind w:firstLine="0" w:firstLineChars="0"/>
              <w:jc w:val="center"/>
              <w:rPr>
                <w:rFonts w:cs="Times New Roman"/>
                <w:sz w:val="21"/>
                <w:szCs w:val="21"/>
              </w:rPr>
            </w:pPr>
            <w:r>
              <w:rPr>
                <w:rFonts w:cs="Times New Roman"/>
                <w:sz w:val="21"/>
                <w:szCs w:val="21"/>
              </w:rPr>
              <w:t>市发改局</w:t>
            </w:r>
          </w:p>
        </w:tc>
      </w:tr>
      <w:tr w14:paraId="35C4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5DFECCCA">
            <w:pPr>
              <w:pStyle w:val="13"/>
              <w:spacing w:line="300" w:lineRule="exact"/>
              <w:ind w:firstLine="0" w:firstLineChars="0"/>
              <w:jc w:val="center"/>
              <w:rPr>
                <w:rFonts w:cs="Times New Roman"/>
                <w:sz w:val="21"/>
                <w:szCs w:val="21"/>
              </w:rPr>
            </w:pPr>
          </w:p>
        </w:tc>
        <w:tc>
          <w:tcPr>
            <w:tcW w:w="179" w:type="pct"/>
            <w:vAlign w:val="center"/>
          </w:tcPr>
          <w:p w14:paraId="7125C475">
            <w:pPr>
              <w:pStyle w:val="13"/>
              <w:tabs>
                <w:tab w:val="left" w:pos="511"/>
              </w:tabs>
              <w:spacing w:line="300" w:lineRule="exact"/>
              <w:ind w:firstLine="0" w:firstLineChars="0"/>
              <w:jc w:val="center"/>
              <w:rPr>
                <w:rFonts w:cs="Times New Roman"/>
                <w:bCs/>
                <w:sz w:val="21"/>
                <w:szCs w:val="21"/>
              </w:rPr>
            </w:pPr>
            <w:r>
              <w:rPr>
                <w:rFonts w:cs="Times New Roman"/>
                <w:bCs/>
                <w:sz w:val="21"/>
                <w:szCs w:val="21"/>
              </w:rPr>
              <w:t>16</w:t>
            </w:r>
          </w:p>
        </w:tc>
        <w:tc>
          <w:tcPr>
            <w:tcW w:w="713" w:type="pct"/>
            <w:vAlign w:val="center"/>
          </w:tcPr>
          <w:p w14:paraId="377C9AFC">
            <w:pPr>
              <w:widowControl/>
              <w:spacing w:line="300" w:lineRule="exact"/>
              <w:ind w:firstLine="0" w:firstLineChars="0"/>
              <w:jc w:val="center"/>
              <w:textAlignment w:val="center"/>
              <w:rPr>
                <w:rFonts w:cs="Times New Roman"/>
                <w:sz w:val="21"/>
                <w:szCs w:val="21"/>
              </w:rPr>
            </w:pPr>
            <w:r>
              <w:rPr>
                <w:rFonts w:cs="Times New Roman"/>
                <w:kern w:val="0"/>
                <w:sz w:val="21"/>
                <w:szCs w:val="21"/>
              </w:rPr>
              <w:t>醴陵市2021—2025年高标准农田建设项目</w:t>
            </w:r>
          </w:p>
        </w:tc>
        <w:tc>
          <w:tcPr>
            <w:tcW w:w="2035" w:type="pct"/>
            <w:vAlign w:val="center"/>
          </w:tcPr>
          <w:p w14:paraId="54928811">
            <w:pPr>
              <w:widowControl/>
              <w:spacing w:line="300" w:lineRule="exact"/>
              <w:ind w:firstLine="0" w:firstLineChars="0"/>
              <w:textAlignment w:val="center"/>
              <w:rPr>
                <w:rFonts w:cs="Times New Roman"/>
                <w:sz w:val="21"/>
                <w:szCs w:val="21"/>
              </w:rPr>
            </w:pPr>
            <w:r>
              <w:rPr>
                <w:rFonts w:cs="Times New Roman"/>
                <w:kern w:val="0"/>
                <w:sz w:val="21"/>
                <w:szCs w:val="21"/>
              </w:rPr>
              <w:t>对全市耕地进行土地平整、土壤改良、灌溉排水、田间道路、农田防护与生态环境保持、农田输配电和监测工程。</w:t>
            </w:r>
          </w:p>
        </w:tc>
        <w:tc>
          <w:tcPr>
            <w:tcW w:w="397" w:type="pct"/>
            <w:vAlign w:val="center"/>
          </w:tcPr>
          <w:p w14:paraId="09C4FB03">
            <w:pPr>
              <w:widowControl/>
              <w:spacing w:line="300" w:lineRule="exact"/>
              <w:ind w:firstLine="0" w:firstLineChars="0"/>
              <w:jc w:val="center"/>
              <w:textAlignment w:val="center"/>
              <w:rPr>
                <w:rFonts w:cs="Times New Roman"/>
                <w:sz w:val="21"/>
                <w:szCs w:val="21"/>
              </w:rPr>
            </w:pPr>
            <w:r>
              <w:rPr>
                <w:rFonts w:cs="Times New Roman"/>
                <w:kern w:val="0"/>
                <w:sz w:val="21"/>
                <w:szCs w:val="21"/>
              </w:rPr>
              <w:t>续建</w:t>
            </w:r>
          </w:p>
        </w:tc>
        <w:tc>
          <w:tcPr>
            <w:tcW w:w="469" w:type="pct"/>
            <w:vAlign w:val="center"/>
          </w:tcPr>
          <w:p w14:paraId="57B06A7C">
            <w:pPr>
              <w:widowControl/>
              <w:spacing w:line="300" w:lineRule="exact"/>
              <w:ind w:firstLine="0" w:firstLineChars="0"/>
              <w:jc w:val="center"/>
              <w:textAlignment w:val="center"/>
              <w:rPr>
                <w:rFonts w:cs="Times New Roman"/>
                <w:sz w:val="21"/>
                <w:szCs w:val="21"/>
              </w:rPr>
            </w:pPr>
            <w:r>
              <w:rPr>
                <w:rFonts w:cs="Times New Roman"/>
                <w:sz w:val="21"/>
                <w:szCs w:val="21"/>
              </w:rPr>
              <w:t>2021—2025</w:t>
            </w:r>
          </w:p>
        </w:tc>
        <w:tc>
          <w:tcPr>
            <w:tcW w:w="383" w:type="pct"/>
            <w:vAlign w:val="center"/>
          </w:tcPr>
          <w:p w14:paraId="366C4716">
            <w:pPr>
              <w:spacing w:line="300" w:lineRule="exact"/>
              <w:ind w:firstLine="0" w:firstLineChars="0"/>
              <w:jc w:val="center"/>
              <w:rPr>
                <w:rFonts w:cs="Times New Roman"/>
                <w:sz w:val="21"/>
                <w:szCs w:val="21"/>
              </w:rPr>
            </w:pPr>
            <w:r>
              <w:rPr>
                <w:rFonts w:cs="Times New Roman"/>
                <w:sz w:val="21"/>
                <w:szCs w:val="21"/>
              </w:rPr>
              <w:t>30000</w:t>
            </w:r>
          </w:p>
        </w:tc>
        <w:tc>
          <w:tcPr>
            <w:tcW w:w="589" w:type="pct"/>
            <w:vAlign w:val="center"/>
          </w:tcPr>
          <w:p w14:paraId="184F3254">
            <w:pPr>
              <w:widowControl/>
              <w:spacing w:line="300" w:lineRule="exact"/>
              <w:ind w:firstLine="0" w:firstLineChars="0"/>
              <w:jc w:val="center"/>
              <w:textAlignment w:val="center"/>
              <w:rPr>
                <w:rFonts w:cs="Times New Roman"/>
                <w:sz w:val="21"/>
                <w:szCs w:val="21"/>
              </w:rPr>
            </w:pPr>
            <w:r>
              <w:rPr>
                <w:rFonts w:cs="Times New Roman"/>
                <w:kern w:val="0"/>
                <w:sz w:val="21"/>
                <w:szCs w:val="21"/>
              </w:rPr>
              <w:t>市农业农村局</w:t>
            </w:r>
          </w:p>
        </w:tc>
      </w:tr>
      <w:tr w14:paraId="0C7E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38" w:hRule="atLeast"/>
          <w:jc w:val="center"/>
        </w:trPr>
        <w:tc>
          <w:tcPr>
            <w:tcW w:w="235" w:type="pct"/>
            <w:vMerge w:val="continue"/>
            <w:vAlign w:val="center"/>
          </w:tcPr>
          <w:p w14:paraId="0578219F">
            <w:pPr>
              <w:pStyle w:val="13"/>
              <w:spacing w:line="300" w:lineRule="exact"/>
              <w:ind w:firstLine="0" w:firstLineChars="0"/>
              <w:jc w:val="center"/>
              <w:rPr>
                <w:rFonts w:cs="Times New Roman"/>
                <w:sz w:val="21"/>
                <w:szCs w:val="21"/>
              </w:rPr>
            </w:pPr>
          </w:p>
        </w:tc>
        <w:tc>
          <w:tcPr>
            <w:tcW w:w="179" w:type="pct"/>
            <w:vAlign w:val="center"/>
          </w:tcPr>
          <w:p w14:paraId="3D2503DD">
            <w:pPr>
              <w:pStyle w:val="13"/>
              <w:tabs>
                <w:tab w:val="left" w:pos="511"/>
              </w:tabs>
              <w:spacing w:line="300" w:lineRule="exact"/>
              <w:ind w:firstLine="0" w:firstLineChars="0"/>
              <w:jc w:val="center"/>
              <w:rPr>
                <w:rFonts w:cs="Times New Roman"/>
                <w:bCs/>
                <w:sz w:val="21"/>
                <w:szCs w:val="21"/>
              </w:rPr>
            </w:pPr>
            <w:r>
              <w:rPr>
                <w:rFonts w:cs="Times New Roman"/>
                <w:bCs/>
                <w:sz w:val="21"/>
                <w:szCs w:val="21"/>
              </w:rPr>
              <w:t>17</w:t>
            </w:r>
          </w:p>
        </w:tc>
        <w:tc>
          <w:tcPr>
            <w:tcW w:w="713" w:type="pct"/>
            <w:vAlign w:val="center"/>
          </w:tcPr>
          <w:p w14:paraId="5AE08FD8">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现代渔业产业化建设项目</w:t>
            </w:r>
          </w:p>
        </w:tc>
        <w:tc>
          <w:tcPr>
            <w:tcW w:w="2035" w:type="pct"/>
            <w:vAlign w:val="center"/>
          </w:tcPr>
          <w:p w14:paraId="2049608E">
            <w:pPr>
              <w:widowControl/>
              <w:spacing w:line="300" w:lineRule="exact"/>
              <w:ind w:firstLine="0" w:firstLineChars="0"/>
              <w:textAlignment w:val="center"/>
              <w:rPr>
                <w:rFonts w:cs="Times New Roman"/>
                <w:kern w:val="0"/>
                <w:sz w:val="21"/>
                <w:szCs w:val="21"/>
              </w:rPr>
            </w:pPr>
            <w:r>
              <w:rPr>
                <w:rFonts w:cs="Times New Roman"/>
                <w:kern w:val="0"/>
                <w:sz w:val="21"/>
                <w:szCs w:val="21"/>
              </w:rPr>
              <w:t>项目总用地面积320亩，其中取水塘10亩，亲鱼池面积100亩，生化净水塘面积90亩，工厂化养鱼车间80亩，道路、生产资料、工具房、办公、化验室、生活配套设施等用地40亩。建设集现代工程、机电、生物、环保及饲料等多学科于一体的工厂化循环水养殖模式，实现养殖水体循环使用。</w:t>
            </w:r>
          </w:p>
        </w:tc>
        <w:tc>
          <w:tcPr>
            <w:tcW w:w="397" w:type="pct"/>
            <w:vAlign w:val="center"/>
          </w:tcPr>
          <w:p w14:paraId="683D1B9E">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新建</w:t>
            </w:r>
          </w:p>
        </w:tc>
        <w:tc>
          <w:tcPr>
            <w:tcW w:w="469" w:type="pct"/>
            <w:vAlign w:val="center"/>
          </w:tcPr>
          <w:p w14:paraId="16CAD523">
            <w:pPr>
              <w:widowControl/>
              <w:spacing w:line="300" w:lineRule="exact"/>
              <w:ind w:firstLine="0" w:firstLineChars="0"/>
              <w:jc w:val="center"/>
              <w:textAlignment w:val="center"/>
              <w:rPr>
                <w:rFonts w:cs="Times New Roman"/>
                <w:sz w:val="21"/>
                <w:szCs w:val="21"/>
              </w:rPr>
            </w:pPr>
            <w:r>
              <w:rPr>
                <w:rFonts w:cs="Times New Roman"/>
                <w:sz w:val="21"/>
                <w:szCs w:val="21"/>
              </w:rPr>
              <w:t>2021—2025</w:t>
            </w:r>
          </w:p>
        </w:tc>
        <w:tc>
          <w:tcPr>
            <w:tcW w:w="383" w:type="pct"/>
            <w:vAlign w:val="center"/>
          </w:tcPr>
          <w:p w14:paraId="1D2C8C22">
            <w:pPr>
              <w:spacing w:line="300" w:lineRule="exact"/>
              <w:ind w:firstLine="0" w:firstLineChars="0"/>
              <w:jc w:val="center"/>
              <w:rPr>
                <w:rFonts w:cs="Times New Roman"/>
                <w:sz w:val="21"/>
                <w:szCs w:val="21"/>
              </w:rPr>
            </w:pPr>
            <w:r>
              <w:rPr>
                <w:rFonts w:cs="Times New Roman"/>
                <w:sz w:val="21"/>
                <w:szCs w:val="21"/>
              </w:rPr>
              <w:t>8000</w:t>
            </w:r>
          </w:p>
        </w:tc>
        <w:tc>
          <w:tcPr>
            <w:tcW w:w="589" w:type="pct"/>
            <w:vAlign w:val="center"/>
          </w:tcPr>
          <w:p w14:paraId="3C4C51AD">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市畜牧水产事务中心</w:t>
            </w:r>
          </w:p>
        </w:tc>
      </w:tr>
      <w:tr w14:paraId="3F46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48F75DF7">
            <w:pPr>
              <w:pStyle w:val="13"/>
              <w:spacing w:line="300" w:lineRule="exact"/>
              <w:ind w:firstLine="0" w:firstLineChars="0"/>
              <w:jc w:val="center"/>
              <w:rPr>
                <w:rFonts w:cs="Times New Roman"/>
                <w:sz w:val="21"/>
                <w:szCs w:val="21"/>
              </w:rPr>
            </w:pPr>
          </w:p>
        </w:tc>
        <w:tc>
          <w:tcPr>
            <w:tcW w:w="179" w:type="pct"/>
            <w:vAlign w:val="center"/>
          </w:tcPr>
          <w:p w14:paraId="475D3B15">
            <w:pPr>
              <w:pStyle w:val="13"/>
              <w:tabs>
                <w:tab w:val="left" w:pos="511"/>
              </w:tabs>
              <w:spacing w:line="300" w:lineRule="exact"/>
              <w:ind w:firstLine="0" w:firstLineChars="0"/>
              <w:jc w:val="center"/>
              <w:rPr>
                <w:rFonts w:cs="Times New Roman"/>
                <w:bCs/>
                <w:sz w:val="21"/>
                <w:szCs w:val="21"/>
              </w:rPr>
            </w:pPr>
            <w:r>
              <w:rPr>
                <w:rFonts w:cs="Times New Roman"/>
                <w:bCs/>
                <w:sz w:val="21"/>
                <w:szCs w:val="21"/>
              </w:rPr>
              <w:t>18</w:t>
            </w:r>
          </w:p>
        </w:tc>
        <w:tc>
          <w:tcPr>
            <w:tcW w:w="713" w:type="pct"/>
            <w:vAlign w:val="center"/>
          </w:tcPr>
          <w:p w14:paraId="73A66557">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10万亩良种油茶提质改造项目</w:t>
            </w:r>
          </w:p>
        </w:tc>
        <w:tc>
          <w:tcPr>
            <w:tcW w:w="2035" w:type="pct"/>
            <w:vAlign w:val="center"/>
          </w:tcPr>
          <w:p w14:paraId="3B3BAF48">
            <w:pPr>
              <w:widowControl/>
              <w:spacing w:line="300" w:lineRule="exact"/>
              <w:ind w:firstLine="0" w:firstLineChars="0"/>
              <w:textAlignment w:val="center"/>
              <w:rPr>
                <w:rFonts w:cs="Times New Roman"/>
                <w:kern w:val="0"/>
                <w:sz w:val="21"/>
                <w:szCs w:val="21"/>
              </w:rPr>
            </w:pPr>
            <w:r>
              <w:rPr>
                <w:rFonts w:cs="Times New Roman"/>
                <w:kern w:val="0"/>
                <w:sz w:val="21"/>
                <w:szCs w:val="21"/>
              </w:rPr>
              <w:t>通过病虫害防治、森林抚育、精细施肥、密度调整等方式对10万亩良种油茶进行提质改造，提高油茶果产量，提升茶油品质。</w:t>
            </w:r>
          </w:p>
        </w:tc>
        <w:tc>
          <w:tcPr>
            <w:tcW w:w="397" w:type="pct"/>
            <w:vAlign w:val="center"/>
          </w:tcPr>
          <w:p w14:paraId="366EB619">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新建</w:t>
            </w:r>
          </w:p>
        </w:tc>
        <w:tc>
          <w:tcPr>
            <w:tcW w:w="469" w:type="pct"/>
            <w:vAlign w:val="center"/>
          </w:tcPr>
          <w:p w14:paraId="4BAE041A">
            <w:pPr>
              <w:widowControl/>
              <w:spacing w:line="300" w:lineRule="exact"/>
              <w:ind w:firstLine="0" w:firstLineChars="0"/>
              <w:jc w:val="center"/>
              <w:textAlignment w:val="center"/>
              <w:rPr>
                <w:rFonts w:cs="Times New Roman"/>
                <w:sz w:val="21"/>
                <w:szCs w:val="21"/>
              </w:rPr>
            </w:pPr>
            <w:r>
              <w:rPr>
                <w:rFonts w:cs="Times New Roman"/>
                <w:sz w:val="21"/>
                <w:szCs w:val="21"/>
              </w:rPr>
              <w:t>2021—2025</w:t>
            </w:r>
          </w:p>
        </w:tc>
        <w:tc>
          <w:tcPr>
            <w:tcW w:w="383" w:type="pct"/>
            <w:vAlign w:val="center"/>
          </w:tcPr>
          <w:p w14:paraId="5DFE5208">
            <w:pPr>
              <w:spacing w:line="300" w:lineRule="exact"/>
              <w:ind w:firstLine="0" w:firstLineChars="0"/>
              <w:jc w:val="center"/>
              <w:rPr>
                <w:rFonts w:cs="Times New Roman"/>
                <w:sz w:val="21"/>
                <w:szCs w:val="21"/>
              </w:rPr>
            </w:pPr>
            <w:r>
              <w:rPr>
                <w:rFonts w:cs="Times New Roman"/>
                <w:sz w:val="21"/>
                <w:szCs w:val="21"/>
              </w:rPr>
              <w:t>10000</w:t>
            </w:r>
          </w:p>
        </w:tc>
        <w:tc>
          <w:tcPr>
            <w:tcW w:w="589" w:type="pct"/>
            <w:vAlign w:val="center"/>
          </w:tcPr>
          <w:p w14:paraId="57EEB1AA">
            <w:pPr>
              <w:widowControl/>
              <w:spacing w:line="300" w:lineRule="exact"/>
              <w:ind w:firstLine="0" w:firstLineChars="0"/>
              <w:jc w:val="center"/>
              <w:textAlignment w:val="center"/>
              <w:rPr>
                <w:rFonts w:cs="Times New Roman"/>
                <w:sz w:val="21"/>
                <w:szCs w:val="21"/>
              </w:rPr>
            </w:pPr>
            <w:r>
              <w:rPr>
                <w:rFonts w:cs="Times New Roman"/>
                <w:kern w:val="0"/>
                <w:sz w:val="21"/>
                <w:szCs w:val="21"/>
              </w:rPr>
              <w:t>市林业局</w:t>
            </w:r>
          </w:p>
        </w:tc>
      </w:tr>
      <w:tr w14:paraId="6A65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restart"/>
            <w:vAlign w:val="center"/>
          </w:tcPr>
          <w:p w14:paraId="7FB6CA67">
            <w:pPr>
              <w:pStyle w:val="13"/>
              <w:spacing w:line="300" w:lineRule="exact"/>
              <w:ind w:firstLine="0" w:firstLineChars="0"/>
              <w:jc w:val="center"/>
              <w:rPr>
                <w:rFonts w:cs="Times New Roman"/>
                <w:sz w:val="21"/>
                <w:szCs w:val="21"/>
              </w:rPr>
            </w:pPr>
            <w:r>
              <w:rPr>
                <w:rFonts w:cs="Times New Roman"/>
                <w:sz w:val="21"/>
                <w:szCs w:val="21"/>
              </w:rPr>
              <w:t>生态经济建设</w:t>
            </w:r>
          </w:p>
        </w:tc>
        <w:tc>
          <w:tcPr>
            <w:tcW w:w="179" w:type="pct"/>
            <w:vAlign w:val="center"/>
          </w:tcPr>
          <w:p w14:paraId="2018BAD8">
            <w:pPr>
              <w:pStyle w:val="13"/>
              <w:tabs>
                <w:tab w:val="left" w:pos="511"/>
              </w:tabs>
              <w:spacing w:line="300" w:lineRule="exact"/>
              <w:ind w:firstLine="0" w:firstLineChars="0"/>
              <w:jc w:val="center"/>
              <w:rPr>
                <w:rFonts w:cs="Times New Roman"/>
                <w:bCs/>
                <w:sz w:val="21"/>
                <w:szCs w:val="21"/>
              </w:rPr>
            </w:pPr>
            <w:r>
              <w:rPr>
                <w:rFonts w:cs="Times New Roman"/>
                <w:bCs/>
                <w:sz w:val="21"/>
                <w:szCs w:val="21"/>
              </w:rPr>
              <w:t>19</w:t>
            </w:r>
          </w:p>
        </w:tc>
        <w:tc>
          <w:tcPr>
            <w:tcW w:w="713" w:type="pct"/>
            <w:vAlign w:val="center"/>
          </w:tcPr>
          <w:p w14:paraId="26CFB47E">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10万亩早春蔬菜</w:t>
            </w:r>
          </w:p>
          <w:p w14:paraId="4D7C5E41">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基地建设</w:t>
            </w:r>
          </w:p>
        </w:tc>
        <w:tc>
          <w:tcPr>
            <w:tcW w:w="2035" w:type="pct"/>
            <w:vAlign w:val="center"/>
          </w:tcPr>
          <w:p w14:paraId="14A1BF13">
            <w:pPr>
              <w:widowControl/>
              <w:spacing w:line="300" w:lineRule="exact"/>
              <w:ind w:firstLine="0" w:firstLineChars="0"/>
              <w:textAlignment w:val="center"/>
              <w:rPr>
                <w:rFonts w:cs="Times New Roman"/>
                <w:kern w:val="0"/>
                <w:sz w:val="21"/>
                <w:szCs w:val="21"/>
              </w:rPr>
            </w:pPr>
            <w:r>
              <w:rPr>
                <w:rFonts w:cs="Times New Roman"/>
                <w:kern w:val="0"/>
                <w:sz w:val="21"/>
                <w:szCs w:val="21"/>
              </w:rPr>
              <w:t>建设10万亩早春丝瓜、黄瓜、苦瓜、茄子、辣椒等蔬菜生产基地，完善大棚、排灌沟渠、喷滴灌、绿色防控、冷链加工等设施设备，全面推广应用设施育苗、高效低毒低残留农药、测土配方施肥、水肥一体化等生产技术。</w:t>
            </w:r>
          </w:p>
        </w:tc>
        <w:tc>
          <w:tcPr>
            <w:tcW w:w="397" w:type="pct"/>
            <w:vAlign w:val="center"/>
          </w:tcPr>
          <w:p w14:paraId="6E766B85">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续建</w:t>
            </w:r>
          </w:p>
        </w:tc>
        <w:tc>
          <w:tcPr>
            <w:tcW w:w="469" w:type="pct"/>
            <w:vAlign w:val="center"/>
          </w:tcPr>
          <w:p w14:paraId="401718B4">
            <w:pPr>
              <w:widowControl/>
              <w:spacing w:line="300" w:lineRule="exact"/>
              <w:ind w:firstLine="0" w:firstLineChars="0"/>
              <w:jc w:val="center"/>
              <w:textAlignment w:val="center"/>
              <w:rPr>
                <w:rFonts w:cs="Times New Roman"/>
                <w:sz w:val="21"/>
                <w:szCs w:val="21"/>
              </w:rPr>
            </w:pPr>
            <w:r>
              <w:rPr>
                <w:rFonts w:cs="Times New Roman"/>
                <w:sz w:val="21"/>
                <w:szCs w:val="21"/>
              </w:rPr>
              <w:t>2021—2025</w:t>
            </w:r>
          </w:p>
        </w:tc>
        <w:tc>
          <w:tcPr>
            <w:tcW w:w="383" w:type="pct"/>
            <w:vAlign w:val="center"/>
          </w:tcPr>
          <w:p w14:paraId="7D92AAB6">
            <w:pPr>
              <w:spacing w:line="300" w:lineRule="exact"/>
              <w:ind w:firstLine="0" w:firstLineChars="0"/>
              <w:jc w:val="center"/>
              <w:rPr>
                <w:rFonts w:cs="Times New Roman"/>
                <w:sz w:val="21"/>
                <w:szCs w:val="21"/>
              </w:rPr>
            </w:pPr>
            <w:r>
              <w:rPr>
                <w:rFonts w:cs="Times New Roman"/>
                <w:sz w:val="21"/>
                <w:szCs w:val="21"/>
              </w:rPr>
              <w:t>15000</w:t>
            </w:r>
          </w:p>
        </w:tc>
        <w:tc>
          <w:tcPr>
            <w:tcW w:w="589" w:type="pct"/>
            <w:vAlign w:val="center"/>
          </w:tcPr>
          <w:p w14:paraId="57233250">
            <w:pPr>
              <w:widowControl/>
              <w:spacing w:line="300" w:lineRule="exact"/>
              <w:ind w:firstLine="0" w:firstLineChars="0"/>
              <w:jc w:val="center"/>
              <w:textAlignment w:val="center"/>
              <w:rPr>
                <w:rFonts w:cs="Times New Roman"/>
                <w:kern w:val="0"/>
                <w:sz w:val="21"/>
                <w:szCs w:val="21"/>
              </w:rPr>
            </w:pPr>
            <w:r>
              <w:rPr>
                <w:rFonts w:cs="Times New Roman"/>
                <w:kern w:val="0"/>
                <w:sz w:val="21"/>
                <w:szCs w:val="21"/>
              </w:rPr>
              <w:t>市农业农村局</w:t>
            </w:r>
          </w:p>
        </w:tc>
      </w:tr>
      <w:tr w14:paraId="77ED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98" w:hRule="atLeast"/>
          <w:jc w:val="center"/>
        </w:trPr>
        <w:tc>
          <w:tcPr>
            <w:tcW w:w="235" w:type="pct"/>
            <w:vMerge w:val="continue"/>
            <w:vAlign w:val="center"/>
          </w:tcPr>
          <w:p w14:paraId="3DBBBF8C">
            <w:pPr>
              <w:pStyle w:val="13"/>
              <w:spacing w:line="300" w:lineRule="exact"/>
              <w:ind w:firstLine="0" w:firstLineChars="0"/>
              <w:jc w:val="center"/>
              <w:rPr>
                <w:rFonts w:cs="Times New Roman"/>
                <w:sz w:val="21"/>
                <w:szCs w:val="21"/>
              </w:rPr>
            </w:pPr>
          </w:p>
        </w:tc>
        <w:tc>
          <w:tcPr>
            <w:tcW w:w="179" w:type="pct"/>
            <w:vAlign w:val="center"/>
          </w:tcPr>
          <w:p w14:paraId="3D36DDE8">
            <w:pPr>
              <w:pStyle w:val="13"/>
              <w:tabs>
                <w:tab w:val="left" w:pos="511"/>
              </w:tabs>
              <w:spacing w:line="300" w:lineRule="exact"/>
              <w:ind w:firstLine="0" w:firstLineChars="0"/>
              <w:jc w:val="center"/>
              <w:rPr>
                <w:rFonts w:cs="Times New Roman"/>
                <w:bCs/>
                <w:sz w:val="21"/>
                <w:szCs w:val="21"/>
              </w:rPr>
            </w:pPr>
            <w:r>
              <w:rPr>
                <w:rFonts w:cs="Times New Roman"/>
                <w:bCs/>
                <w:sz w:val="21"/>
                <w:szCs w:val="21"/>
              </w:rPr>
              <w:t>20</w:t>
            </w:r>
          </w:p>
        </w:tc>
        <w:tc>
          <w:tcPr>
            <w:tcW w:w="713" w:type="pct"/>
            <w:vAlign w:val="center"/>
          </w:tcPr>
          <w:p w14:paraId="07E1C896">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醴陵市官庄湖旅游建设项目</w:t>
            </w:r>
          </w:p>
        </w:tc>
        <w:tc>
          <w:tcPr>
            <w:tcW w:w="2035" w:type="pct"/>
            <w:vAlign w:val="center"/>
          </w:tcPr>
          <w:p w14:paraId="2F7D7B5A">
            <w:pPr>
              <w:pStyle w:val="16"/>
              <w:spacing w:before="0" w:beforeAutospacing="0" w:line="300" w:lineRule="exact"/>
              <w:ind w:left="0" w:leftChars="0" w:firstLine="0" w:firstLineChars="0"/>
              <w:rPr>
                <w:rFonts w:cs="Times New Roman"/>
                <w:sz w:val="21"/>
                <w:szCs w:val="21"/>
              </w:rPr>
            </w:pPr>
            <w:r>
              <w:rPr>
                <w:rFonts w:cs="Times New Roman"/>
                <w:kern w:val="0"/>
                <w:sz w:val="21"/>
                <w:szCs w:val="21"/>
              </w:rPr>
              <w:t>主要对官庄湖主体库区、环水库沿岸、下游涧江以及周边区域实施湿地保护工程、恢复工程、科普宣教工程、监测工程、合理利用工程等，用地面积约1000亩。</w:t>
            </w:r>
          </w:p>
        </w:tc>
        <w:tc>
          <w:tcPr>
            <w:tcW w:w="397" w:type="pct"/>
            <w:vAlign w:val="center"/>
          </w:tcPr>
          <w:p w14:paraId="471EDDB1">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0B807ECB">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2021—2025</w:t>
            </w:r>
          </w:p>
        </w:tc>
        <w:tc>
          <w:tcPr>
            <w:tcW w:w="383" w:type="pct"/>
            <w:vAlign w:val="center"/>
          </w:tcPr>
          <w:p w14:paraId="5B7B51F2">
            <w:pPr>
              <w:spacing w:line="300" w:lineRule="exact"/>
              <w:ind w:firstLine="0" w:firstLineChars="0"/>
              <w:jc w:val="center"/>
              <w:rPr>
                <w:rFonts w:cs="Times New Roman"/>
                <w:sz w:val="21"/>
                <w:szCs w:val="21"/>
              </w:rPr>
            </w:pPr>
            <w:r>
              <w:rPr>
                <w:rFonts w:cs="Times New Roman"/>
                <w:sz w:val="21"/>
                <w:szCs w:val="21"/>
              </w:rPr>
              <w:t>5000</w:t>
            </w:r>
          </w:p>
        </w:tc>
        <w:tc>
          <w:tcPr>
            <w:tcW w:w="589" w:type="pct"/>
            <w:vAlign w:val="center"/>
          </w:tcPr>
          <w:p w14:paraId="03F58338">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市林业局</w:t>
            </w:r>
          </w:p>
        </w:tc>
      </w:tr>
      <w:tr w14:paraId="292A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08" w:hRule="atLeast"/>
          <w:jc w:val="center"/>
        </w:trPr>
        <w:tc>
          <w:tcPr>
            <w:tcW w:w="235" w:type="pct"/>
            <w:vMerge w:val="restart"/>
            <w:vAlign w:val="center"/>
          </w:tcPr>
          <w:p w14:paraId="007238CC">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生态生活建设</w:t>
            </w:r>
          </w:p>
        </w:tc>
        <w:tc>
          <w:tcPr>
            <w:tcW w:w="179" w:type="pct"/>
            <w:vAlign w:val="center"/>
          </w:tcPr>
          <w:p w14:paraId="6156D9BB">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21</w:t>
            </w:r>
          </w:p>
        </w:tc>
        <w:tc>
          <w:tcPr>
            <w:tcW w:w="713" w:type="pct"/>
            <w:vAlign w:val="center"/>
          </w:tcPr>
          <w:p w14:paraId="567668E8">
            <w:pPr>
              <w:pStyle w:val="16"/>
              <w:spacing w:line="300" w:lineRule="exact"/>
              <w:ind w:left="0" w:leftChars="0" w:firstLine="0" w:firstLineChars="0"/>
              <w:jc w:val="center"/>
              <w:rPr>
                <w:rFonts w:cs="Times New Roman"/>
                <w:sz w:val="21"/>
                <w:szCs w:val="21"/>
              </w:rPr>
            </w:pPr>
            <w:r>
              <w:rPr>
                <w:rFonts w:cs="Times New Roman"/>
                <w:sz w:val="21"/>
                <w:szCs w:val="21"/>
              </w:rPr>
              <w:t>千吨万人供水工程新建改造工程</w:t>
            </w:r>
          </w:p>
        </w:tc>
        <w:tc>
          <w:tcPr>
            <w:tcW w:w="2035" w:type="pct"/>
            <w:vAlign w:val="center"/>
          </w:tcPr>
          <w:p w14:paraId="0005EB88">
            <w:pPr>
              <w:pStyle w:val="16"/>
              <w:spacing w:line="300" w:lineRule="exact"/>
              <w:ind w:left="0" w:leftChars="0" w:firstLine="0" w:firstLineChars="0"/>
              <w:rPr>
                <w:rFonts w:cs="Times New Roman"/>
                <w:sz w:val="21"/>
                <w:szCs w:val="21"/>
              </w:rPr>
            </w:pPr>
            <w:r>
              <w:rPr>
                <w:rFonts w:cs="Times New Roman"/>
                <w:sz w:val="21"/>
                <w:szCs w:val="21"/>
              </w:rPr>
              <w:t>铺设管网435千米、新增水质化验室15处、新增自动化监控系统15处；对沈潭自来水厂、船湾自来水厂、泗汾自来水厂、泗新自来水厂的水源工程进行改造。改造千人工程26处，铺设管网295千米、新增水质化验室25处、自动化监控系统25处，对6处水厂的水源工程进行改造。新建三星里自来水厂（二期）工程，设计规模20000m³/d，新建官庄水厂，设计规模20000m³/d，新建白兔潭镇，石亭镇自来水厂，设计规模3000m³/d。</w:t>
            </w:r>
          </w:p>
        </w:tc>
        <w:tc>
          <w:tcPr>
            <w:tcW w:w="397" w:type="pct"/>
            <w:vAlign w:val="center"/>
          </w:tcPr>
          <w:p w14:paraId="59E8BD79">
            <w:pPr>
              <w:pStyle w:val="16"/>
              <w:spacing w:line="300" w:lineRule="exact"/>
              <w:ind w:left="0" w:leftChars="0" w:firstLine="0" w:firstLineChars="0"/>
              <w:jc w:val="center"/>
              <w:rPr>
                <w:rFonts w:cs="Times New Roman"/>
                <w:sz w:val="21"/>
                <w:szCs w:val="21"/>
              </w:rPr>
            </w:pPr>
            <w:r>
              <w:rPr>
                <w:rFonts w:cs="Times New Roman"/>
                <w:sz w:val="21"/>
                <w:szCs w:val="21"/>
              </w:rPr>
              <w:t>续建</w:t>
            </w:r>
          </w:p>
        </w:tc>
        <w:tc>
          <w:tcPr>
            <w:tcW w:w="469" w:type="pct"/>
            <w:vAlign w:val="center"/>
          </w:tcPr>
          <w:p w14:paraId="6BE1C941">
            <w:pPr>
              <w:pStyle w:val="16"/>
              <w:spacing w:line="300" w:lineRule="exact"/>
              <w:ind w:left="0" w:leftChars="0" w:firstLine="0" w:firstLineChars="0"/>
              <w:jc w:val="center"/>
              <w:rPr>
                <w:rFonts w:cs="Times New Roman"/>
                <w:sz w:val="21"/>
                <w:szCs w:val="21"/>
              </w:rPr>
            </w:pPr>
            <w:r>
              <w:rPr>
                <w:rFonts w:cs="Times New Roman"/>
                <w:sz w:val="21"/>
                <w:szCs w:val="21"/>
              </w:rPr>
              <w:t>2021—2025</w:t>
            </w:r>
          </w:p>
        </w:tc>
        <w:tc>
          <w:tcPr>
            <w:tcW w:w="383" w:type="pct"/>
            <w:vAlign w:val="center"/>
          </w:tcPr>
          <w:p w14:paraId="183D2A1C">
            <w:pPr>
              <w:spacing w:line="300" w:lineRule="exact"/>
              <w:ind w:firstLine="0" w:firstLineChars="0"/>
              <w:jc w:val="center"/>
              <w:rPr>
                <w:rFonts w:cs="Times New Roman"/>
                <w:sz w:val="21"/>
                <w:szCs w:val="21"/>
              </w:rPr>
            </w:pPr>
            <w:r>
              <w:rPr>
                <w:rFonts w:cs="Times New Roman"/>
                <w:sz w:val="21"/>
                <w:szCs w:val="21"/>
              </w:rPr>
              <w:t>8000</w:t>
            </w:r>
          </w:p>
        </w:tc>
        <w:tc>
          <w:tcPr>
            <w:tcW w:w="589" w:type="pct"/>
            <w:vAlign w:val="center"/>
          </w:tcPr>
          <w:p w14:paraId="38C6BC29">
            <w:pPr>
              <w:pStyle w:val="16"/>
              <w:spacing w:line="300" w:lineRule="exact"/>
              <w:ind w:left="0" w:leftChars="0" w:firstLine="0" w:firstLineChars="0"/>
              <w:jc w:val="center"/>
              <w:rPr>
                <w:rFonts w:cs="Times New Roman"/>
                <w:sz w:val="21"/>
                <w:szCs w:val="21"/>
              </w:rPr>
            </w:pPr>
            <w:r>
              <w:rPr>
                <w:rFonts w:cs="Times New Roman"/>
                <w:sz w:val="21"/>
                <w:szCs w:val="21"/>
              </w:rPr>
              <w:t>市水利局</w:t>
            </w:r>
          </w:p>
        </w:tc>
      </w:tr>
      <w:tr w14:paraId="1B23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02" w:hRule="atLeast"/>
          <w:jc w:val="center"/>
        </w:trPr>
        <w:tc>
          <w:tcPr>
            <w:tcW w:w="235" w:type="pct"/>
            <w:vMerge w:val="continue"/>
            <w:vAlign w:val="center"/>
          </w:tcPr>
          <w:p w14:paraId="55BDC744">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3AEE38CB">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22</w:t>
            </w:r>
          </w:p>
        </w:tc>
        <w:tc>
          <w:tcPr>
            <w:tcW w:w="713" w:type="pct"/>
            <w:vAlign w:val="center"/>
          </w:tcPr>
          <w:p w14:paraId="096473B7">
            <w:pPr>
              <w:pStyle w:val="16"/>
              <w:spacing w:before="0" w:beforeAutospacing="0" w:line="300" w:lineRule="exact"/>
              <w:ind w:left="0" w:leftChars="0" w:firstLine="0" w:firstLineChars="0"/>
              <w:jc w:val="center"/>
              <w:rPr>
                <w:rFonts w:cs="Times New Roman"/>
                <w:kern w:val="0"/>
                <w:sz w:val="21"/>
                <w:szCs w:val="21"/>
              </w:rPr>
            </w:pPr>
            <w:r>
              <w:rPr>
                <w:rFonts w:cs="Times New Roman"/>
                <w:kern w:val="0"/>
                <w:sz w:val="21"/>
                <w:szCs w:val="21"/>
              </w:rPr>
              <w:t>千人供水工程改造工程</w:t>
            </w:r>
          </w:p>
        </w:tc>
        <w:tc>
          <w:tcPr>
            <w:tcW w:w="2035" w:type="pct"/>
            <w:vAlign w:val="center"/>
          </w:tcPr>
          <w:p w14:paraId="5BE93D81">
            <w:pPr>
              <w:pStyle w:val="16"/>
              <w:spacing w:before="0" w:beforeAutospacing="0" w:line="300" w:lineRule="exact"/>
              <w:ind w:left="0" w:leftChars="0" w:firstLine="0" w:firstLineChars="0"/>
              <w:rPr>
                <w:rFonts w:cs="Times New Roman"/>
                <w:kern w:val="0"/>
                <w:sz w:val="21"/>
                <w:szCs w:val="21"/>
              </w:rPr>
            </w:pPr>
            <w:r>
              <w:rPr>
                <w:rFonts w:cs="Times New Roman"/>
                <w:kern w:val="0"/>
                <w:sz w:val="21"/>
                <w:szCs w:val="21"/>
              </w:rPr>
              <w:t>安装消毒设备和进、出水厂水计量装置，改装入户智能表；新建水质化验室，新建自动化监控系统1处；改造村内管网长度，进行水源地划、立、治；采用PE管更换原配水管网并配置入户水表达到一户一水表要求；新增消毒设备、净化设备、水质化验室及配置自动化监控系统。</w:t>
            </w:r>
          </w:p>
        </w:tc>
        <w:tc>
          <w:tcPr>
            <w:tcW w:w="397" w:type="pct"/>
            <w:vAlign w:val="center"/>
          </w:tcPr>
          <w:p w14:paraId="216BC897">
            <w:pPr>
              <w:pStyle w:val="16"/>
              <w:spacing w:before="0" w:beforeAutospacing="0" w:line="300" w:lineRule="exact"/>
              <w:ind w:left="0" w:leftChars="0" w:firstLine="0" w:firstLineChars="0"/>
              <w:jc w:val="center"/>
              <w:rPr>
                <w:rFonts w:cs="Times New Roman"/>
                <w:kern w:val="0"/>
                <w:sz w:val="21"/>
                <w:szCs w:val="21"/>
              </w:rPr>
            </w:pPr>
            <w:r>
              <w:rPr>
                <w:rFonts w:cs="Times New Roman"/>
                <w:kern w:val="0"/>
                <w:sz w:val="21"/>
                <w:szCs w:val="21"/>
              </w:rPr>
              <w:t>续建</w:t>
            </w:r>
          </w:p>
        </w:tc>
        <w:tc>
          <w:tcPr>
            <w:tcW w:w="469" w:type="pct"/>
            <w:vAlign w:val="center"/>
          </w:tcPr>
          <w:p w14:paraId="0BFA928B">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2021—2025</w:t>
            </w:r>
          </w:p>
        </w:tc>
        <w:tc>
          <w:tcPr>
            <w:tcW w:w="383" w:type="pct"/>
            <w:vAlign w:val="center"/>
          </w:tcPr>
          <w:p w14:paraId="331EC7D7">
            <w:pPr>
              <w:spacing w:line="300" w:lineRule="exact"/>
              <w:ind w:firstLine="0" w:firstLineChars="0"/>
              <w:jc w:val="center"/>
              <w:rPr>
                <w:rFonts w:cs="Times New Roman"/>
                <w:sz w:val="21"/>
                <w:szCs w:val="21"/>
              </w:rPr>
            </w:pPr>
            <w:r>
              <w:rPr>
                <w:rFonts w:cs="Times New Roman"/>
                <w:sz w:val="21"/>
                <w:szCs w:val="21"/>
              </w:rPr>
              <w:t>4000</w:t>
            </w:r>
          </w:p>
        </w:tc>
        <w:tc>
          <w:tcPr>
            <w:tcW w:w="589" w:type="pct"/>
            <w:vAlign w:val="center"/>
          </w:tcPr>
          <w:p w14:paraId="19B6ED34">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市水利局</w:t>
            </w:r>
          </w:p>
        </w:tc>
      </w:tr>
      <w:tr w14:paraId="06E9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restart"/>
            <w:vAlign w:val="center"/>
          </w:tcPr>
          <w:p w14:paraId="756D5704">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生态生活建设</w:t>
            </w:r>
          </w:p>
        </w:tc>
        <w:tc>
          <w:tcPr>
            <w:tcW w:w="179" w:type="pct"/>
            <w:vAlign w:val="center"/>
          </w:tcPr>
          <w:p w14:paraId="7840CDFF">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23</w:t>
            </w:r>
          </w:p>
        </w:tc>
        <w:tc>
          <w:tcPr>
            <w:tcW w:w="713" w:type="pct"/>
            <w:vAlign w:val="center"/>
          </w:tcPr>
          <w:p w14:paraId="6CB1F8E1">
            <w:pPr>
              <w:pStyle w:val="16"/>
              <w:spacing w:before="0" w:beforeAutospacing="0" w:line="300" w:lineRule="exact"/>
              <w:ind w:left="0" w:leftChars="0" w:firstLine="0" w:firstLineChars="0"/>
              <w:jc w:val="center"/>
              <w:rPr>
                <w:rFonts w:cs="Times New Roman"/>
                <w:kern w:val="0"/>
                <w:sz w:val="21"/>
                <w:szCs w:val="21"/>
              </w:rPr>
            </w:pPr>
            <w:r>
              <w:rPr>
                <w:rFonts w:cs="Times New Roman"/>
                <w:kern w:val="0"/>
                <w:sz w:val="21"/>
                <w:szCs w:val="21"/>
              </w:rPr>
              <w:t>水库饮用水源保护区生态保护工程</w:t>
            </w:r>
          </w:p>
        </w:tc>
        <w:tc>
          <w:tcPr>
            <w:tcW w:w="2035" w:type="pct"/>
            <w:vAlign w:val="center"/>
          </w:tcPr>
          <w:p w14:paraId="3AF3968F">
            <w:pPr>
              <w:pStyle w:val="16"/>
              <w:spacing w:before="0" w:beforeAutospacing="0" w:line="300" w:lineRule="exact"/>
              <w:ind w:left="0" w:leftChars="0" w:firstLine="0" w:firstLineChars="0"/>
              <w:rPr>
                <w:rFonts w:cs="Times New Roman"/>
                <w:kern w:val="0"/>
                <w:sz w:val="21"/>
                <w:szCs w:val="21"/>
              </w:rPr>
            </w:pPr>
            <w:r>
              <w:rPr>
                <w:rFonts w:cs="Times New Roman"/>
                <w:kern w:val="0"/>
                <w:sz w:val="21"/>
                <w:szCs w:val="21"/>
              </w:rPr>
              <w:t>做好官庄、望仙桥、藕塘等9座饮用水源水库以及其引水工程周边生态环境保护，包括隔离防护与宣传警示工程、植被恢复、河湖滨带生态修复、地质环境治理等。</w:t>
            </w:r>
          </w:p>
        </w:tc>
        <w:tc>
          <w:tcPr>
            <w:tcW w:w="397" w:type="pct"/>
            <w:vAlign w:val="center"/>
          </w:tcPr>
          <w:p w14:paraId="68A71CD8">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6DB7C1E6">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2021—2030</w:t>
            </w:r>
          </w:p>
        </w:tc>
        <w:tc>
          <w:tcPr>
            <w:tcW w:w="383" w:type="pct"/>
            <w:vAlign w:val="center"/>
          </w:tcPr>
          <w:p w14:paraId="74E7DE47">
            <w:pPr>
              <w:spacing w:line="300" w:lineRule="exact"/>
              <w:ind w:firstLine="0" w:firstLineChars="0"/>
              <w:jc w:val="center"/>
              <w:rPr>
                <w:rFonts w:cs="Times New Roman"/>
                <w:sz w:val="21"/>
                <w:szCs w:val="21"/>
              </w:rPr>
            </w:pPr>
            <w:r>
              <w:rPr>
                <w:rFonts w:cs="Times New Roman"/>
                <w:sz w:val="21"/>
                <w:szCs w:val="21"/>
              </w:rPr>
              <w:t>3000</w:t>
            </w:r>
          </w:p>
        </w:tc>
        <w:tc>
          <w:tcPr>
            <w:tcW w:w="589" w:type="pct"/>
            <w:vAlign w:val="center"/>
          </w:tcPr>
          <w:p w14:paraId="41A80607">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市水利局</w:t>
            </w:r>
          </w:p>
        </w:tc>
      </w:tr>
      <w:tr w14:paraId="60B7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2BE3A618">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795316EB">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24</w:t>
            </w:r>
          </w:p>
        </w:tc>
        <w:tc>
          <w:tcPr>
            <w:tcW w:w="713" w:type="pct"/>
            <w:vAlign w:val="center"/>
          </w:tcPr>
          <w:p w14:paraId="34D3E494">
            <w:pPr>
              <w:pStyle w:val="16"/>
              <w:spacing w:before="0" w:beforeAutospacing="0" w:line="300" w:lineRule="exact"/>
              <w:ind w:left="0" w:leftChars="0" w:firstLine="0" w:firstLineChars="0"/>
              <w:jc w:val="center"/>
              <w:rPr>
                <w:rFonts w:cs="Times New Roman"/>
                <w:kern w:val="0"/>
                <w:sz w:val="21"/>
                <w:szCs w:val="21"/>
              </w:rPr>
            </w:pPr>
            <w:r>
              <w:rPr>
                <w:rFonts w:cs="Times New Roman"/>
                <w:kern w:val="0"/>
                <w:sz w:val="21"/>
                <w:szCs w:val="21"/>
              </w:rPr>
              <w:t>醴陵市城乡供水一体化工程</w:t>
            </w:r>
          </w:p>
        </w:tc>
        <w:tc>
          <w:tcPr>
            <w:tcW w:w="2035" w:type="pct"/>
            <w:vAlign w:val="center"/>
          </w:tcPr>
          <w:p w14:paraId="69E6DC34">
            <w:pPr>
              <w:pStyle w:val="16"/>
              <w:spacing w:before="0" w:beforeAutospacing="0" w:line="300" w:lineRule="exact"/>
              <w:ind w:left="0" w:leftChars="0" w:firstLine="0" w:firstLineChars="0"/>
              <w:rPr>
                <w:rFonts w:cs="Times New Roman"/>
                <w:kern w:val="0"/>
                <w:sz w:val="21"/>
                <w:szCs w:val="21"/>
              </w:rPr>
            </w:pPr>
            <w:r>
              <w:rPr>
                <w:rFonts w:cs="Times New Roman"/>
                <w:kern w:val="0"/>
                <w:sz w:val="21"/>
                <w:szCs w:val="21"/>
              </w:rPr>
              <w:t>新建醴陵第二水厂，规模100000m³/d水厂，新建五大片区供水管网工程、铺设管网393.78千米、新建自动化监控系统5处。</w:t>
            </w:r>
          </w:p>
        </w:tc>
        <w:tc>
          <w:tcPr>
            <w:tcW w:w="397" w:type="pct"/>
            <w:vAlign w:val="center"/>
          </w:tcPr>
          <w:p w14:paraId="0D15F63F">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4801FC03">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2021—2030</w:t>
            </w:r>
          </w:p>
        </w:tc>
        <w:tc>
          <w:tcPr>
            <w:tcW w:w="383" w:type="pct"/>
            <w:vAlign w:val="center"/>
          </w:tcPr>
          <w:p w14:paraId="6048F340">
            <w:pPr>
              <w:spacing w:line="300" w:lineRule="exact"/>
              <w:ind w:firstLine="0" w:firstLineChars="0"/>
              <w:jc w:val="center"/>
              <w:rPr>
                <w:rFonts w:cs="Times New Roman"/>
                <w:sz w:val="21"/>
                <w:szCs w:val="21"/>
              </w:rPr>
            </w:pPr>
            <w:r>
              <w:rPr>
                <w:rFonts w:cs="Times New Roman"/>
                <w:sz w:val="21"/>
                <w:szCs w:val="21"/>
              </w:rPr>
              <w:t>18000</w:t>
            </w:r>
          </w:p>
        </w:tc>
        <w:tc>
          <w:tcPr>
            <w:tcW w:w="589" w:type="pct"/>
            <w:vAlign w:val="center"/>
          </w:tcPr>
          <w:p w14:paraId="5C3FF9E7">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市水利局</w:t>
            </w:r>
          </w:p>
        </w:tc>
      </w:tr>
      <w:tr w14:paraId="22E7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110E1FE4">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403C9757">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25</w:t>
            </w:r>
          </w:p>
        </w:tc>
        <w:tc>
          <w:tcPr>
            <w:tcW w:w="713" w:type="pct"/>
            <w:vAlign w:val="center"/>
          </w:tcPr>
          <w:p w14:paraId="23B1A6CE">
            <w:pPr>
              <w:pStyle w:val="16"/>
              <w:spacing w:before="0" w:beforeAutospacing="0" w:line="300" w:lineRule="exact"/>
              <w:ind w:left="0" w:leftChars="0" w:firstLine="0" w:firstLineChars="0"/>
              <w:jc w:val="center"/>
              <w:rPr>
                <w:rFonts w:cs="Times New Roman"/>
                <w:kern w:val="0"/>
                <w:sz w:val="21"/>
                <w:szCs w:val="21"/>
              </w:rPr>
            </w:pPr>
            <w:r>
              <w:rPr>
                <w:rFonts w:cs="Times New Roman"/>
                <w:sz w:val="21"/>
                <w:szCs w:val="21"/>
              </w:rPr>
              <w:t>醴陵市农村生活污水处理工程</w:t>
            </w:r>
          </w:p>
        </w:tc>
        <w:tc>
          <w:tcPr>
            <w:tcW w:w="2035" w:type="pct"/>
            <w:vAlign w:val="center"/>
          </w:tcPr>
          <w:p w14:paraId="4746FA48">
            <w:pPr>
              <w:pStyle w:val="16"/>
              <w:spacing w:before="0" w:beforeAutospacing="0" w:line="300" w:lineRule="exact"/>
              <w:ind w:left="0" w:leftChars="0" w:firstLine="0" w:firstLineChars="0"/>
              <w:rPr>
                <w:rFonts w:cs="Times New Roman"/>
                <w:kern w:val="0"/>
                <w:sz w:val="21"/>
                <w:szCs w:val="21"/>
              </w:rPr>
            </w:pPr>
            <w:r>
              <w:rPr>
                <w:rFonts w:cs="Times New Roman"/>
                <w:sz w:val="21"/>
                <w:szCs w:val="21"/>
              </w:rPr>
              <w:t>在全市所有村（社区）内，新建总规模为7700m</w:t>
            </w:r>
            <w:r>
              <w:rPr>
                <w:rFonts w:cs="Times New Roman"/>
                <w:sz w:val="21"/>
                <w:szCs w:val="21"/>
                <w:vertAlign w:val="superscript"/>
              </w:rPr>
              <w:t>3</w:t>
            </w:r>
            <w:r>
              <w:rPr>
                <w:rFonts w:cs="Times New Roman"/>
                <w:sz w:val="21"/>
                <w:szCs w:val="21"/>
              </w:rPr>
              <w:t>/d的污水处理设施。</w:t>
            </w:r>
          </w:p>
        </w:tc>
        <w:tc>
          <w:tcPr>
            <w:tcW w:w="397" w:type="pct"/>
            <w:vAlign w:val="center"/>
          </w:tcPr>
          <w:p w14:paraId="78E1C3B0">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76BEB4AE">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2021—2023</w:t>
            </w:r>
          </w:p>
        </w:tc>
        <w:tc>
          <w:tcPr>
            <w:tcW w:w="383" w:type="pct"/>
            <w:vAlign w:val="center"/>
          </w:tcPr>
          <w:p w14:paraId="0512349F">
            <w:pPr>
              <w:spacing w:line="300" w:lineRule="exact"/>
              <w:ind w:firstLine="0" w:firstLineChars="0"/>
              <w:jc w:val="center"/>
              <w:rPr>
                <w:rFonts w:cs="Times New Roman"/>
                <w:sz w:val="21"/>
                <w:szCs w:val="21"/>
              </w:rPr>
            </w:pPr>
            <w:r>
              <w:rPr>
                <w:rFonts w:cs="Times New Roman"/>
                <w:sz w:val="21"/>
                <w:szCs w:val="21"/>
              </w:rPr>
              <w:t>19000</w:t>
            </w:r>
          </w:p>
        </w:tc>
        <w:tc>
          <w:tcPr>
            <w:tcW w:w="589" w:type="pct"/>
            <w:vAlign w:val="center"/>
          </w:tcPr>
          <w:p w14:paraId="32958EB5">
            <w:pPr>
              <w:pStyle w:val="16"/>
              <w:spacing w:before="0" w:beforeAutospacing="0" w:line="300" w:lineRule="exact"/>
              <w:ind w:left="0" w:leftChars="0" w:firstLine="0" w:firstLineChars="0"/>
              <w:jc w:val="center"/>
              <w:rPr>
                <w:rFonts w:cs="Times New Roman"/>
                <w:sz w:val="21"/>
                <w:szCs w:val="21"/>
              </w:rPr>
            </w:pPr>
            <w:r>
              <w:rPr>
                <w:rFonts w:cs="Times New Roman"/>
                <w:spacing w:val="-6"/>
                <w:kern w:val="0"/>
                <w:sz w:val="21"/>
                <w:szCs w:val="21"/>
              </w:rPr>
              <w:t>株洲市生态环境局醴陵分局、各镇（街道）</w:t>
            </w:r>
          </w:p>
        </w:tc>
      </w:tr>
      <w:tr w14:paraId="6AE9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47C78917">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4FAE0CE8">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26</w:t>
            </w:r>
          </w:p>
        </w:tc>
        <w:tc>
          <w:tcPr>
            <w:tcW w:w="713" w:type="pct"/>
            <w:vAlign w:val="center"/>
          </w:tcPr>
          <w:p w14:paraId="56B8ED44">
            <w:pPr>
              <w:pStyle w:val="16"/>
              <w:spacing w:before="0" w:beforeAutospacing="0" w:line="300" w:lineRule="exact"/>
              <w:ind w:left="0" w:leftChars="0" w:firstLine="0" w:firstLineChars="0"/>
              <w:jc w:val="center"/>
              <w:rPr>
                <w:rFonts w:cs="Times New Roman"/>
                <w:kern w:val="0"/>
                <w:sz w:val="21"/>
                <w:szCs w:val="21"/>
              </w:rPr>
            </w:pPr>
            <w:r>
              <w:rPr>
                <w:rFonts w:cs="Times New Roman"/>
                <w:sz w:val="21"/>
                <w:szCs w:val="21"/>
              </w:rPr>
              <w:t>醴陵市王仙镇店香河水环境综合整治工程</w:t>
            </w:r>
          </w:p>
        </w:tc>
        <w:tc>
          <w:tcPr>
            <w:tcW w:w="2035" w:type="pct"/>
            <w:vAlign w:val="center"/>
          </w:tcPr>
          <w:p w14:paraId="0477FE37">
            <w:pPr>
              <w:pStyle w:val="16"/>
              <w:spacing w:before="0" w:beforeAutospacing="0" w:line="300" w:lineRule="exact"/>
              <w:ind w:left="0" w:leftChars="0" w:firstLine="0" w:firstLineChars="0"/>
              <w:rPr>
                <w:rFonts w:cs="Times New Roman"/>
                <w:kern w:val="0"/>
                <w:sz w:val="21"/>
                <w:szCs w:val="21"/>
              </w:rPr>
            </w:pPr>
            <w:r>
              <w:rPr>
                <w:rFonts w:cs="Times New Roman"/>
                <w:sz w:val="21"/>
                <w:szCs w:val="21"/>
              </w:rPr>
              <w:t>在店香河王仙镇段的观口村至大和村河段、王仙社区支流河段等实施清污分流、清淤清障和水生态修复三部分工程。</w:t>
            </w:r>
          </w:p>
        </w:tc>
        <w:tc>
          <w:tcPr>
            <w:tcW w:w="397" w:type="pct"/>
            <w:vAlign w:val="center"/>
          </w:tcPr>
          <w:p w14:paraId="065975FD">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136B2768">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2021—2023</w:t>
            </w:r>
          </w:p>
        </w:tc>
        <w:tc>
          <w:tcPr>
            <w:tcW w:w="383" w:type="pct"/>
            <w:vAlign w:val="center"/>
          </w:tcPr>
          <w:p w14:paraId="311A7C07">
            <w:pPr>
              <w:spacing w:line="300" w:lineRule="exact"/>
              <w:ind w:firstLine="0" w:firstLineChars="0"/>
              <w:jc w:val="center"/>
              <w:rPr>
                <w:rFonts w:cs="Times New Roman"/>
                <w:sz w:val="21"/>
                <w:szCs w:val="21"/>
              </w:rPr>
            </w:pPr>
            <w:r>
              <w:rPr>
                <w:rFonts w:cs="Times New Roman"/>
                <w:sz w:val="21"/>
                <w:szCs w:val="21"/>
              </w:rPr>
              <w:t>3800</w:t>
            </w:r>
          </w:p>
        </w:tc>
        <w:tc>
          <w:tcPr>
            <w:tcW w:w="589" w:type="pct"/>
            <w:vAlign w:val="center"/>
          </w:tcPr>
          <w:p w14:paraId="1C30237F">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市水利局</w:t>
            </w:r>
          </w:p>
        </w:tc>
      </w:tr>
      <w:tr w14:paraId="3265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16DE7BF9">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1A473534">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27</w:t>
            </w:r>
          </w:p>
        </w:tc>
        <w:tc>
          <w:tcPr>
            <w:tcW w:w="713" w:type="pct"/>
            <w:vAlign w:val="center"/>
          </w:tcPr>
          <w:p w14:paraId="09BFD429">
            <w:pPr>
              <w:pStyle w:val="16"/>
              <w:spacing w:before="0" w:beforeAutospacing="0" w:line="300" w:lineRule="exact"/>
              <w:ind w:left="0" w:leftChars="0" w:firstLine="0" w:firstLineChars="0"/>
              <w:jc w:val="center"/>
              <w:rPr>
                <w:rFonts w:cs="Times New Roman"/>
                <w:sz w:val="21"/>
                <w:szCs w:val="21"/>
              </w:rPr>
            </w:pPr>
            <w:r>
              <w:rPr>
                <w:rFonts w:cs="Times New Roman"/>
                <w:kern w:val="0"/>
                <w:sz w:val="21"/>
                <w:szCs w:val="21"/>
              </w:rPr>
              <w:t>醴陵市集镇污水处理设施建设工程</w:t>
            </w:r>
          </w:p>
        </w:tc>
        <w:tc>
          <w:tcPr>
            <w:tcW w:w="2035" w:type="pct"/>
            <w:vAlign w:val="center"/>
          </w:tcPr>
          <w:p w14:paraId="2525E85B">
            <w:pPr>
              <w:pStyle w:val="16"/>
              <w:spacing w:before="0" w:beforeAutospacing="0" w:line="300" w:lineRule="exact"/>
              <w:ind w:left="0" w:leftChars="0" w:firstLine="0" w:firstLineChars="0"/>
              <w:rPr>
                <w:rFonts w:cs="Times New Roman"/>
                <w:kern w:val="0"/>
                <w:sz w:val="21"/>
                <w:szCs w:val="21"/>
              </w:rPr>
            </w:pPr>
            <w:r>
              <w:rPr>
                <w:rFonts w:cs="Times New Roman"/>
                <w:kern w:val="0"/>
                <w:sz w:val="21"/>
                <w:szCs w:val="21"/>
              </w:rPr>
              <w:t>在17个镇建设17处污水处理设施，配套管网141.50千米，近期总规模为2.8万m</w:t>
            </w:r>
            <w:r>
              <w:rPr>
                <w:rFonts w:cs="Times New Roman"/>
                <w:kern w:val="0"/>
                <w:sz w:val="21"/>
                <w:szCs w:val="21"/>
                <w:vertAlign w:val="superscript"/>
              </w:rPr>
              <w:t>3</w:t>
            </w:r>
            <w:r>
              <w:rPr>
                <w:rFonts w:cs="Times New Roman"/>
                <w:kern w:val="0"/>
                <w:sz w:val="21"/>
                <w:szCs w:val="21"/>
              </w:rPr>
              <w:t>/d。</w:t>
            </w:r>
          </w:p>
        </w:tc>
        <w:tc>
          <w:tcPr>
            <w:tcW w:w="397" w:type="pct"/>
            <w:vAlign w:val="center"/>
          </w:tcPr>
          <w:p w14:paraId="07EBAF3D">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1C9DCD16">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2021—2023</w:t>
            </w:r>
          </w:p>
        </w:tc>
        <w:tc>
          <w:tcPr>
            <w:tcW w:w="383" w:type="pct"/>
            <w:vAlign w:val="center"/>
          </w:tcPr>
          <w:p w14:paraId="3B2CACF2">
            <w:pPr>
              <w:spacing w:line="300" w:lineRule="exact"/>
              <w:ind w:firstLine="0" w:firstLineChars="0"/>
              <w:jc w:val="center"/>
              <w:rPr>
                <w:rFonts w:cs="Times New Roman"/>
                <w:sz w:val="21"/>
                <w:szCs w:val="21"/>
              </w:rPr>
            </w:pPr>
            <w:r>
              <w:rPr>
                <w:rFonts w:cs="Times New Roman"/>
                <w:sz w:val="21"/>
                <w:szCs w:val="21"/>
              </w:rPr>
              <w:t>25000</w:t>
            </w:r>
          </w:p>
        </w:tc>
        <w:tc>
          <w:tcPr>
            <w:tcW w:w="589" w:type="pct"/>
            <w:vAlign w:val="center"/>
          </w:tcPr>
          <w:p w14:paraId="474F2D39">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市住建局</w:t>
            </w:r>
          </w:p>
          <w:p w14:paraId="55F6DF74">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（市人防办）</w:t>
            </w:r>
          </w:p>
        </w:tc>
      </w:tr>
      <w:tr w14:paraId="55C4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104A31AD">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3C182FA2">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28</w:t>
            </w:r>
          </w:p>
        </w:tc>
        <w:tc>
          <w:tcPr>
            <w:tcW w:w="713" w:type="pct"/>
            <w:vAlign w:val="center"/>
          </w:tcPr>
          <w:p w14:paraId="1E9D0AD8">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城区污水处理提质增效项目</w:t>
            </w:r>
          </w:p>
        </w:tc>
        <w:tc>
          <w:tcPr>
            <w:tcW w:w="2035" w:type="pct"/>
            <w:vAlign w:val="center"/>
          </w:tcPr>
          <w:p w14:paraId="5C5BEEDD">
            <w:pPr>
              <w:pStyle w:val="16"/>
              <w:spacing w:before="0" w:beforeAutospacing="0" w:line="300" w:lineRule="exact"/>
              <w:ind w:left="0" w:leftChars="0" w:firstLine="0" w:firstLineChars="0"/>
              <w:rPr>
                <w:rFonts w:cs="Times New Roman"/>
                <w:kern w:val="0"/>
                <w:sz w:val="21"/>
                <w:szCs w:val="21"/>
              </w:rPr>
            </w:pPr>
            <w:r>
              <w:rPr>
                <w:rFonts w:cs="Times New Roman"/>
                <w:sz w:val="21"/>
                <w:szCs w:val="21"/>
              </w:rPr>
              <w:t>城区新增1座污水处理厂即渌水新城污水处理厂，日处理量共计6万吨/日。对城区管网建设进行雨污分流改造，提高污水收集率。</w:t>
            </w:r>
          </w:p>
        </w:tc>
        <w:tc>
          <w:tcPr>
            <w:tcW w:w="397" w:type="pct"/>
            <w:vAlign w:val="center"/>
          </w:tcPr>
          <w:p w14:paraId="4770C16E">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78B4B6A7">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2021—2025</w:t>
            </w:r>
          </w:p>
        </w:tc>
        <w:tc>
          <w:tcPr>
            <w:tcW w:w="383" w:type="pct"/>
            <w:vAlign w:val="center"/>
          </w:tcPr>
          <w:p w14:paraId="2351CE4F">
            <w:pPr>
              <w:spacing w:line="300" w:lineRule="exact"/>
              <w:ind w:firstLine="0" w:firstLineChars="0"/>
              <w:jc w:val="center"/>
              <w:rPr>
                <w:rFonts w:cs="Times New Roman"/>
                <w:sz w:val="21"/>
                <w:szCs w:val="21"/>
              </w:rPr>
            </w:pPr>
            <w:r>
              <w:rPr>
                <w:rFonts w:cs="Times New Roman"/>
                <w:sz w:val="21"/>
                <w:szCs w:val="21"/>
              </w:rPr>
              <w:t>20000</w:t>
            </w:r>
          </w:p>
        </w:tc>
        <w:tc>
          <w:tcPr>
            <w:tcW w:w="589" w:type="pct"/>
            <w:vAlign w:val="center"/>
          </w:tcPr>
          <w:p w14:paraId="7789C12D">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市住建局</w:t>
            </w:r>
          </w:p>
          <w:p w14:paraId="55C3406E">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（市人防办）</w:t>
            </w:r>
          </w:p>
          <w:p w14:paraId="2C0B6CD4">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财政局</w:t>
            </w:r>
          </w:p>
        </w:tc>
      </w:tr>
      <w:tr w14:paraId="4D8A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4" w:hRule="atLeast"/>
          <w:jc w:val="center"/>
        </w:trPr>
        <w:tc>
          <w:tcPr>
            <w:tcW w:w="235" w:type="pct"/>
            <w:vMerge w:val="continue"/>
            <w:vAlign w:val="center"/>
          </w:tcPr>
          <w:p w14:paraId="071459BD">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1CE1376F">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29</w:t>
            </w:r>
          </w:p>
        </w:tc>
        <w:tc>
          <w:tcPr>
            <w:tcW w:w="713" w:type="pct"/>
            <w:vAlign w:val="center"/>
          </w:tcPr>
          <w:p w14:paraId="52221042">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饮用水源保护区生态保护</w:t>
            </w:r>
          </w:p>
        </w:tc>
        <w:tc>
          <w:tcPr>
            <w:tcW w:w="2035" w:type="pct"/>
            <w:vAlign w:val="center"/>
          </w:tcPr>
          <w:p w14:paraId="4FE813A7">
            <w:pPr>
              <w:pStyle w:val="16"/>
              <w:spacing w:before="0" w:beforeAutospacing="0" w:line="300" w:lineRule="exact"/>
              <w:ind w:left="0" w:leftChars="0" w:firstLine="0" w:firstLineChars="0"/>
              <w:rPr>
                <w:rFonts w:cs="Times New Roman"/>
                <w:sz w:val="21"/>
                <w:szCs w:val="21"/>
              </w:rPr>
            </w:pPr>
            <w:r>
              <w:rPr>
                <w:rFonts w:cs="Times New Roman"/>
                <w:sz w:val="21"/>
                <w:szCs w:val="21"/>
              </w:rPr>
              <w:t>饮用水源保护区周边生态环境保护，环境污染治理。</w:t>
            </w:r>
          </w:p>
        </w:tc>
        <w:tc>
          <w:tcPr>
            <w:tcW w:w="397" w:type="pct"/>
            <w:vAlign w:val="center"/>
          </w:tcPr>
          <w:p w14:paraId="0E04E5D1">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287D3EFA">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2021—2030</w:t>
            </w:r>
          </w:p>
        </w:tc>
        <w:tc>
          <w:tcPr>
            <w:tcW w:w="383" w:type="pct"/>
            <w:vAlign w:val="center"/>
          </w:tcPr>
          <w:p w14:paraId="649E448D">
            <w:pPr>
              <w:spacing w:line="300" w:lineRule="exact"/>
              <w:ind w:firstLine="0" w:firstLineChars="0"/>
              <w:jc w:val="center"/>
              <w:rPr>
                <w:rFonts w:cs="Times New Roman"/>
                <w:sz w:val="21"/>
                <w:szCs w:val="21"/>
              </w:rPr>
            </w:pPr>
            <w:r>
              <w:rPr>
                <w:rFonts w:cs="Times New Roman"/>
                <w:sz w:val="21"/>
                <w:szCs w:val="21"/>
              </w:rPr>
              <w:t>1000</w:t>
            </w:r>
          </w:p>
        </w:tc>
        <w:tc>
          <w:tcPr>
            <w:tcW w:w="589" w:type="pct"/>
            <w:vAlign w:val="center"/>
          </w:tcPr>
          <w:p w14:paraId="7DE29446">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株洲市生态环境局醴陵分局</w:t>
            </w:r>
          </w:p>
        </w:tc>
      </w:tr>
      <w:tr w14:paraId="2D37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19" w:hRule="atLeast"/>
          <w:jc w:val="center"/>
        </w:trPr>
        <w:tc>
          <w:tcPr>
            <w:tcW w:w="235" w:type="pct"/>
            <w:vMerge w:val="continue"/>
            <w:vAlign w:val="center"/>
          </w:tcPr>
          <w:p w14:paraId="042767A1">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1CF44391">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30</w:t>
            </w:r>
          </w:p>
        </w:tc>
        <w:tc>
          <w:tcPr>
            <w:tcW w:w="713" w:type="pct"/>
            <w:vAlign w:val="center"/>
          </w:tcPr>
          <w:p w14:paraId="770A95AB">
            <w:pPr>
              <w:pStyle w:val="16"/>
              <w:spacing w:line="300" w:lineRule="exact"/>
              <w:ind w:left="0" w:leftChars="0" w:firstLine="0" w:firstLineChars="0"/>
              <w:jc w:val="center"/>
              <w:rPr>
                <w:rFonts w:cs="Times New Roman"/>
                <w:sz w:val="21"/>
                <w:szCs w:val="21"/>
              </w:rPr>
            </w:pPr>
            <w:r>
              <w:rPr>
                <w:rFonts w:cs="Times New Roman"/>
                <w:sz w:val="21"/>
                <w:szCs w:val="21"/>
              </w:rPr>
              <w:t>醴陵市水资源和水工程资产化规划</w:t>
            </w:r>
          </w:p>
        </w:tc>
        <w:tc>
          <w:tcPr>
            <w:tcW w:w="2035" w:type="pct"/>
            <w:vAlign w:val="center"/>
          </w:tcPr>
          <w:p w14:paraId="075716AA">
            <w:pPr>
              <w:pStyle w:val="16"/>
              <w:spacing w:line="300" w:lineRule="exact"/>
              <w:ind w:left="0" w:leftChars="0" w:firstLine="0" w:firstLineChars="0"/>
              <w:rPr>
                <w:rFonts w:cs="Times New Roman"/>
                <w:sz w:val="21"/>
                <w:szCs w:val="21"/>
              </w:rPr>
            </w:pPr>
            <w:r>
              <w:rPr>
                <w:rFonts w:cs="Times New Roman"/>
                <w:sz w:val="21"/>
                <w:szCs w:val="21"/>
              </w:rPr>
              <w:t>对全市主要河流、水库、水利工程等，探索水资源和水工程所有权、使用权、经营权三权分置，加快资产化、资本化进程。</w:t>
            </w:r>
          </w:p>
        </w:tc>
        <w:tc>
          <w:tcPr>
            <w:tcW w:w="397" w:type="pct"/>
            <w:vAlign w:val="center"/>
          </w:tcPr>
          <w:p w14:paraId="337D45A3">
            <w:pPr>
              <w:pStyle w:val="16"/>
              <w:spacing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15CE534E">
            <w:pPr>
              <w:pStyle w:val="16"/>
              <w:spacing w:line="300" w:lineRule="exact"/>
              <w:ind w:left="0" w:leftChars="0" w:firstLine="0" w:firstLineChars="0"/>
              <w:jc w:val="center"/>
              <w:rPr>
                <w:rFonts w:cs="Times New Roman"/>
                <w:sz w:val="21"/>
                <w:szCs w:val="21"/>
              </w:rPr>
            </w:pPr>
            <w:r>
              <w:rPr>
                <w:rFonts w:cs="Times New Roman"/>
                <w:sz w:val="21"/>
                <w:szCs w:val="21"/>
              </w:rPr>
              <w:t>2021—2025</w:t>
            </w:r>
          </w:p>
        </w:tc>
        <w:tc>
          <w:tcPr>
            <w:tcW w:w="383" w:type="pct"/>
            <w:vAlign w:val="center"/>
          </w:tcPr>
          <w:p w14:paraId="274B9EBE">
            <w:pPr>
              <w:spacing w:line="300" w:lineRule="exact"/>
              <w:ind w:firstLine="0" w:firstLineChars="0"/>
              <w:jc w:val="center"/>
              <w:rPr>
                <w:rFonts w:cs="Times New Roman"/>
                <w:sz w:val="21"/>
                <w:szCs w:val="21"/>
              </w:rPr>
            </w:pPr>
            <w:r>
              <w:rPr>
                <w:rFonts w:cs="Times New Roman"/>
                <w:sz w:val="21"/>
                <w:szCs w:val="21"/>
              </w:rPr>
              <w:t>500</w:t>
            </w:r>
          </w:p>
        </w:tc>
        <w:tc>
          <w:tcPr>
            <w:tcW w:w="589" w:type="pct"/>
            <w:vAlign w:val="center"/>
          </w:tcPr>
          <w:p w14:paraId="7215ABFC">
            <w:pPr>
              <w:pStyle w:val="16"/>
              <w:spacing w:line="300" w:lineRule="exact"/>
              <w:ind w:left="0" w:leftChars="0" w:firstLine="0" w:firstLineChars="0"/>
              <w:jc w:val="center"/>
              <w:rPr>
                <w:rFonts w:cs="Times New Roman"/>
                <w:sz w:val="21"/>
                <w:szCs w:val="21"/>
              </w:rPr>
            </w:pPr>
            <w:r>
              <w:rPr>
                <w:rFonts w:cs="Times New Roman"/>
                <w:sz w:val="21"/>
                <w:szCs w:val="21"/>
              </w:rPr>
              <w:t>市水利局</w:t>
            </w:r>
          </w:p>
        </w:tc>
      </w:tr>
      <w:tr w14:paraId="6538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09" w:hRule="atLeast"/>
          <w:jc w:val="center"/>
        </w:trPr>
        <w:tc>
          <w:tcPr>
            <w:tcW w:w="235" w:type="pct"/>
            <w:vMerge w:val="restart"/>
            <w:vAlign w:val="center"/>
          </w:tcPr>
          <w:p w14:paraId="4E1D71DC">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生态生活建设</w:t>
            </w:r>
          </w:p>
        </w:tc>
        <w:tc>
          <w:tcPr>
            <w:tcW w:w="179" w:type="pct"/>
            <w:vAlign w:val="center"/>
          </w:tcPr>
          <w:p w14:paraId="0A2DFC14">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31</w:t>
            </w:r>
          </w:p>
        </w:tc>
        <w:tc>
          <w:tcPr>
            <w:tcW w:w="713" w:type="pct"/>
            <w:vAlign w:val="center"/>
          </w:tcPr>
          <w:p w14:paraId="1F0C1DE6">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醴陵市智慧水利</w:t>
            </w:r>
          </w:p>
          <w:p w14:paraId="621B9731">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建设</w:t>
            </w:r>
          </w:p>
        </w:tc>
        <w:tc>
          <w:tcPr>
            <w:tcW w:w="2035" w:type="pct"/>
            <w:vAlign w:val="center"/>
          </w:tcPr>
          <w:p w14:paraId="31E8ABF0">
            <w:pPr>
              <w:pStyle w:val="16"/>
              <w:spacing w:before="0" w:beforeAutospacing="0" w:line="300" w:lineRule="exact"/>
              <w:ind w:left="0" w:leftChars="0" w:firstLine="0" w:firstLineChars="0"/>
              <w:rPr>
                <w:rFonts w:cs="Times New Roman"/>
                <w:sz w:val="21"/>
                <w:szCs w:val="21"/>
              </w:rPr>
            </w:pPr>
            <w:r>
              <w:rPr>
                <w:rFonts w:cs="Times New Roman"/>
                <w:sz w:val="21"/>
                <w:szCs w:val="21"/>
              </w:rPr>
              <w:t>物联感知体系建设，包含雨量、流量、水质、水保、墒情、大坝安全、工程运行和视频监测等；基础运行环境建设，包含云数据中心、基础信息设备、调度指挥中心等；业务应用系统建设，包含防汛抗旱调度、水资源综合管理、河湖长制管理、工程建设运行管理和水利政务系统等；应用平台建设，对接PC、平板、移动端等；省、市、县、乡、村五级互联互通通信系统建设。</w:t>
            </w:r>
          </w:p>
        </w:tc>
        <w:tc>
          <w:tcPr>
            <w:tcW w:w="397" w:type="pct"/>
            <w:vAlign w:val="center"/>
          </w:tcPr>
          <w:p w14:paraId="75770C6A">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0491386A">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2021—2030</w:t>
            </w:r>
          </w:p>
        </w:tc>
        <w:tc>
          <w:tcPr>
            <w:tcW w:w="383" w:type="pct"/>
            <w:vAlign w:val="center"/>
          </w:tcPr>
          <w:p w14:paraId="73149336">
            <w:pPr>
              <w:spacing w:line="300" w:lineRule="exact"/>
              <w:ind w:firstLine="0" w:firstLineChars="0"/>
              <w:jc w:val="center"/>
              <w:rPr>
                <w:rFonts w:cs="Times New Roman"/>
                <w:sz w:val="21"/>
                <w:szCs w:val="21"/>
              </w:rPr>
            </w:pPr>
            <w:r>
              <w:rPr>
                <w:rFonts w:cs="Times New Roman"/>
                <w:sz w:val="21"/>
                <w:szCs w:val="21"/>
              </w:rPr>
              <w:t>8000</w:t>
            </w:r>
          </w:p>
        </w:tc>
        <w:tc>
          <w:tcPr>
            <w:tcW w:w="589" w:type="pct"/>
            <w:vAlign w:val="center"/>
          </w:tcPr>
          <w:p w14:paraId="384709D2">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市水利局、市应急局、株洲市生态环境局醴陵分局</w:t>
            </w:r>
          </w:p>
        </w:tc>
      </w:tr>
      <w:tr w14:paraId="14C6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31" w:hRule="atLeast"/>
          <w:jc w:val="center"/>
        </w:trPr>
        <w:tc>
          <w:tcPr>
            <w:tcW w:w="235" w:type="pct"/>
            <w:vMerge w:val="continue"/>
            <w:vAlign w:val="center"/>
          </w:tcPr>
          <w:p w14:paraId="136CA328">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21FCFB5E">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32</w:t>
            </w:r>
          </w:p>
        </w:tc>
        <w:tc>
          <w:tcPr>
            <w:tcW w:w="713" w:type="pct"/>
            <w:vAlign w:val="center"/>
          </w:tcPr>
          <w:p w14:paraId="6F125911">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农村人居环境整治基础设施建设整县推进工程</w:t>
            </w:r>
          </w:p>
        </w:tc>
        <w:tc>
          <w:tcPr>
            <w:tcW w:w="2035" w:type="pct"/>
            <w:vAlign w:val="center"/>
          </w:tcPr>
          <w:p w14:paraId="214C40ED">
            <w:pPr>
              <w:pStyle w:val="16"/>
              <w:spacing w:before="0" w:beforeAutospacing="0" w:line="300" w:lineRule="exact"/>
              <w:ind w:left="0" w:leftChars="0" w:firstLine="0" w:firstLineChars="0"/>
              <w:rPr>
                <w:rFonts w:cs="Times New Roman"/>
                <w:sz w:val="21"/>
                <w:szCs w:val="21"/>
              </w:rPr>
            </w:pPr>
            <w:r>
              <w:rPr>
                <w:rFonts w:cs="Times New Roman"/>
                <w:sz w:val="21"/>
                <w:szCs w:val="21"/>
              </w:rPr>
              <w:t>重点完善“户清理、村收集、镇转运、市处理”农村垃圾分类、收运及处理体系，配备垃圾运输车及移动垃圾箱，新建15座生活垃圾压缩中转站；继续按照“四统一”要求推进农村“厕所革命”，完成全市5万个无害化厕所的新（改）建，加强改厕与农村生活污水治理、粪污资源化利用有效衔接。</w:t>
            </w:r>
          </w:p>
        </w:tc>
        <w:tc>
          <w:tcPr>
            <w:tcW w:w="397" w:type="pct"/>
            <w:vAlign w:val="center"/>
          </w:tcPr>
          <w:p w14:paraId="06BE7BDA">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2575CDAA">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2021—2025</w:t>
            </w:r>
          </w:p>
        </w:tc>
        <w:tc>
          <w:tcPr>
            <w:tcW w:w="383" w:type="pct"/>
            <w:vAlign w:val="center"/>
          </w:tcPr>
          <w:p w14:paraId="70695EAB">
            <w:pPr>
              <w:spacing w:line="300" w:lineRule="exact"/>
              <w:ind w:firstLine="0" w:firstLineChars="0"/>
              <w:jc w:val="center"/>
              <w:rPr>
                <w:rFonts w:cs="Times New Roman"/>
                <w:sz w:val="21"/>
                <w:szCs w:val="21"/>
              </w:rPr>
            </w:pPr>
            <w:r>
              <w:rPr>
                <w:rFonts w:cs="Times New Roman"/>
                <w:sz w:val="21"/>
                <w:szCs w:val="21"/>
              </w:rPr>
              <w:t>10000</w:t>
            </w:r>
          </w:p>
        </w:tc>
        <w:tc>
          <w:tcPr>
            <w:tcW w:w="589" w:type="pct"/>
            <w:vAlign w:val="center"/>
          </w:tcPr>
          <w:p w14:paraId="1A018EB8">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市农业农村局、市城管局</w:t>
            </w:r>
          </w:p>
        </w:tc>
      </w:tr>
      <w:tr w14:paraId="1B5C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82" w:hRule="atLeast"/>
          <w:jc w:val="center"/>
        </w:trPr>
        <w:tc>
          <w:tcPr>
            <w:tcW w:w="235" w:type="pct"/>
            <w:vMerge w:val="continue"/>
            <w:vAlign w:val="center"/>
          </w:tcPr>
          <w:p w14:paraId="601BF75D">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723D61E5">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33</w:t>
            </w:r>
          </w:p>
        </w:tc>
        <w:tc>
          <w:tcPr>
            <w:tcW w:w="713" w:type="pct"/>
            <w:vAlign w:val="center"/>
          </w:tcPr>
          <w:p w14:paraId="19609416">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醴陵市城乡生活垃圾资源化处理PPP项目</w:t>
            </w:r>
          </w:p>
        </w:tc>
        <w:tc>
          <w:tcPr>
            <w:tcW w:w="2035" w:type="pct"/>
            <w:vAlign w:val="center"/>
          </w:tcPr>
          <w:p w14:paraId="6EC32AA2">
            <w:pPr>
              <w:pStyle w:val="16"/>
              <w:spacing w:before="0" w:beforeAutospacing="0" w:line="300" w:lineRule="exact"/>
              <w:ind w:left="0" w:leftChars="0" w:firstLine="0" w:firstLineChars="0"/>
              <w:rPr>
                <w:rFonts w:cs="Times New Roman"/>
                <w:sz w:val="21"/>
                <w:szCs w:val="21"/>
              </w:rPr>
            </w:pPr>
            <w:r>
              <w:rPr>
                <w:rFonts w:cs="Times New Roman"/>
                <w:sz w:val="21"/>
                <w:szCs w:val="21"/>
              </w:rPr>
              <w:t>新建醴陵市城乡生活垃圾收运系统，设计日收运规模为600吨/天；新建醴陵市城乡生活垃圾焚烧发电项目，该项目近期建设处理规模为600吨/天，远期工程建设处理规模900吨/天，服务范围是醴陵市城乡范围内的生活垃圾；新建醴陵市城乡生活垃圾无害化处理场项目。</w:t>
            </w:r>
          </w:p>
        </w:tc>
        <w:tc>
          <w:tcPr>
            <w:tcW w:w="397" w:type="pct"/>
            <w:vAlign w:val="center"/>
          </w:tcPr>
          <w:p w14:paraId="30CADC61">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6C694A6A">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2021—2024</w:t>
            </w:r>
          </w:p>
        </w:tc>
        <w:tc>
          <w:tcPr>
            <w:tcW w:w="383" w:type="pct"/>
            <w:vAlign w:val="center"/>
          </w:tcPr>
          <w:p w14:paraId="38980C4A">
            <w:pPr>
              <w:spacing w:line="300" w:lineRule="exact"/>
              <w:ind w:firstLine="0" w:firstLineChars="0"/>
              <w:jc w:val="center"/>
              <w:rPr>
                <w:rFonts w:cs="Times New Roman"/>
                <w:sz w:val="21"/>
                <w:szCs w:val="21"/>
              </w:rPr>
            </w:pPr>
            <w:r>
              <w:rPr>
                <w:rFonts w:cs="Times New Roman"/>
                <w:sz w:val="21"/>
                <w:szCs w:val="21"/>
              </w:rPr>
              <w:t>71700</w:t>
            </w:r>
          </w:p>
        </w:tc>
        <w:tc>
          <w:tcPr>
            <w:tcW w:w="589" w:type="pct"/>
            <w:vAlign w:val="center"/>
          </w:tcPr>
          <w:p w14:paraId="5A9C079F">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市城管局</w:t>
            </w:r>
          </w:p>
        </w:tc>
      </w:tr>
      <w:tr w14:paraId="70B1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1979253C">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3B257DF6">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34</w:t>
            </w:r>
          </w:p>
        </w:tc>
        <w:tc>
          <w:tcPr>
            <w:tcW w:w="713" w:type="pct"/>
            <w:vAlign w:val="center"/>
          </w:tcPr>
          <w:p w14:paraId="6488DE4A">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新型环保建筑材料项目</w:t>
            </w:r>
          </w:p>
        </w:tc>
        <w:tc>
          <w:tcPr>
            <w:tcW w:w="2035" w:type="pct"/>
            <w:vAlign w:val="center"/>
          </w:tcPr>
          <w:p w14:paraId="17E43369">
            <w:pPr>
              <w:pStyle w:val="16"/>
              <w:spacing w:before="0" w:beforeAutospacing="0" w:line="300" w:lineRule="exact"/>
              <w:ind w:left="0" w:leftChars="0" w:firstLine="0" w:firstLineChars="0"/>
              <w:rPr>
                <w:rFonts w:cs="Times New Roman"/>
                <w:sz w:val="21"/>
                <w:szCs w:val="21"/>
              </w:rPr>
            </w:pPr>
            <w:r>
              <w:rPr>
                <w:rFonts w:cs="Times New Roman"/>
                <w:sz w:val="21"/>
                <w:szCs w:val="21"/>
              </w:rPr>
              <w:t>升级改造总建筑面积共约16000平方米</w:t>
            </w:r>
            <w:r>
              <w:rPr>
                <w:rFonts w:eastAsia="宋体" w:cs="Times New Roman"/>
                <w:sz w:val="21"/>
                <w:szCs w:val="21"/>
              </w:rPr>
              <w:t>的</w:t>
            </w:r>
            <w:r>
              <w:rPr>
                <w:rFonts w:cs="Times New Roman"/>
                <w:sz w:val="21"/>
                <w:szCs w:val="21"/>
              </w:rPr>
              <w:t>醴陵陶瓷博物馆，,改造场馆、完善功能、丰富陈列、增加游客服务设施。</w:t>
            </w:r>
          </w:p>
        </w:tc>
        <w:tc>
          <w:tcPr>
            <w:tcW w:w="397" w:type="pct"/>
            <w:vAlign w:val="center"/>
          </w:tcPr>
          <w:p w14:paraId="2FE39C1B">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改建</w:t>
            </w:r>
          </w:p>
        </w:tc>
        <w:tc>
          <w:tcPr>
            <w:tcW w:w="469" w:type="pct"/>
            <w:vAlign w:val="center"/>
          </w:tcPr>
          <w:p w14:paraId="56F502D5">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2021—2025</w:t>
            </w:r>
          </w:p>
        </w:tc>
        <w:tc>
          <w:tcPr>
            <w:tcW w:w="383" w:type="pct"/>
            <w:vAlign w:val="center"/>
          </w:tcPr>
          <w:p w14:paraId="7DAFF223">
            <w:pPr>
              <w:spacing w:line="300" w:lineRule="exact"/>
              <w:ind w:firstLine="0" w:firstLineChars="0"/>
              <w:jc w:val="center"/>
              <w:rPr>
                <w:rFonts w:cs="Times New Roman"/>
                <w:sz w:val="21"/>
                <w:szCs w:val="21"/>
              </w:rPr>
            </w:pPr>
            <w:r>
              <w:rPr>
                <w:rFonts w:cs="Times New Roman"/>
                <w:sz w:val="21"/>
                <w:szCs w:val="21"/>
              </w:rPr>
              <w:t>9500</w:t>
            </w:r>
          </w:p>
        </w:tc>
        <w:tc>
          <w:tcPr>
            <w:tcW w:w="589" w:type="pct"/>
            <w:vAlign w:val="center"/>
          </w:tcPr>
          <w:p w14:paraId="20254A08">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市文旅广体局</w:t>
            </w:r>
          </w:p>
        </w:tc>
      </w:tr>
      <w:tr w14:paraId="298C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24" w:hRule="atLeast"/>
          <w:jc w:val="center"/>
        </w:trPr>
        <w:tc>
          <w:tcPr>
            <w:tcW w:w="235" w:type="pct"/>
            <w:vMerge w:val="continue"/>
            <w:vAlign w:val="center"/>
          </w:tcPr>
          <w:p w14:paraId="69D945EB">
            <w:pPr>
              <w:pStyle w:val="16"/>
              <w:spacing w:before="0" w:beforeAutospacing="0" w:line="300" w:lineRule="exact"/>
              <w:ind w:left="0" w:leftChars="0" w:firstLine="0" w:firstLineChars="0"/>
              <w:jc w:val="center"/>
              <w:rPr>
                <w:rFonts w:cs="Times New Roman"/>
                <w:sz w:val="21"/>
                <w:szCs w:val="21"/>
              </w:rPr>
            </w:pPr>
          </w:p>
        </w:tc>
        <w:tc>
          <w:tcPr>
            <w:tcW w:w="179" w:type="pct"/>
            <w:shd w:val="clear" w:color="auto" w:fill="auto"/>
            <w:vAlign w:val="center"/>
          </w:tcPr>
          <w:p w14:paraId="60718FD9">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35</w:t>
            </w:r>
          </w:p>
        </w:tc>
        <w:tc>
          <w:tcPr>
            <w:tcW w:w="713" w:type="pct"/>
            <w:shd w:val="clear" w:color="auto" w:fill="auto"/>
            <w:vAlign w:val="center"/>
          </w:tcPr>
          <w:p w14:paraId="1C739F27">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醴陵游园项目</w:t>
            </w:r>
          </w:p>
        </w:tc>
        <w:tc>
          <w:tcPr>
            <w:tcW w:w="2035" w:type="pct"/>
            <w:shd w:val="clear" w:color="auto" w:fill="auto"/>
            <w:vAlign w:val="center"/>
          </w:tcPr>
          <w:p w14:paraId="6001CA3C">
            <w:pPr>
              <w:pStyle w:val="16"/>
              <w:spacing w:before="0" w:beforeAutospacing="0" w:line="300" w:lineRule="exact"/>
              <w:ind w:left="0" w:leftChars="0" w:firstLine="0" w:firstLineChars="0"/>
              <w:rPr>
                <w:rFonts w:cs="Times New Roman"/>
                <w:sz w:val="21"/>
                <w:szCs w:val="21"/>
              </w:rPr>
            </w:pPr>
            <w:r>
              <w:rPr>
                <w:rFonts w:cs="Times New Roman"/>
                <w:sz w:val="21"/>
                <w:szCs w:val="21"/>
              </w:rPr>
              <w:t>新建占地面积约4000平方米的醴陵市人才公寓游园等游园项目，建设休闲设施、广场、雕塑小品、亭廊等园林绿植景观。</w:t>
            </w:r>
          </w:p>
        </w:tc>
        <w:tc>
          <w:tcPr>
            <w:tcW w:w="397" w:type="pct"/>
            <w:shd w:val="clear" w:color="auto" w:fill="auto"/>
            <w:vAlign w:val="center"/>
          </w:tcPr>
          <w:p w14:paraId="429009FA">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shd w:val="clear" w:color="auto" w:fill="auto"/>
            <w:vAlign w:val="center"/>
          </w:tcPr>
          <w:p w14:paraId="4E11F232">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2021—2025</w:t>
            </w:r>
          </w:p>
        </w:tc>
        <w:tc>
          <w:tcPr>
            <w:tcW w:w="383" w:type="pct"/>
            <w:shd w:val="clear" w:color="auto" w:fill="auto"/>
            <w:vAlign w:val="center"/>
          </w:tcPr>
          <w:p w14:paraId="0B85BFA4">
            <w:pPr>
              <w:spacing w:line="300" w:lineRule="exact"/>
              <w:ind w:firstLine="0" w:firstLineChars="0"/>
              <w:jc w:val="center"/>
              <w:rPr>
                <w:rFonts w:cs="Times New Roman"/>
                <w:sz w:val="21"/>
                <w:szCs w:val="21"/>
              </w:rPr>
            </w:pPr>
            <w:r>
              <w:rPr>
                <w:rFonts w:cs="Times New Roman"/>
                <w:sz w:val="21"/>
                <w:szCs w:val="21"/>
              </w:rPr>
              <w:t>900</w:t>
            </w:r>
          </w:p>
        </w:tc>
        <w:tc>
          <w:tcPr>
            <w:tcW w:w="589" w:type="pct"/>
            <w:shd w:val="clear" w:color="auto" w:fill="auto"/>
            <w:vAlign w:val="center"/>
          </w:tcPr>
          <w:p w14:paraId="716F60ED">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市园林中心</w:t>
            </w:r>
          </w:p>
        </w:tc>
      </w:tr>
      <w:tr w14:paraId="6F65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restart"/>
            <w:vAlign w:val="center"/>
          </w:tcPr>
          <w:p w14:paraId="242F54B6">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生态文化建设</w:t>
            </w:r>
          </w:p>
        </w:tc>
        <w:tc>
          <w:tcPr>
            <w:tcW w:w="179" w:type="pct"/>
            <w:vAlign w:val="center"/>
          </w:tcPr>
          <w:p w14:paraId="4D9BF56C">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36</w:t>
            </w:r>
          </w:p>
        </w:tc>
        <w:tc>
          <w:tcPr>
            <w:tcW w:w="713" w:type="pct"/>
            <w:vAlign w:val="center"/>
          </w:tcPr>
          <w:p w14:paraId="1AD58BB1">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星子灯非物质文化遗产体验中心</w:t>
            </w:r>
          </w:p>
        </w:tc>
        <w:tc>
          <w:tcPr>
            <w:tcW w:w="2035" w:type="pct"/>
            <w:vAlign w:val="center"/>
          </w:tcPr>
          <w:p w14:paraId="04B09F55">
            <w:pPr>
              <w:pStyle w:val="16"/>
              <w:spacing w:before="0" w:beforeAutospacing="0" w:line="300" w:lineRule="exact"/>
              <w:ind w:left="0" w:leftChars="0" w:firstLine="0" w:firstLineChars="0"/>
              <w:rPr>
                <w:rFonts w:cs="Times New Roman"/>
                <w:sz w:val="21"/>
                <w:szCs w:val="21"/>
              </w:rPr>
            </w:pPr>
            <w:r>
              <w:rPr>
                <w:rFonts w:cs="Times New Roman"/>
                <w:sz w:val="21"/>
                <w:szCs w:val="21"/>
              </w:rPr>
              <w:t>规划建设总占地面积约为2000平方米的星子灯非遗文化体验中心，围绕青少年教育培养、亲子互动体验、非遗项目体验及非遗文化展示，积极开展文化旅游活动。</w:t>
            </w:r>
          </w:p>
        </w:tc>
        <w:tc>
          <w:tcPr>
            <w:tcW w:w="397" w:type="pct"/>
            <w:vAlign w:val="center"/>
          </w:tcPr>
          <w:p w14:paraId="6F9AF99F">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6D0965C0">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2021—2025</w:t>
            </w:r>
          </w:p>
        </w:tc>
        <w:tc>
          <w:tcPr>
            <w:tcW w:w="383" w:type="pct"/>
            <w:vAlign w:val="center"/>
          </w:tcPr>
          <w:p w14:paraId="58C71C39">
            <w:pPr>
              <w:spacing w:line="300" w:lineRule="exact"/>
              <w:ind w:firstLine="0" w:firstLineChars="0"/>
              <w:jc w:val="center"/>
              <w:rPr>
                <w:rFonts w:cs="Times New Roman"/>
                <w:sz w:val="21"/>
                <w:szCs w:val="21"/>
              </w:rPr>
            </w:pPr>
            <w:r>
              <w:rPr>
                <w:rFonts w:cs="Times New Roman"/>
                <w:sz w:val="21"/>
                <w:szCs w:val="21"/>
              </w:rPr>
              <w:t>500</w:t>
            </w:r>
          </w:p>
        </w:tc>
        <w:tc>
          <w:tcPr>
            <w:tcW w:w="589" w:type="pct"/>
            <w:vAlign w:val="center"/>
          </w:tcPr>
          <w:p w14:paraId="55A40AE5">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白兔潭镇</w:t>
            </w:r>
          </w:p>
        </w:tc>
      </w:tr>
      <w:tr w14:paraId="476E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7808060D">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501ECF19">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37</w:t>
            </w:r>
          </w:p>
        </w:tc>
        <w:tc>
          <w:tcPr>
            <w:tcW w:w="713" w:type="pct"/>
            <w:vAlign w:val="center"/>
          </w:tcPr>
          <w:p w14:paraId="3549E90A">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党政领导干部生态文明培训</w:t>
            </w:r>
          </w:p>
        </w:tc>
        <w:tc>
          <w:tcPr>
            <w:tcW w:w="2035" w:type="pct"/>
            <w:vAlign w:val="center"/>
          </w:tcPr>
          <w:p w14:paraId="1DAD2177">
            <w:pPr>
              <w:pStyle w:val="16"/>
              <w:spacing w:before="0" w:beforeAutospacing="0" w:line="300" w:lineRule="exact"/>
              <w:ind w:left="0" w:leftChars="0" w:firstLine="0" w:firstLineChars="0"/>
              <w:rPr>
                <w:rFonts w:cs="Times New Roman"/>
                <w:sz w:val="21"/>
                <w:szCs w:val="21"/>
              </w:rPr>
            </w:pPr>
            <w:r>
              <w:rPr>
                <w:rFonts w:cs="Times New Roman"/>
                <w:kern w:val="0"/>
                <w:sz w:val="21"/>
                <w:szCs w:val="21"/>
              </w:rPr>
              <w:t>在各类党政干部培训中采取现场授课、网络授课等方式多渠道提升培训生态文明理念的覆盖面，开展“生态文明”讲座活动。</w:t>
            </w:r>
          </w:p>
        </w:tc>
        <w:tc>
          <w:tcPr>
            <w:tcW w:w="397" w:type="pct"/>
            <w:vAlign w:val="center"/>
          </w:tcPr>
          <w:p w14:paraId="0C75AE16">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46CC6FB9">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2021—2030</w:t>
            </w:r>
          </w:p>
        </w:tc>
        <w:tc>
          <w:tcPr>
            <w:tcW w:w="383" w:type="pct"/>
            <w:vAlign w:val="center"/>
          </w:tcPr>
          <w:p w14:paraId="3126F4D0">
            <w:pPr>
              <w:spacing w:line="300" w:lineRule="exact"/>
              <w:ind w:firstLine="0" w:firstLineChars="0"/>
              <w:jc w:val="center"/>
              <w:rPr>
                <w:rFonts w:cs="Times New Roman"/>
                <w:sz w:val="21"/>
                <w:szCs w:val="21"/>
              </w:rPr>
            </w:pPr>
            <w:r>
              <w:rPr>
                <w:rFonts w:cs="Times New Roman"/>
                <w:sz w:val="21"/>
                <w:szCs w:val="21"/>
              </w:rPr>
              <w:t>100</w:t>
            </w:r>
          </w:p>
        </w:tc>
        <w:tc>
          <w:tcPr>
            <w:tcW w:w="589" w:type="pct"/>
            <w:vAlign w:val="center"/>
          </w:tcPr>
          <w:p w14:paraId="394E74A1">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市委组织部</w:t>
            </w:r>
          </w:p>
        </w:tc>
      </w:tr>
      <w:tr w14:paraId="4440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46" w:hRule="atLeast"/>
          <w:jc w:val="center"/>
        </w:trPr>
        <w:tc>
          <w:tcPr>
            <w:tcW w:w="235" w:type="pct"/>
            <w:vMerge w:val="continue"/>
            <w:vAlign w:val="center"/>
          </w:tcPr>
          <w:p w14:paraId="6ADD3077">
            <w:pPr>
              <w:pStyle w:val="16"/>
              <w:spacing w:before="0" w:beforeAutospacing="0" w:line="300" w:lineRule="exact"/>
              <w:ind w:left="0" w:leftChars="0" w:firstLine="0" w:firstLineChars="0"/>
              <w:jc w:val="center"/>
              <w:rPr>
                <w:rFonts w:cs="Times New Roman"/>
                <w:sz w:val="21"/>
                <w:szCs w:val="21"/>
              </w:rPr>
            </w:pPr>
          </w:p>
        </w:tc>
        <w:tc>
          <w:tcPr>
            <w:tcW w:w="179" w:type="pct"/>
            <w:vAlign w:val="center"/>
          </w:tcPr>
          <w:p w14:paraId="167E4B9A">
            <w:pPr>
              <w:pStyle w:val="16"/>
              <w:tabs>
                <w:tab w:val="left" w:pos="511"/>
              </w:tabs>
              <w:spacing w:before="0" w:beforeAutospacing="0" w:line="300" w:lineRule="exact"/>
              <w:ind w:left="0" w:leftChars="0" w:firstLine="0" w:firstLineChars="0"/>
              <w:jc w:val="center"/>
              <w:rPr>
                <w:rFonts w:cs="Times New Roman"/>
                <w:bCs/>
                <w:sz w:val="21"/>
                <w:szCs w:val="21"/>
              </w:rPr>
            </w:pPr>
            <w:r>
              <w:rPr>
                <w:rFonts w:cs="Times New Roman"/>
                <w:bCs/>
                <w:sz w:val="21"/>
                <w:szCs w:val="21"/>
              </w:rPr>
              <w:t>38</w:t>
            </w:r>
          </w:p>
        </w:tc>
        <w:tc>
          <w:tcPr>
            <w:tcW w:w="713" w:type="pct"/>
            <w:vAlign w:val="center"/>
          </w:tcPr>
          <w:p w14:paraId="01B68219">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生态文化宣传</w:t>
            </w:r>
          </w:p>
        </w:tc>
        <w:tc>
          <w:tcPr>
            <w:tcW w:w="2035" w:type="pct"/>
            <w:vAlign w:val="center"/>
          </w:tcPr>
          <w:p w14:paraId="558D8825">
            <w:pPr>
              <w:pStyle w:val="16"/>
              <w:spacing w:before="0" w:beforeAutospacing="0" w:line="300" w:lineRule="exact"/>
              <w:ind w:left="0" w:leftChars="0" w:firstLine="0" w:firstLineChars="0"/>
              <w:rPr>
                <w:rFonts w:cs="Times New Roman"/>
                <w:sz w:val="21"/>
                <w:szCs w:val="21"/>
              </w:rPr>
            </w:pPr>
            <w:r>
              <w:rPr>
                <w:rFonts w:cs="Times New Roman"/>
                <w:sz w:val="21"/>
                <w:szCs w:val="21"/>
              </w:rPr>
              <w:t>建立醴陵市生态文化网站专栏、微信公众号，向公众推送生态文化短信，利用新媒体宣传生态文化，举办生态文明相关的访谈，开展生态文明趣味活动，建设以生态文明宣传为主题的板报，在市广播频道播放专栏宣传教育。</w:t>
            </w:r>
          </w:p>
        </w:tc>
        <w:tc>
          <w:tcPr>
            <w:tcW w:w="397" w:type="pct"/>
            <w:vAlign w:val="center"/>
          </w:tcPr>
          <w:p w14:paraId="5916D62B">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新建</w:t>
            </w:r>
          </w:p>
        </w:tc>
        <w:tc>
          <w:tcPr>
            <w:tcW w:w="469" w:type="pct"/>
            <w:vAlign w:val="center"/>
          </w:tcPr>
          <w:p w14:paraId="6468EC20">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2021—2030</w:t>
            </w:r>
          </w:p>
        </w:tc>
        <w:tc>
          <w:tcPr>
            <w:tcW w:w="383" w:type="pct"/>
            <w:vAlign w:val="center"/>
          </w:tcPr>
          <w:p w14:paraId="57783814">
            <w:pPr>
              <w:spacing w:line="300" w:lineRule="exact"/>
              <w:ind w:firstLine="0" w:firstLineChars="0"/>
              <w:jc w:val="center"/>
              <w:rPr>
                <w:rFonts w:cs="Times New Roman"/>
                <w:sz w:val="21"/>
                <w:szCs w:val="21"/>
              </w:rPr>
            </w:pPr>
            <w:r>
              <w:rPr>
                <w:rFonts w:cs="Times New Roman"/>
                <w:sz w:val="21"/>
                <w:szCs w:val="21"/>
              </w:rPr>
              <w:t>200</w:t>
            </w:r>
          </w:p>
        </w:tc>
        <w:tc>
          <w:tcPr>
            <w:tcW w:w="589" w:type="pct"/>
            <w:vAlign w:val="center"/>
          </w:tcPr>
          <w:p w14:paraId="77EEDD73">
            <w:pPr>
              <w:pStyle w:val="16"/>
              <w:spacing w:before="0" w:beforeAutospacing="0" w:line="300" w:lineRule="exact"/>
              <w:ind w:left="0" w:leftChars="0" w:firstLine="0" w:firstLineChars="0"/>
              <w:jc w:val="center"/>
              <w:rPr>
                <w:rFonts w:cs="Times New Roman"/>
                <w:sz w:val="21"/>
                <w:szCs w:val="21"/>
              </w:rPr>
            </w:pPr>
            <w:r>
              <w:rPr>
                <w:rFonts w:cs="Times New Roman"/>
                <w:sz w:val="21"/>
                <w:szCs w:val="21"/>
              </w:rPr>
              <w:t>株洲市生态环境局醴陵分局</w:t>
            </w:r>
          </w:p>
        </w:tc>
      </w:tr>
    </w:tbl>
    <w:p w14:paraId="0DA54007">
      <w:pPr>
        <w:pStyle w:val="14"/>
        <w:ind w:firstLine="360"/>
        <w:sectPr>
          <w:footerReference r:id="rId15" w:type="default"/>
          <w:pgSz w:w="16838" w:h="11906" w:orient="landscape"/>
          <w:pgMar w:top="1418" w:right="1701" w:bottom="1418" w:left="1701" w:header="851" w:footer="992" w:gutter="0"/>
          <w:cols w:space="425" w:num="1"/>
          <w:docGrid w:type="lines" w:linePitch="312" w:charSpace="0"/>
        </w:sectPr>
      </w:pPr>
    </w:p>
    <w:p w14:paraId="5F64AA36">
      <w:pPr>
        <w:pStyle w:val="3"/>
        <w:keepNext w:val="0"/>
        <w:keepLines w:val="0"/>
        <w:spacing w:afterLines="50" w:line="520" w:lineRule="exact"/>
        <w:rPr>
          <w:rFonts w:eastAsia="黑体" w:cs="Times New Roman"/>
          <w:b w:val="0"/>
          <w:sz w:val="32"/>
          <w:szCs w:val="32"/>
        </w:rPr>
      </w:pPr>
      <w:bookmarkStart w:id="66" w:name="_Toc101876889"/>
      <w:r>
        <w:rPr>
          <w:rFonts w:eastAsia="黑体" w:cs="Times New Roman"/>
          <w:b w:val="0"/>
          <w:sz w:val="32"/>
          <w:szCs w:val="32"/>
        </w:rPr>
        <w:t>第二节  效益分析</w:t>
      </w:r>
      <w:bookmarkEnd w:id="66"/>
    </w:p>
    <w:p w14:paraId="15CFEFDC">
      <w:pPr>
        <w:pStyle w:val="4"/>
        <w:keepNext w:val="0"/>
        <w:keepLines w:val="0"/>
        <w:spacing w:line="520" w:lineRule="exact"/>
        <w:ind w:firstLine="640" w:firstLineChars="200"/>
        <w:rPr>
          <w:rFonts w:eastAsia="楷体_GB2312" w:cs="Times New Roman"/>
          <w:b w:val="0"/>
          <w:sz w:val="32"/>
          <w:szCs w:val="32"/>
        </w:rPr>
      </w:pPr>
      <w:r>
        <w:rPr>
          <w:rFonts w:eastAsia="楷体_GB2312" w:cs="Times New Roman"/>
          <w:b w:val="0"/>
          <w:sz w:val="32"/>
          <w:szCs w:val="32"/>
        </w:rPr>
        <w:t>第一百一十八条  环境效益分析</w:t>
      </w:r>
    </w:p>
    <w:p w14:paraId="2D6B62FD">
      <w:pPr>
        <w:spacing w:line="520" w:lineRule="exact"/>
        <w:ind w:firstLine="640"/>
        <w:rPr>
          <w:rFonts w:cs="Times New Roman"/>
          <w:sz w:val="32"/>
          <w:szCs w:val="32"/>
        </w:rPr>
      </w:pPr>
      <w:r>
        <w:rPr>
          <w:rFonts w:cs="Times New Roman"/>
          <w:sz w:val="32"/>
          <w:szCs w:val="32"/>
        </w:rPr>
        <w:t>通过继续实施污染防治、环境风险防范等环境质量改善工程，加大环境监管与执法力度，水、大气、噪声、土壤环境质量均能完成上级规定的考核任务，逐步提升生态环境质量。通过继续深入开展“三创四化”及增绿工程、生态廊道建、生物物种资源保护能力提升等工程建设，精准提升市域森林质量，加强生物多样性数据和信息共享能力，避免外来有害物种入侵，有效保护生态系统。</w:t>
      </w:r>
    </w:p>
    <w:p w14:paraId="6017DE3F">
      <w:pPr>
        <w:pStyle w:val="4"/>
        <w:keepNext w:val="0"/>
        <w:keepLines w:val="0"/>
        <w:spacing w:line="520" w:lineRule="exact"/>
        <w:ind w:firstLine="640" w:firstLineChars="200"/>
        <w:rPr>
          <w:rFonts w:eastAsia="楷体_GB2312" w:cs="Times New Roman"/>
          <w:b w:val="0"/>
          <w:sz w:val="32"/>
          <w:szCs w:val="32"/>
        </w:rPr>
      </w:pPr>
      <w:r>
        <w:rPr>
          <w:rFonts w:eastAsia="楷体_GB2312" w:cs="Times New Roman"/>
          <w:b w:val="0"/>
          <w:sz w:val="32"/>
          <w:szCs w:val="32"/>
        </w:rPr>
        <w:t>第一百一十九条  经济效益分析</w:t>
      </w:r>
    </w:p>
    <w:p w14:paraId="3F843984">
      <w:pPr>
        <w:spacing w:line="520" w:lineRule="exact"/>
        <w:ind w:firstLine="640"/>
        <w:rPr>
          <w:rFonts w:cs="Times New Roman"/>
          <w:sz w:val="32"/>
          <w:szCs w:val="32"/>
        </w:rPr>
      </w:pPr>
      <w:r>
        <w:rPr>
          <w:rFonts w:cs="Times New Roman"/>
          <w:sz w:val="32"/>
          <w:szCs w:val="32"/>
        </w:rPr>
        <w:t>通过生态文明建设生态经济领域一系列工程的实施，进一步带动全市生态工业、生态服务业和生态农业的全面快速发展，进一步提升全市整体经济水平。通过实施工业结构升级改造、现代服务业提升集聚、生态农业示范建设等经济转型升级工程，提升科技创新能力，推动高新技术产业发展，优化产业结构，促进醴陵市经济转型升级，走向绿色、循环、低碳发展。</w:t>
      </w:r>
    </w:p>
    <w:p w14:paraId="0AE4A62C">
      <w:pPr>
        <w:pStyle w:val="4"/>
        <w:keepNext w:val="0"/>
        <w:keepLines w:val="0"/>
        <w:spacing w:line="520" w:lineRule="exact"/>
        <w:ind w:firstLine="640" w:firstLineChars="200"/>
        <w:rPr>
          <w:rFonts w:eastAsia="楷体_GB2312" w:cs="Times New Roman"/>
          <w:b w:val="0"/>
          <w:sz w:val="32"/>
          <w:szCs w:val="32"/>
        </w:rPr>
      </w:pPr>
      <w:r>
        <w:rPr>
          <w:rFonts w:eastAsia="楷体_GB2312" w:cs="Times New Roman"/>
          <w:b w:val="0"/>
          <w:sz w:val="32"/>
          <w:szCs w:val="32"/>
        </w:rPr>
        <w:t>第一百二十条  社会效益分析</w:t>
      </w:r>
    </w:p>
    <w:p w14:paraId="3108ED2A">
      <w:pPr>
        <w:spacing w:line="520" w:lineRule="exact"/>
        <w:ind w:firstLine="640"/>
        <w:rPr>
          <w:rFonts w:cs="Times New Roman"/>
          <w:sz w:val="32"/>
          <w:szCs w:val="32"/>
        </w:rPr>
      </w:pPr>
      <w:r>
        <w:rPr>
          <w:rFonts w:cs="Times New Roman"/>
          <w:sz w:val="32"/>
          <w:szCs w:val="32"/>
        </w:rPr>
        <w:t>通过生态文明宣传教育的开展、先进的生态文化理念的培育和醴陵市生态文明建设示范市创建的具体实践，将有效促进公众生态文明意识普遍增强。通过健全自然资源资产管理、排污收费、生态补偿等环境经济制度，领导干部政绩考核、生态环境信息公开、生态环境监测监管能力与支撑保障等体系建设，公众的环境知情权、参与权和监督权得到有效保障，对生态文明建设的满意度逐步提升。</w:t>
      </w:r>
    </w:p>
    <w:p w14:paraId="16244DA7">
      <w:pPr>
        <w:pStyle w:val="2"/>
        <w:keepNext w:val="0"/>
        <w:keepLines w:val="0"/>
        <w:spacing w:line="630" w:lineRule="exact"/>
        <w:rPr>
          <w:rFonts w:eastAsia="方正小标宋简体" w:cs="Times New Roman"/>
          <w:b w:val="0"/>
          <w:sz w:val="44"/>
          <w:szCs w:val="44"/>
        </w:rPr>
      </w:pPr>
      <w:r>
        <w:rPr>
          <w:rFonts w:cs="Times New Roman"/>
          <w:b w:val="0"/>
          <w:szCs w:val="32"/>
        </w:rPr>
        <w:br w:type="page"/>
      </w:r>
      <w:bookmarkStart w:id="67" w:name="_Toc101876890"/>
      <w:r>
        <w:rPr>
          <w:rFonts w:eastAsia="方正小标宋简体" w:cs="Times New Roman"/>
          <w:b w:val="0"/>
          <w:sz w:val="44"/>
          <w:szCs w:val="44"/>
        </w:rPr>
        <w:t>第十章  保障措施</w:t>
      </w:r>
      <w:bookmarkEnd w:id="67"/>
    </w:p>
    <w:p w14:paraId="72E9ADDF">
      <w:pPr>
        <w:spacing w:line="630" w:lineRule="exact"/>
        <w:ind w:firstLine="560"/>
        <w:rPr>
          <w:rFonts w:cs="Times New Roman"/>
        </w:rPr>
      </w:pPr>
    </w:p>
    <w:p w14:paraId="27C9C2D6">
      <w:pPr>
        <w:pStyle w:val="3"/>
        <w:keepNext w:val="0"/>
        <w:keepLines w:val="0"/>
        <w:spacing w:afterLines="50" w:line="630" w:lineRule="exact"/>
        <w:rPr>
          <w:rFonts w:eastAsia="黑体" w:cs="Times New Roman"/>
          <w:b w:val="0"/>
          <w:sz w:val="32"/>
          <w:szCs w:val="32"/>
        </w:rPr>
      </w:pPr>
      <w:bookmarkStart w:id="68" w:name="_Toc101876891"/>
      <w:r>
        <w:rPr>
          <w:rFonts w:eastAsia="黑体" w:cs="Times New Roman"/>
          <w:b w:val="0"/>
          <w:sz w:val="32"/>
          <w:szCs w:val="32"/>
        </w:rPr>
        <w:t>第一节  组织领导</w:t>
      </w:r>
      <w:bookmarkEnd w:id="68"/>
    </w:p>
    <w:p w14:paraId="43196118">
      <w:pPr>
        <w:pStyle w:val="4"/>
        <w:keepNext w:val="0"/>
        <w:keepLines w:val="0"/>
        <w:spacing w:line="630" w:lineRule="exact"/>
        <w:ind w:firstLine="640" w:firstLineChars="200"/>
        <w:rPr>
          <w:rFonts w:eastAsia="楷体_GB2312" w:cs="Times New Roman"/>
          <w:b w:val="0"/>
          <w:sz w:val="32"/>
          <w:szCs w:val="32"/>
        </w:rPr>
      </w:pPr>
      <w:bookmarkStart w:id="69" w:name="_Hlk45979285"/>
      <w:r>
        <w:rPr>
          <w:rFonts w:eastAsia="楷体_GB2312" w:cs="Times New Roman"/>
          <w:b w:val="0"/>
          <w:sz w:val="32"/>
          <w:szCs w:val="32"/>
        </w:rPr>
        <w:t>第一百二十一条  加强组织领导</w:t>
      </w:r>
    </w:p>
    <w:p w14:paraId="59F08C41">
      <w:pPr>
        <w:spacing w:line="630" w:lineRule="exact"/>
        <w:ind w:firstLine="640"/>
        <w:rPr>
          <w:rFonts w:cs="Times New Roman"/>
          <w:sz w:val="32"/>
          <w:szCs w:val="32"/>
        </w:rPr>
      </w:pPr>
      <w:r>
        <w:rPr>
          <w:rFonts w:cs="Times New Roman"/>
          <w:sz w:val="32"/>
          <w:szCs w:val="32"/>
        </w:rPr>
        <w:t>成立醴陵市生态文明建设示范市领导小组，统筹部署醴陵市生态文明建设示范市建设各项工作。推行目标责任制，</w:t>
      </w:r>
      <w:bookmarkEnd w:id="69"/>
      <w:r>
        <w:rPr>
          <w:rFonts w:cs="Times New Roman"/>
          <w:sz w:val="32"/>
          <w:szCs w:val="32"/>
        </w:rPr>
        <w:t>按各部门职能分解落实生态文明建设各项任务，加强对年度考核工作的管理，确保生态文明建设各项工程和任务落实。加强各单位之间的协调配合，建立信息共享、协调联动机制和沟通联系制度，高质量推进年度各项目标任务顺利完成。</w:t>
      </w:r>
    </w:p>
    <w:p w14:paraId="34B6B352">
      <w:pPr>
        <w:pStyle w:val="3"/>
        <w:keepNext w:val="0"/>
        <w:keepLines w:val="0"/>
        <w:spacing w:beforeLines="50" w:afterLines="50" w:line="630" w:lineRule="exact"/>
        <w:rPr>
          <w:rFonts w:eastAsia="黑体" w:cs="Times New Roman"/>
          <w:b w:val="0"/>
          <w:sz w:val="32"/>
          <w:szCs w:val="32"/>
        </w:rPr>
      </w:pPr>
      <w:bookmarkStart w:id="70" w:name="_Toc101876892"/>
      <w:bookmarkStart w:id="71" w:name="_Toc26017"/>
      <w:r>
        <w:rPr>
          <w:rFonts w:eastAsia="黑体" w:cs="Times New Roman"/>
          <w:b w:val="0"/>
          <w:sz w:val="32"/>
          <w:szCs w:val="32"/>
        </w:rPr>
        <w:t>第二节  监督考核</w:t>
      </w:r>
      <w:bookmarkEnd w:id="70"/>
      <w:bookmarkEnd w:id="71"/>
    </w:p>
    <w:p w14:paraId="67E924B6">
      <w:pPr>
        <w:pStyle w:val="4"/>
        <w:keepNext w:val="0"/>
        <w:keepLines w:val="0"/>
        <w:spacing w:line="630" w:lineRule="exact"/>
        <w:ind w:firstLine="640" w:firstLineChars="200"/>
        <w:rPr>
          <w:rFonts w:eastAsia="楷体_GB2312" w:cs="Times New Roman"/>
          <w:b w:val="0"/>
          <w:sz w:val="32"/>
          <w:szCs w:val="32"/>
        </w:rPr>
      </w:pPr>
      <w:r>
        <w:rPr>
          <w:rFonts w:eastAsia="楷体_GB2312" w:cs="Times New Roman"/>
          <w:b w:val="0"/>
          <w:sz w:val="32"/>
          <w:szCs w:val="32"/>
        </w:rPr>
        <w:t>第一百二十二条 健全考评体系</w:t>
      </w:r>
    </w:p>
    <w:p w14:paraId="7729DDB1">
      <w:pPr>
        <w:spacing w:line="630" w:lineRule="exact"/>
        <w:ind w:firstLine="640"/>
        <w:rPr>
          <w:rFonts w:cs="Times New Roman"/>
          <w:sz w:val="32"/>
          <w:szCs w:val="32"/>
        </w:rPr>
      </w:pPr>
      <w:r>
        <w:rPr>
          <w:rFonts w:cs="Times New Roman"/>
          <w:sz w:val="32"/>
          <w:szCs w:val="32"/>
        </w:rPr>
        <w:t>健全和完善醴陵市党政领导生态文明建设考评体系，建立结果反馈机制，并将结果运用于醴陵市年度重点工作绩效评估中。按照国家、省、市关于生态环境信息公开标准化、规范化等的工作要求，继续推进生态环境政府信息公开和市域企业环境信息公开。完善公众参与程序和公众监督制度，畅通环保举报途径，完善有奖举报制度，建立生态文明建设工作问卷调查制度，保障公众的知情权、参与权、表达权和监督权。</w:t>
      </w:r>
    </w:p>
    <w:p w14:paraId="058D66CB">
      <w:pPr>
        <w:pStyle w:val="3"/>
        <w:keepNext w:val="0"/>
        <w:keepLines w:val="0"/>
        <w:spacing w:beforeLines="50" w:afterLines="50" w:line="630" w:lineRule="exact"/>
        <w:rPr>
          <w:rFonts w:eastAsia="黑体" w:cs="Times New Roman"/>
          <w:b w:val="0"/>
          <w:sz w:val="32"/>
          <w:szCs w:val="32"/>
        </w:rPr>
      </w:pPr>
      <w:bookmarkStart w:id="72" w:name="_Toc15600"/>
      <w:bookmarkStart w:id="73" w:name="_Toc45803995"/>
      <w:bookmarkStart w:id="74" w:name="_Toc25582"/>
      <w:bookmarkStart w:id="75" w:name="_Toc101876893"/>
      <w:r>
        <w:rPr>
          <w:rFonts w:eastAsia="黑体" w:cs="Times New Roman"/>
          <w:b w:val="0"/>
          <w:sz w:val="32"/>
          <w:szCs w:val="32"/>
        </w:rPr>
        <w:t>第三节  资金</w:t>
      </w:r>
      <w:bookmarkEnd w:id="72"/>
      <w:bookmarkEnd w:id="73"/>
      <w:r>
        <w:rPr>
          <w:rFonts w:eastAsia="黑体" w:cs="Times New Roman"/>
          <w:b w:val="0"/>
          <w:sz w:val="32"/>
          <w:szCs w:val="32"/>
        </w:rPr>
        <w:t>统筹</w:t>
      </w:r>
      <w:bookmarkEnd w:id="74"/>
      <w:bookmarkEnd w:id="75"/>
    </w:p>
    <w:p w14:paraId="6BD7C762">
      <w:pPr>
        <w:pStyle w:val="4"/>
        <w:keepNext w:val="0"/>
        <w:keepLines w:val="0"/>
        <w:spacing w:line="630" w:lineRule="exact"/>
        <w:ind w:firstLine="640" w:firstLineChars="200"/>
        <w:rPr>
          <w:rFonts w:eastAsia="楷体_GB2312" w:cs="Times New Roman"/>
          <w:b w:val="0"/>
          <w:sz w:val="32"/>
          <w:szCs w:val="32"/>
        </w:rPr>
      </w:pPr>
      <w:r>
        <w:rPr>
          <w:rFonts w:eastAsia="楷体_GB2312" w:cs="Times New Roman"/>
          <w:b w:val="0"/>
          <w:sz w:val="32"/>
          <w:szCs w:val="32"/>
        </w:rPr>
        <w:t>第一百二十三条  积极争取资金</w:t>
      </w:r>
    </w:p>
    <w:p w14:paraId="4B1E51B9">
      <w:pPr>
        <w:spacing w:line="578" w:lineRule="exact"/>
        <w:ind w:firstLine="640"/>
        <w:rPr>
          <w:rFonts w:cs="Times New Roman"/>
          <w:sz w:val="32"/>
          <w:szCs w:val="32"/>
        </w:rPr>
      </w:pPr>
      <w:r>
        <w:rPr>
          <w:rFonts w:cs="Times New Roman"/>
          <w:sz w:val="32"/>
          <w:szCs w:val="32"/>
        </w:rPr>
        <w:t>按生态文明建设示范市建设资金采取争取上级专项资金、撬动社会资金、纳入本级预算多层次的原则，积极与生态环境、林业、农业、工业、城市建设、文化旅游、发改等上级对口部门沟通，全力争取国家和省、市级资金支持；建立“政府引导、市场推进、社会参与”的多元化投融资体系，鼓励和支持民间资本、外来资本通过项目融资等形式建设生态产生和生态基础设施，鼓励各类金融机构在信贷融资等方面支持生态文明建设。</w:t>
      </w:r>
    </w:p>
    <w:p w14:paraId="3936AD60">
      <w:pPr>
        <w:pStyle w:val="3"/>
        <w:keepNext w:val="0"/>
        <w:keepLines w:val="0"/>
        <w:spacing w:beforeLines="50" w:afterLines="50" w:line="578" w:lineRule="exact"/>
        <w:rPr>
          <w:rFonts w:eastAsia="黑体" w:cs="Times New Roman"/>
          <w:b w:val="0"/>
          <w:sz w:val="32"/>
          <w:szCs w:val="32"/>
        </w:rPr>
      </w:pPr>
      <w:bookmarkStart w:id="76" w:name="_Toc101876894"/>
      <w:bookmarkStart w:id="77" w:name="_Toc26488"/>
      <w:bookmarkStart w:id="78" w:name="_Toc23336"/>
      <w:bookmarkStart w:id="79" w:name="_Hlk47000476"/>
      <w:bookmarkStart w:id="80" w:name="_Hlk45872218"/>
      <w:bookmarkStart w:id="81" w:name="_Toc12309"/>
      <w:bookmarkStart w:id="82" w:name="_Toc6561"/>
      <w:bookmarkStart w:id="83" w:name="_Toc27502"/>
      <w:bookmarkStart w:id="84" w:name="_Hlk45872058"/>
      <w:bookmarkStart w:id="85" w:name="_Toc15775"/>
      <w:r>
        <w:rPr>
          <w:rFonts w:eastAsia="黑体" w:cs="Times New Roman"/>
          <w:b w:val="0"/>
          <w:sz w:val="32"/>
          <w:szCs w:val="32"/>
        </w:rPr>
        <w:t>第四节  科技创新</w:t>
      </w:r>
      <w:bookmarkEnd w:id="76"/>
      <w:bookmarkEnd w:id="77"/>
    </w:p>
    <w:bookmarkEnd w:id="78"/>
    <w:bookmarkEnd w:id="79"/>
    <w:bookmarkEnd w:id="80"/>
    <w:bookmarkEnd w:id="81"/>
    <w:bookmarkEnd w:id="82"/>
    <w:bookmarkEnd w:id="83"/>
    <w:bookmarkEnd w:id="84"/>
    <w:bookmarkEnd w:id="85"/>
    <w:p w14:paraId="5B912C61">
      <w:pPr>
        <w:pStyle w:val="4"/>
        <w:keepNext w:val="0"/>
        <w:keepLines w:val="0"/>
        <w:spacing w:line="520" w:lineRule="exact"/>
        <w:ind w:firstLine="640" w:firstLineChars="200"/>
        <w:rPr>
          <w:rFonts w:eastAsia="楷体_GB2312" w:cs="Times New Roman"/>
          <w:b w:val="0"/>
          <w:sz w:val="32"/>
          <w:szCs w:val="32"/>
        </w:rPr>
      </w:pPr>
      <w:bookmarkStart w:id="86" w:name="_Hlk45979449"/>
      <w:bookmarkStart w:id="87" w:name="_Hlk45979335"/>
      <w:r>
        <w:rPr>
          <w:rFonts w:eastAsia="楷体_GB2312" w:cs="Times New Roman"/>
          <w:b w:val="0"/>
          <w:sz w:val="32"/>
          <w:szCs w:val="32"/>
        </w:rPr>
        <w:t>第一百二十四条</w:t>
      </w:r>
      <w:r>
        <w:rPr>
          <w:rFonts w:hint="eastAsia" w:eastAsia="楷体_GB2312" w:cs="Times New Roman"/>
          <w:b w:val="0"/>
          <w:sz w:val="32"/>
          <w:szCs w:val="32"/>
        </w:rPr>
        <w:t xml:space="preserve"> </w:t>
      </w:r>
      <w:r>
        <w:rPr>
          <w:rFonts w:eastAsia="楷体_GB2312" w:cs="Times New Roman"/>
          <w:b w:val="0"/>
          <w:sz w:val="32"/>
          <w:szCs w:val="32"/>
        </w:rPr>
        <w:t xml:space="preserve"> 提高科技水平</w:t>
      </w:r>
    </w:p>
    <w:p w14:paraId="040BCB65">
      <w:pPr>
        <w:spacing w:line="578" w:lineRule="exact"/>
        <w:ind w:firstLine="640"/>
        <w:rPr>
          <w:rFonts w:cs="Times New Roman"/>
          <w:sz w:val="32"/>
          <w:szCs w:val="32"/>
        </w:rPr>
      </w:pPr>
      <w:r>
        <w:rPr>
          <w:rFonts w:cs="Times New Roman"/>
          <w:sz w:val="32"/>
          <w:szCs w:val="32"/>
        </w:rPr>
        <w:t>充分利用人工智能、5G网络、3S等先进信息技术，切实提高生态文明建设信息化水平，为生态文明建设提供科学化信息决策支持。</w:t>
      </w:r>
      <w:bookmarkEnd w:id="86"/>
      <w:r>
        <w:rPr>
          <w:rFonts w:cs="Times New Roman"/>
          <w:sz w:val="32"/>
          <w:szCs w:val="32"/>
        </w:rPr>
        <w:t>以生态文明建设示范市建设为契机，广泛开展多层次、多领域的合作与交流，探索在工业清洁生产、农业技术等生态文明建设相关领域的联合研究、开发与先进技术推广。</w:t>
      </w:r>
      <w:bookmarkEnd w:id="87"/>
      <w:bookmarkStart w:id="88" w:name="_Hlk45979361"/>
      <w:r>
        <w:rPr>
          <w:rFonts w:cs="Times New Roman"/>
          <w:sz w:val="32"/>
          <w:szCs w:val="32"/>
        </w:rPr>
        <w:t>完善专业人才引进制度，营造人才发展的良好环境，提高科学技术水平。</w:t>
      </w:r>
    </w:p>
    <w:bookmarkEnd w:id="88"/>
    <w:p w14:paraId="0C0AD964">
      <w:pPr>
        <w:pStyle w:val="3"/>
        <w:keepNext w:val="0"/>
        <w:keepLines w:val="0"/>
        <w:spacing w:beforeLines="50" w:afterLines="50" w:line="578" w:lineRule="exact"/>
        <w:rPr>
          <w:rFonts w:eastAsia="黑体" w:cs="Times New Roman"/>
          <w:b w:val="0"/>
          <w:sz w:val="32"/>
          <w:szCs w:val="32"/>
        </w:rPr>
      </w:pPr>
      <w:bookmarkStart w:id="89" w:name="_Toc101876895"/>
      <w:bookmarkStart w:id="90" w:name="_Toc16633"/>
      <w:r>
        <w:rPr>
          <w:rFonts w:eastAsia="黑体" w:cs="Times New Roman"/>
          <w:b w:val="0"/>
          <w:sz w:val="32"/>
          <w:szCs w:val="32"/>
        </w:rPr>
        <w:t>第五节  社会参与</w:t>
      </w:r>
      <w:bookmarkEnd w:id="89"/>
      <w:bookmarkEnd w:id="90"/>
    </w:p>
    <w:p w14:paraId="73300CAE">
      <w:pPr>
        <w:spacing w:line="578" w:lineRule="exact"/>
        <w:ind w:firstLine="640"/>
        <w:rPr>
          <w:rFonts w:cs="Times New Roman"/>
          <w:sz w:val="32"/>
          <w:szCs w:val="32"/>
        </w:rPr>
      </w:pPr>
      <w:bookmarkStart w:id="91" w:name="_Hlk47000512"/>
      <w:r>
        <w:rPr>
          <w:rFonts w:eastAsia="楷体_GB2312" w:cs="Times New Roman"/>
          <w:sz w:val="32"/>
          <w:szCs w:val="32"/>
        </w:rPr>
        <w:t>第一百二十五条  提升民众意识</w:t>
      </w:r>
    </w:p>
    <w:p w14:paraId="6AED1F99">
      <w:pPr>
        <w:spacing w:line="578" w:lineRule="exact"/>
        <w:ind w:firstLine="640"/>
        <w:rPr>
          <w:rFonts w:cs="Times New Roman"/>
          <w:sz w:val="32"/>
          <w:szCs w:val="32"/>
        </w:rPr>
      </w:pPr>
      <w:r>
        <w:rPr>
          <w:rFonts w:cs="Times New Roman"/>
          <w:sz w:val="32"/>
          <w:szCs w:val="32"/>
        </w:rPr>
        <w:t>构建多层次、全方位的生态文明宣传教育体系，持续开展对各级领导干部的生态文明主题教育培训、积极开展中小学生态文明宣传教育、营造生态文明建设示范市创建的浓厚舆论氛围，提升全民生态文明意识。建立政府与公众的良好沟通机制，强化公众参与意识，完善政府、企业、公众三方对话机制、重大决策行动听证会制度、信息反馈制度等，激发公众参与生态文明创建的积极性。</w:t>
      </w:r>
    </w:p>
    <w:bookmarkEnd w:id="91"/>
    <w:p w14:paraId="45A727C5">
      <w:pPr>
        <w:spacing w:line="578" w:lineRule="exact"/>
        <w:ind w:firstLine="640"/>
        <w:rPr>
          <w:rFonts w:cs="Times New Roman"/>
          <w:sz w:val="32"/>
          <w:szCs w:val="32"/>
        </w:rPr>
      </w:pPr>
    </w:p>
    <w:p w14:paraId="56EE35BE">
      <w:pPr>
        <w:spacing w:line="578" w:lineRule="exact"/>
        <w:ind w:firstLine="640"/>
        <w:rPr>
          <w:rFonts w:cs="Times New Roman"/>
          <w:sz w:val="32"/>
          <w:szCs w:val="32"/>
        </w:rPr>
      </w:pPr>
    </w:p>
    <w:p w14:paraId="0BF99D7F">
      <w:pPr>
        <w:spacing w:line="578" w:lineRule="exact"/>
        <w:ind w:firstLine="640"/>
        <w:rPr>
          <w:rFonts w:cs="Times New Roman"/>
          <w:sz w:val="32"/>
          <w:szCs w:val="32"/>
        </w:rPr>
      </w:pPr>
    </w:p>
    <w:p w14:paraId="6B5BCB6B">
      <w:pPr>
        <w:spacing w:line="578" w:lineRule="exact"/>
        <w:ind w:firstLine="640"/>
        <w:rPr>
          <w:rFonts w:cs="Times New Roman"/>
          <w:sz w:val="32"/>
          <w:szCs w:val="32"/>
        </w:rPr>
      </w:pPr>
    </w:p>
    <w:p w14:paraId="5E9D98DC">
      <w:pPr>
        <w:spacing w:line="578" w:lineRule="exact"/>
        <w:ind w:firstLine="640"/>
        <w:rPr>
          <w:rFonts w:cs="Times New Roman"/>
          <w:sz w:val="32"/>
          <w:szCs w:val="32"/>
        </w:rPr>
      </w:pPr>
    </w:p>
    <w:p w14:paraId="782D7F32">
      <w:pPr>
        <w:spacing w:line="578" w:lineRule="exact"/>
        <w:ind w:firstLine="640"/>
        <w:rPr>
          <w:rFonts w:cs="Times New Roman"/>
          <w:sz w:val="32"/>
          <w:szCs w:val="32"/>
        </w:rPr>
      </w:pPr>
    </w:p>
    <w:p w14:paraId="28DCCA95">
      <w:pPr>
        <w:spacing w:line="578" w:lineRule="exact"/>
        <w:ind w:firstLine="640"/>
        <w:rPr>
          <w:rFonts w:cs="Times New Roman"/>
          <w:sz w:val="32"/>
          <w:szCs w:val="32"/>
        </w:rPr>
      </w:pPr>
    </w:p>
    <w:p w14:paraId="7AD168CA">
      <w:pPr>
        <w:spacing w:line="578" w:lineRule="exact"/>
        <w:ind w:firstLine="640"/>
        <w:rPr>
          <w:rFonts w:cs="Times New Roman"/>
          <w:sz w:val="32"/>
          <w:szCs w:val="32"/>
        </w:rPr>
      </w:pPr>
    </w:p>
    <w:p w14:paraId="41F3BABD">
      <w:pPr>
        <w:spacing w:line="578" w:lineRule="exact"/>
        <w:ind w:firstLine="640"/>
        <w:rPr>
          <w:rFonts w:cs="Times New Roman"/>
          <w:sz w:val="32"/>
          <w:szCs w:val="32"/>
        </w:rPr>
      </w:pPr>
    </w:p>
    <w:p w14:paraId="56B51FC3">
      <w:pPr>
        <w:spacing w:line="578" w:lineRule="exact"/>
        <w:ind w:firstLine="640"/>
        <w:rPr>
          <w:rFonts w:cs="Times New Roman"/>
          <w:sz w:val="32"/>
          <w:szCs w:val="32"/>
        </w:rPr>
      </w:pPr>
    </w:p>
    <w:p w14:paraId="0F3CEBEA">
      <w:pPr>
        <w:spacing w:line="578" w:lineRule="exact"/>
        <w:ind w:firstLine="640"/>
        <w:rPr>
          <w:rFonts w:cs="Times New Roman"/>
          <w:sz w:val="32"/>
          <w:szCs w:val="32"/>
        </w:rPr>
      </w:pPr>
    </w:p>
    <w:p w14:paraId="3AB3FDD2">
      <w:pPr>
        <w:spacing w:line="578" w:lineRule="exact"/>
        <w:ind w:firstLine="640"/>
        <w:rPr>
          <w:rFonts w:cs="Times New Roman"/>
          <w:sz w:val="32"/>
          <w:szCs w:val="32"/>
        </w:rPr>
      </w:pPr>
    </w:p>
    <w:sectPr>
      <w:footerReference r:id="rId16" w:type="default"/>
      <w:pgSz w:w="11906" w:h="16838"/>
      <w:pgMar w:top="2098" w:right="1531" w:bottom="1701" w:left="1531" w:header="851" w:footer="124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14078"/>
      <w:showingPlcHdr/>
    </w:sdtPr>
    <w:sdtEndPr>
      <w:rPr>
        <w:rFonts w:asciiTheme="minorEastAsia" w:hAnsiTheme="minorEastAsia" w:eastAsiaTheme="minorEastAsia"/>
        <w:sz w:val="28"/>
        <w:szCs w:val="28"/>
      </w:rPr>
    </w:sdtEndPr>
    <w:sdtContent>
      <w:p w14:paraId="336A7A38">
        <w:pPr>
          <w:pStyle w:val="11"/>
          <w:spacing w:line="240" w:lineRule="auto"/>
          <w:ind w:firstLine="0" w:firstLineChars="0"/>
          <w:jc w:val="center"/>
          <w:rPr>
            <w:rFonts w:asciiTheme="minorEastAsia" w:hAnsiTheme="minorEastAsia" w:eastAsiaTheme="minorEastAsia"/>
            <w:sz w:val="28"/>
            <w:szCs w:val="28"/>
          </w:rP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7650">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D890">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02513"/>
    </w:sdtPr>
    <w:sdtEndPr>
      <w:rPr>
        <w:rFonts w:asciiTheme="minorEastAsia" w:hAnsiTheme="minorEastAsia" w:eastAsiaTheme="minorEastAsia"/>
        <w:sz w:val="28"/>
        <w:szCs w:val="28"/>
      </w:rPr>
    </w:sdtEndPr>
    <w:sdtContent>
      <w:p w14:paraId="0EE2A6A0">
        <w:pPr>
          <w:pStyle w:val="11"/>
          <w:spacing w:line="240" w:lineRule="auto"/>
          <w:ind w:firstLine="0" w:firstLineChars="0"/>
          <w:jc w:val="center"/>
        </w:pPr>
        <w:r>
          <w:pict>
            <v:shape id="_x0000_s1031" o:spid="_x0000_s1031" o:spt="202" type="#_x0000_t202" style="position:absolute;left:0pt;margin-top:0pt;height:144pt;width:144pt;mso-position-horizontal:outside;mso-position-horizontal-relative:margin;mso-wrap-distance-bottom:0pt;mso-wrap-distance-left:9pt;mso-wrap-distance-right:9pt;mso-wrap-distance-top:0pt;mso-wrap-style:none;z-index:251659264;mso-width-relative:page;mso-height-relative:page;" stroked="f" coordsize="21600,21600" o:gfxdata="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levvX0gAAAAUBAAAPAAAAAAAAAAEAIAAAADgAAABkcnMvZG93&#10;bnJldi54bWxQSwECFAAUAAAACACHTuJAHZjRx7cBAABWAwAADgAAAAAAAAABACAAAAA3AQAAZHJz&#10;L2Uyb0RvYy54bWxQSwUGAAAAAAYABgBZAQAAYAUAAAAA&#10;">
              <v:path/>
              <v:fill focussize="0,0"/>
              <v:stroke on="f" joinstyle="miter"/>
              <v:imagedata o:title=""/>
              <o:lock v:ext="edit"/>
              <v:textbox style="mso-fit-shape-to-text:t;">
                <w:txbxContent>
                  <w:p w14:paraId="7113629F">
                    <w:pPr>
                      <w:pStyle w:val="11"/>
                      <w:spacing w:line="240" w:lineRule="auto"/>
                      <w:ind w:left="280" w:leftChars="100" w:right="280" w:rightChars="100" w:firstLine="0" w:firstLineChars="0"/>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txbxContent>
              </v:textbox>
              <w10:wrap type="square"/>
            </v:shape>
          </w:pic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02529"/>
    </w:sdtPr>
    <w:sdtEndPr>
      <w:rPr>
        <w:rFonts w:asciiTheme="minorEastAsia" w:hAnsiTheme="minorEastAsia" w:eastAsiaTheme="minorEastAsia"/>
        <w:sz w:val="28"/>
        <w:szCs w:val="28"/>
      </w:rPr>
    </w:sdtEndPr>
    <w:sdtContent>
      <w:p w14:paraId="0C1523E5">
        <w:pPr>
          <w:pStyle w:val="11"/>
          <w:spacing w:line="240" w:lineRule="auto"/>
          <w:ind w:firstLine="0" w:firstLineChars="0"/>
          <w:jc w:val="center"/>
        </w:pPr>
        <w:r>
          <w:pict>
            <v:shape id="_x0000_s1030" o:spid="_x0000_s1030" o:spt="202" type="#_x0000_t202" style="position:absolute;left:0pt;margin-left:36.85pt;height:144pt;width:144pt;mso-position-horizontal-relative:page;mso-position-vertical:outside;mso-position-vertical-relative:margin;mso-wrap-distance-bottom:0pt;mso-wrap-distance-left:9pt;mso-wrap-distance-right:9pt;mso-wrap-distance-top:0pt;mso-wrap-style:none;z-index:251660288;mso-width-relative:page;mso-height-relative:page;" stroked="f" coordsize="21600,21600" o:gfxdata="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fumVb1AAAAAcBAAAPAAAAAAAAAAEAIAAAADgA&#10;AABkcnMvZG93bnJldi54bWxQSwECFAAUAAAACACHTuJASSkjf74BAABkAwAADgAAAAAAAAABACAA&#10;AAA5AQAAZHJzL2Uyb0RvYy54bWxQSwUGAAAAAAYABgBZAQAAaQUAAAAA&#10;">
              <v:path/>
              <v:fill focussize="0,0"/>
              <v:stroke on="f" joinstyle="miter"/>
              <v:imagedata o:title=""/>
              <o:lock v:ext="edit"/>
              <v:textbox style="layout-flow:vertical-ideographic;mso-fit-shape-to-text:t;">
                <w:txbxContent>
                  <w:p w14:paraId="0F21A08B">
                    <w:pPr>
                      <w:pStyle w:val="11"/>
                      <w:spacing w:line="240" w:lineRule="auto"/>
                      <w:ind w:left="280" w:leftChars="100" w:right="280" w:rightChars="100" w:firstLine="0" w:firstLineChars="0"/>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txbxContent>
              </v:textbox>
              <w10:wrap type="square"/>
            </v:shape>
          </w:pic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02530"/>
    </w:sdtPr>
    <w:sdtEndPr>
      <w:rPr>
        <w:rFonts w:asciiTheme="minorEastAsia" w:hAnsiTheme="minorEastAsia" w:eastAsiaTheme="minorEastAsia"/>
        <w:sz w:val="28"/>
        <w:szCs w:val="28"/>
      </w:rPr>
    </w:sdtEndPr>
    <w:sdtContent>
      <w:p w14:paraId="2AEB083E">
        <w:pPr>
          <w:pStyle w:val="11"/>
          <w:spacing w:line="240" w:lineRule="auto"/>
          <w:ind w:firstLine="0" w:firstLineChars="0"/>
          <w:jc w:val="center"/>
        </w:pPr>
        <w:r>
          <w:pict>
            <v:shape id="_x0000_s1029" o:spid="_x0000_s1029" o:spt="202" type="#_x0000_t202" style="position:absolute;left:0pt;margin-top:0pt;height:144pt;width:144pt;mso-position-horizontal:outside;mso-position-horizontal-relative:margin;mso-wrap-distance-bottom:0pt;mso-wrap-distance-left:9pt;mso-wrap-distance-right:9pt;mso-wrap-distance-top:0pt;mso-wrap-style:none;z-index:251661312;mso-width-relative:page;mso-height-relative:page;" stroked="f" coordsize="21600,21600" o:gfxdata="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OV6+9fSAAAABQEAAA8AAAAAAAAAAQAgAAAAOAAAAGRycy9kb3du&#10;cmV2LnhtbFBLAQIUABQAAAAIAIdO4kCKVs/wtgEAAFYDAAAOAAAAAAAAAAEAIAAAADcBAABkcnMv&#10;ZTJvRG9jLnhtbFBLBQYAAAAABgAGAFkBAABfBQAAAAA=&#10;">
              <v:path/>
              <v:fill focussize="0,0"/>
              <v:stroke on="f" joinstyle="miter"/>
              <v:imagedata o:title=""/>
              <o:lock v:ext="edit"/>
              <v:textbox style="mso-fit-shape-to-text:t;">
                <w:txbxContent>
                  <w:p w14:paraId="6E473418">
                    <w:pPr>
                      <w:pStyle w:val="11"/>
                      <w:spacing w:line="240" w:lineRule="auto"/>
                      <w:ind w:left="280" w:leftChars="100" w:right="280" w:rightChars="100" w:firstLine="0" w:firstLineChars="0"/>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60</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txbxContent>
              </v:textbox>
              <w10:wrap type="square"/>
            </v:shape>
          </w:pic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02531"/>
    </w:sdtPr>
    <w:sdtEndPr>
      <w:rPr>
        <w:rFonts w:asciiTheme="minorEastAsia" w:hAnsiTheme="minorEastAsia" w:eastAsiaTheme="minorEastAsia"/>
        <w:sz w:val="28"/>
        <w:szCs w:val="28"/>
      </w:rPr>
    </w:sdtEndPr>
    <w:sdtContent>
      <w:p w14:paraId="286AC7FB">
        <w:pPr>
          <w:pStyle w:val="11"/>
          <w:spacing w:line="240" w:lineRule="auto"/>
          <w:ind w:firstLine="0" w:firstLineChars="0"/>
          <w:jc w:val="center"/>
        </w:pPr>
        <w:r>
          <w:pict>
            <v:shape id="_x0000_s1028" o:spid="_x0000_s1028" o:spt="202" type="#_x0000_t202" style="position:absolute;left:0pt;margin-left:36.85pt;height:144pt;width:144pt;mso-position-horizontal-relative:page;mso-position-vertical:outside;mso-position-vertical-relative:margin;mso-wrap-distance-bottom:0pt;mso-wrap-distance-left:9pt;mso-wrap-distance-right:9pt;mso-wrap-distance-top:0pt;mso-wrap-style:none;z-index:251662336;mso-width-relative:page;mso-height-relative:page;" stroked="f" coordsize="21600,21600" o:gfxdata="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fumVb1AAAAAcBAAAPAAAAAAAAAAEAIAAAADgA&#10;AABkcnMvZG93bnJldi54bWxQSwECFAAUAAAACACHTuJAdohW/L4BAABkAwAADgAAAAAAAAABACAA&#10;AAA5AQAAZHJzL2Uyb0RvYy54bWxQSwUGAAAAAAYABgBZAQAAaQUAAAAA&#10;">
              <v:path/>
              <v:fill focussize="0,0"/>
              <v:stroke on="f" joinstyle="miter"/>
              <v:imagedata o:title=""/>
              <o:lock v:ext="edit"/>
              <v:textbox style="layout-flow:vertical-ideographic;mso-fit-shape-to-text:t;">
                <w:txbxContent>
                  <w:p w14:paraId="7C765DF8">
                    <w:pPr>
                      <w:pStyle w:val="11"/>
                      <w:spacing w:line="240" w:lineRule="auto"/>
                      <w:ind w:left="280" w:leftChars="100" w:right="280" w:rightChars="100" w:firstLine="0" w:firstLineChars="0"/>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67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txbxContent>
              </v:textbox>
              <w10:wrap type="square"/>
            </v:shape>
          </w:pic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EE46">
    <w:pPr>
      <w:pStyle w:val="11"/>
      <w:spacing w:line="240" w:lineRule="auto"/>
      <w:ind w:firstLine="0" w:firstLineChars="0"/>
      <w:jc w:val="center"/>
    </w:pPr>
    <w:r>
      <w:pict>
        <v:shape id="_x0000_s1027" o:spid="_x0000_s1027" o:spt="202" type="#_x0000_t202" style="position:absolute;left:0pt;margin-top:0pt;height:144pt;width:144pt;mso-position-horizontal:outside;mso-position-horizontal-relative:margin;mso-wrap-distance-bottom:0pt;mso-wrap-distance-left:9pt;mso-wrap-distance-right:9pt;mso-wrap-distance-top:0pt;mso-wrap-style:none;z-index:251663360;mso-width-relative:page;mso-height-relative:page;" stroked="f" coordsize="21600,21600" o:gfxdata="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levvX0gAAAAUBAAAPAAAAAAAAAAEAIAAAADgAAABkcnMvZG93&#10;bnJldi54bWxQSwECFAAUAAAACACHTuJAbz+XdbcBAABWAwAADgAAAAAAAAABACAAAAA3AQAAZHJz&#10;L2Uyb0RvYy54bWxQSwUGAAAAAAYABgBZAQAAYAUAAAAA&#10;">
          <v:path/>
          <v:fill focussize="0,0"/>
          <v:stroke on="f" joinstyle="miter"/>
          <v:imagedata o:title=""/>
          <o:lock v:ext="edit"/>
          <v:textbox style="mso-fit-shape-to-text:t;">
            <w:txbxContent>
              <w:p w14:paraId="624F5EDE">
                <w:pPr>
                  <w:pStyle w:val="11"/>
                  <w:spacing w:line="240" w:lineRule="auto"/>
                  <w:ind w:left="280" w:leftChars="100" w:right="280" w:rightChars="100" w:firstLine="0" w:firstLineChars="0"/>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33B3">
    <w:pPr>
      <w:pStyle w:val="12"/>
      <w:pBdr>
        <w:bottom w:val="none" w:color="auto" w:sz="0" w:space="1"/>
      </w:pBd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C43B">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033B9">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83164">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80E38"/>
    <w:multiLevelType w:val="singleLevel"/>
    <w:tmpl w:val="B9F80E38"/>
    <w:lvl w:ilvl="0" w:tentative="0">
      <w:start w:val="1"/>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2"/>
  </w:compat>
  <w:docVars>
    <w:docVar w:name="commondata" w:val="eyJoZGlkIjoiMDdlMTA1OTExODE2NzNmOGE5MGIzMzc5Mzc2ZDAxMTkifQ=="/>
  </w:docVars>
  <w:rsids>
    <w:rsidRoot w:val="00172A27"/>
    <w:rsid w:val="000944D0"/>
    <w:rsid w:val="000A2AE4"/>
    <w:rsid w:val="000D656F"/>
    <w:rsid w:val="000D783E"/>
    <w:rsid w:val="000F3EBD"/>
    <w:rsid w:val="0010162E"/>
    <w:rsid w:val="00132C68"/>
    <w:rsid w:val="00172A27"/>
    <w:rsid w:val="001902B3"/>
    <w:rsid w:val="001E4D73"/>
    <w:rsid w:val="00212C9E"/>
    <w:rsid w:val="00243C23"/>
    <w:rsid w:val="002660B6"/>
    <w:rsid w:val="002B304F"/>
    <w:rsid w:val="002C60D1"/>
    <w:rsid w:val="002E1EAD"/>
    <w:rsid w:val="0031186B"/>
    <w:rsid w:val="00370098"/>
    <w:rsid w:val="003753D8"/>
    <w:rsid w:val="003C64EF"/>
    <w:rsid w:val="003E2296"/>
    <w:rsid w:val="003E5053"/>
    <w:rsid w:val="003E6509"/>
    <w:rsid w:val="003F57C0"/>
    <w:rsid w:val="00404C32"/>
    <w:rsid w:val="004B3E28"/>
    <w:rsid w:val="004C6FB3"/>
    <w:rsid w:val="004D51F6"/>
    <w:rsid w:val="004E14D3"/>
    <w:rsid w:val="004E3A1A"/>
    <w:rsid w:val="00563893"/>
    <w:rsid w:val="005900C0"/>
    <w:rsid w:val="005F26D3"/>
    <w:rsid w:val="00606273"/>
    <w:rsid w:val="00671B73"/>
    <w:rsid w:val="006C36AE"/>
    <w:rsid w:val="007029E9"/>
    <w:rsid w:val="00754DCC"/>
    <w:rsid w:val="007B6B90"/>
    <w:rsid w:val="007E56A2"/>
    <w:rsid w:val="007F3C5F"/>
    <w:rsid w:val="00830173"/>
    <w:rsid w:val="00841D66"/>
    <w:rsid w:val="00864EFF"/>
    <w:rsid w:val="008B2A41"/>
    <w:rsid w:val="008E64F7"/>
    <w:rsid w:val="009604FD"/>
    <w:rsid w:val="00966BA3"/>
    <w:rsid w:val="00990976"/>
    <w:rsid w:val="00997CE2"/>
    <w:rsid w:val="00A12B34"/>
    <w:rsid w:val="00A40FD7"/>
    <w:rsid w:val="00A41347"/>
    <w:rsid w:val="00A6305F"/>
    <w:rsid w:val="00A6598A"/>
    <w:rsid w:val="00AE6BF2"/>
    <w:rsid w:val="00B9167F"/>
    <w:rsid w:val="00C53963"/>
    <w:rsid w:val="00C66EFD"/>
    <w:rsid w:val="00CB0D49"/>
    <w:rsid w:val="00CB4268"/>
    <w:rsid w:val="00CD5FE7"/>
    <w:rsid w:val="00CF0387"/>
    <w:rsid w:val="00CF10AA"/>
    <w:rsid w:val="00CF56A3"/>
    <w:rsid w:val="00D00370"/>
    <w:rsid w:val="00D06D1C"/>
    <w:rsid w:val="00D563E1"/>
    <w:rsid w:val="00D6019D"/>
    <w:rsid w:val="00D75702"/>
    <w:rsid w:val="00DA1479"/>
    <w:rsid w:val="00DF1DCA"/>
    <w:rsid w:val="00E01136"/>
    <w:rsid w:val="00E734E9"/>
    <w:rsid w:val="00E8316D"/>
    <w:rsid w:val="00EB2231"/>
    <w:rsid w:val="00ED33EA"/>
    <w:rsid w:val="00EE762E"/>
    <w:rsid w:val="00EF58A6"/>
    <w:rsid w:val="00F05699"/>
    <w:rsid w:val="00FA75D4"/>
    <w:rsid w:val="00FE6D13"/>
    <w:rsid w:val="0178643C"/>
    <w:rsid w:val="01AC0E99"/>
    <w:rsid w:val="01C31C0E"/>
    <w:rsid w:val="01DA7892"/>
    <w:rsid w:val="01EE6485"/>
    <w:rsid w:val="0288218E"/>
    <w:rsid w:val="02C24BF1"/>
    <w:rsid w:val="02EF1E8A"/>
    <w:rsid w:val="030E2B8A"/>
    <w:rsid w:val="03461EE5"/>
    <w:rsid w:val="039151BB"/>
    <w:rsid w:val="03CD1A9F"/>
    <w:rsid w:val="0426235C"/>
    <w:rsid w:val="04494EC0"/>
    <w:rsid w:val="048307A8"/>
    <w:rsid w:val="04F92354"/>
    <w:rsid w:val="04FF037E"/>
    <w:rsid w:val="052676B9"/>
    <w:rsid w:val="05E50C78"/>
    <w:rsid w:val="05FA4A90"/>
    <w:rsid w:val="064A5629"/>
    <w:rsid w:val="069A7FF8"/>
    <w:rsid w:val="06BA72B5"/>
    <w:rsid w:val="06F8569A"/>
    <w:rsid w:val="07106520"/>
    <w:rsid w:val="07332A86"/>
    <w:rsid w:val="073C033A"/>
    <w:rsid w:val="08196827"/>
    <w:rsid w:val="08233479"/>
    <w:rsid w:val="092C26E1"/>
    <w:rsid w:val="0931509E"/>
    <w:rsid w:val="0935611C"/>
    <w:rsid w:val="0A1777C8"/>
    <w:rsid w:val="0A281D9B"/>
    <w:rsid w:val="0AD1604A"/>
    <w:rsid w:val="0B5171E3"/>
    <w:rsid w:val="0B651E44"/>
    <w:rsid w:val="0B720E60"/>
    <w:rsid w:val="0C0B6374"/>
    <w:rsid w:val="0C9144C5"/>
    <w:rsid w:val="0CC40D77"/>
    <w:rsid w:val="0CD85F8B"/>
    <w:rsid w:val="0D1122FB"/>
    <w:rsid w:val="0D720008"/>
    <w:rsid w:val="0D841421"/>
    <w:rsid w:val="0DCC76B5"/>
    <w:rsid w:val="0DE3083D"/>
    <w:rsid w:val="0E032C8D"/>
    <w:rsid w:val="0E033AC3"/>
    <w:rsid w:val="0EA32E4A"/>
    <w:rsid w:val="0EDE2CAE"/>
    <w:rsid w:val="0FA1275E"/>
    <w:rsid w:val="0FC621A1"/>
    <w:rsid w:val="0FDC3FFB"/>
    <w:rsid w:val="10347511"/>
    <w:rsid w:val="103C0B9A"/>
    <w:rsid w:val="105456F3"/>
    <w:rsid w:val="10825DB2"/>
    <w:rsid w:val="108C1329"/>
    <w:rsid w:val="110725CC"/>
    <w:rsid w:val="117062C7"/>
    <w:rsid w:val="11957C05"/>
    <w:rsid w:val="11A93C3F"/>
    <w:rsid w:val="11BC7089"/>
    <w:rsid w:val="11BE5CE0"/>
    <w:rsid w:val="120E1D76"/>
    <w:rsid w:val="121C60CC"/>
    <w:rsid w:val="12443874"/>
    <w:rsid w:val="129124EE"/>
    <w:rsid w:val="12C97506"/>
    <w:rsid w:val="12DC757D"/>
    <w:rsid w:val="12F268C3"/>
    <w:rsid w:val="13393BDE"/>
    <w:rsid w:val="136F679F"/>
    <w:rsid w:val="13890F6B"/>
    <w:rsid w:val="138A6A1B"/>
    <w:rsid w:val="14144FC7"/>
    <w:rsid w:val="148170AA"/>
    <w:rsid w:val="14A236B0"/>
    <w:rsid w:val="14D23044"/>
    <w:rsid w:val="15347BD0"/>
    <w:rsid w:val="155E265F"/>
    <w:rsid w:val="1584216A"/>
    <w:rsid w:val="1595743F"/>
    <w:rsid w:val="15B34F99"/>
    <w:rsid w:val="15C24037"/>
    <w:rsid w:val="15F01B6D"/>
    <w:rsid w:val="15FC364C"/>
    <w:rsid w:val="1618644D"/>
    <w:rsid w:val="164D28A4"/>
    <w:rsid w:val="16560CEF"/>
    <w:rsid w:val="165C3A26"/>
    <w:rsid w:val="166C56E1"/>
    <w:rsid w:val="16785E3E"/>
    <w:rsid w:val="16C302AC"/>
    <w:rsid w:val="17161C69"/>
    <w:rsid w:val="171657DF"/>
    <w:rsid w:val="173024B0"/>
    <w:rsid w:val="176D294D"/>
    <w:rsid w:val="1789225F"/>
    <w:rsid w:val="17A17274"/>
    <w:rsid w:val="17C62EB4"/>
    <w:rsid w:val="17CD1C16"/>
    <w:rsid w:val="18047D2E"/>
    <w:rsid w:val="181949BB"/>
    <w:rsid w:val="18274926"/>
    <w:rsid w:val="185364EE"/>
    <w:rsid w:val="185A04B4"/>
    <w:rsid w:val="185F11CC"/>
    <w:rsid w:val="186B2F85"/>
    <w:rsid w:val="18D41AB7"/>
    <w:rsid w:val="18F601E5"/>
    <w:rsid w:val="19117E5A"/>
    <w:rsid w:val="1912423C"/>
    <w:rsid w:val="193A6023"/>
    <w:rsid w:val="197D1FB4"/>
    <w:rsid w:val="19856C4C"/>
    <w:rsid w:val="199F200C"/>
    <w:rsid w:val="19B5349E"/>
    <w:rsid w:val="19C05ED6"/>
    <w:rsid w:val="19DE2C94"/>
    <w:rsid w:val="19EF2318"/>
    <w:rsid w:val="1A165AF6"/>
    <w:rsid w:val="1A485656"/>
    <w:rsid w:val="1A577AB5"/>
    <w:rsid w:val="1A7A2A5A"/>
    <w:rsid w:val="1AA11864"/>
    <w:rsid w:val="1B1A31AA"/>
    <w:rsid w:val="1B9F3018"/>
    <w:rsid w:val="1BEF5CA9"/>
    <w:rsid w:val="1BF478EC"/>
    <w:rsid w:val="1C47468D"/>
    <w:rsid w:val="1C7444C3"/>
    <w:rsid w:val="1CA20722"/>
    <w:rsid w:val="1CDF0639"/>
    <w:rsid w:val="1D1942CD"/>
    <w:rsid w:val="1D1B4B41"/>
    <w:rsid w:val="1D237C1E"/>
    <w:rsid w:val="1D2A5CBB"/>
    <w:rsid w:val="1D61457D"/>
    <w:rsid w:val="1E01086B"/>
    <w:rsid w:val="1E1E5B3D"/>
    <w:rsid w:val="1E7C3A2F"/>
    <w:rsid w:val="1E8C12A6"/>
    <w:rsid w:val="1EA66EFD"/>
    <w:rsid w:val="1EB761ED"/>
    <w:rsid w:val="1F3F2EA1"/>
    <w:rsid w:val="1F4F17EC"/>
    <w:rsid w:val="1F52254E"/>
    <w:rsid w:val="1FD613ED"/>
    <w:rsid w:val="1FE6100A"/>
    <w:rsid w:val="1FF38823"/>
    <w:rsid w:val="208A4B48"/>
    <w:rsid w:val="208B4B78"/>
    <w:rsid w:val="20E436D0"/>
    <w:rsid w:val="20E82D0A"/>
    <w:rsid w:val="21496B50"/>
    <w:rsid w:val="216B6BD7"/>
    <w:rsid w:val="21DE5E1B"/>
    <w:rsid w:val="226760F2"/>
    <w:rsid w:val="228F4A1D"/>
    <w:rsid w:val="22B147BD"/>
    <w:rsid w:val="23246A98"/>
    <w:rsid w:val="2326124F"/>
    <w:rsid w:val="232F19D7"/>
    <w:rsid w:val="23811DFA"/>
    <w:rsid w:val="239301B8"/>
    <w:rsid w:val="23D064DB"/>
    <w:rsid w:val="23DF33FD"/>
    <w:rsid w:val="242A5B56"/>
    <w:rsid w:val="247C6E9E"/>
    <w:rsid w:val="248422FD"/>
    <w:rsid w:val="24BF6485"/>
    <w:rsid w:val="24ED4FA9"/>
    <w:rsid w:val="252857D9"/>
    <w:rsid w:val="258A0847"/>
    <w:rsid w:val="25E46AA9"/>
    <w:rsid w:val="25E54016"/>
    <w:rsid w:val="26031625"/>
    <w:rsid w:val="26270594"/>
    <w:rsid w:val="262D4C9C"/>
    <w:rsid w:val="264D6D44"/>
    <w:rsid w:val="26A16C4A"/>
    <w:rsid w:val="26DE7EB1"/>
    <w:rsid w:val="26E3102A"/>
    <w:rsid w:val="26E75961"/>
    <w:rsid w:val="26F14267"/>
    <w:rsid w:val="271138CD"/>
    <w:rsid w:val="272E267B"/>
    <w:rsid w:val="27641A9A"/>
    <w:rsid w:val="2792632C"/>
    <w:rsid w:val="27B74DB2"/>
    <w:rsid w:val="27D43717"/>
    <w:rsid w:val="28295D90"/>
    <w:rsid w:val="28302A61"/>
    <w:rsid w:val="286C6045"/>
    <w:rsid w:val="286F2FA1"/>
    <w:rsid w:val="28A80261"/>
    <w:rsid w:val="290A5D94"/>
    <w:rsid w:val="292E56CA"/>
    <w:rsid w:val="2956483C"/>
    <w:rsid w:val="29791BFE"/>
    <w:rsid w:val="299627B0"/>
    <w:rsid w:val="29BB1805"/>
    <w:rsid w:val="29C94186"/>
    <w:rsid w:val="2A8E3EA0"/>
    <w:rsid w:val="2A902D34"/>
    <w:rsid w:val="2AD83BB6"/>
    <w:rsid w:val="2B065713"/>
    <w:rsid w:val="2C5F1504"/>
    <w:rsid w:val="2C6D6765"/>
    <w:rsid w:val="2CB05936"/>
    <w:rsid w:val="2CB239D5"/>
    <w:rsid w:val="2CD24B05"/>
    <w:rsid w:val="2CE43832"/>
    <w:rsid w:val="2D454ECA"/>
    <w:rsid w:val="2DB66F7C"/>
    <w:rsid w:val="2DDB3BD0"/>
    <w:rsid w:val="2DF93913"/>
    <w:rsid w:val="2DFD2DFD"/>
    <w:rsid w:val="2E375BCE"/>
    <w:rsid w:val="2E725FF9"/>
    <w:rsid w:val="2E861CAD"/>
    <w:rsid w:val="2EEC72A5"/>
    <w:rsid w:val="2EFC0BAB"/>
    <w:rsid w:val="2F065CE2"/>
    <w:rsid w:val="2F372620"/>
    <w:rsid w:val="2F7D6310"/>
    <w:rsid w:val="2F84106B"/>
    <w:rsid w:val="2F937FAD"/>
    <w:rsid w:val="2FB27C17"/>
    <w:rsid w:val="2FF940EE"/>
    <w:rsid w:val="302625E2"/>
    <w:rsid w:val="306D1274"/>
    <w:rsid w:val="30892CEA"/>
    <w:rsid w:val="30951B72"/>
    <w:rsid w:val="30A63CC9"/>
    <w:rsid w:val="30AA4A93"/>
    <w:rsid w:val="31394D97"/>
    <w:rsid w:val="315076E8"/>
    <w:rsid w:val="31B1327F"/>
    <w:rsid w:val="31B929C4"/>
    <w:rsid w:val="31C82C81"/>
    <w:rsid w:val="31CC6547"/>
    <w:rsid w:val="330C4B9A"/>
    <w:rsid w:val="33151EE6"/>
    <w:rsid w:val="331967EA"/>
    <w:rsid w:val="33C55880"/>
    <w:rsid w:val="344F4070"/>
    <w:rsid w:val="345614B9"/>
    <w:rsid w:val="348304AC"/>
    <w:rsid w:val="34A277E4"/>
    <w:rsid w:val="34EB1527"/>
    <w:rsid w:val="35043859"/>
    <w:rsid w:val="353B2709"/>
    <w:rsid w:val="354E3B8F"/>
    <w:rsid w:val="35611EC4"/>
    <w:rsid w:val="358007E8"/>
    <w:rsid w:val="35F76AC1"/>
    <w:rsid w:val="35F99A0D"/>
    <w:rsid w:val="36274722"/>
    <w:rsid w:val="363936C6"/>
    <w:rsid w:val="36646640"/>
    <w:rsid w:val="36F30C44"/>
    <w:rsid w:val="372D7164"/>
    <w:rsid w:val="37362EDC"/>
    <w:rsid w:val="375BEA1C"/>
    <w:rsid w:val="37C16C4A"/>
    <w:rsid w:val="3839723E"/>
    <w:rsid w:val="387C269C"/>
    <w:rsid w:val="38E24B84"/>
    <w:rsid w:val="38ED7689"/>
    <w:rsid w:val="38F61848"/>
    <w:rsid w:val="391747BC"/>
    <w:rsid w:val="391C621B"/>
    <w:rsid w:val="3962620A"/>
    <w:rsid w:val="39A62419"/>
    <w:rsid w:val="39C43946"/>
    <w:rsid w:val="3A5963B4"/>
    <w:rsid w:val="3A783D9C"/>
    <w:rsid w:val="3AE538E5"/>
    <w:rsid w:val="3B4E4974"/>
    <w:rsid w:val="3B514788"/>
    <w:rsid w:val="3B6442D4"/>
    <w:rsid w:val="3B914D53"/>
    <w:rsid w:val="3B9A612F"/>
    <w:rsid w:val="3BDC4A2D"/>
    <w:rsid w:val="3BFC8C3E"/>
    <w:rsid w:val="3C2E5C23"/>
    <w:rsid w:val="3C357C06"/>
    <w:rsid w:val="3C71026E"/>
    <w:rsid w:val="3D247381"/>
    <w:rsid w:val="3D40106E"/>
    <w:rsid w:val="3D447A89"/>
    <w:rsid w:val="3D595B76"/>
    <w:rsid w:val="3DAD1F08"/>
    <w:rsid w:val="3DB67459"/>
    <w:rsid w:val="3DE462BF"/>
    <w:rsid w:val="3DF8538F"/>
    <w:rsid w:val="3E13537A"/>
    <w:rsid w:val="3E1F2A71"/>
    <w:rsid w:val="3E4A064A"/>
    <w:rsid w:val="3E5D4FB2"/>
    <w:rsid w:val="3E865FAB"/>
    <w:rsid w:val="3EDB1ACA"/>
    <w:rsid w:val="3F11545D"/>
    <w:rsid w:val="3F360E09"/>
    <w:rsid w:val="3F4A38B2"/>
    <w:rsid w:val="400A300B"/>
    <w:rsid w:val="400A3F23"/>
    <w:rsid w:val="40190FA3"/>
    <w:rsid w:val="404A2138"/>
    <w:rsid w:val="40600F56"/>
    <w:rsid w:val="408572DE"/>
    <w:rsid w:val="40AE423F"/>
    <w:rsid w:val="40F81FCB"/>
    <w:rsid w:val="412F1132"/>
    <w:rsid w:val="41401527"/>
    <w:rsid w:val="41B34CFA"/>
    <w:rsid w:val="41D82911"/>
    <w:rsid w:val="423B4292"/>
    <w:rsid w:val="423D4960"/>
    <w:rsid w:val="42521512"/>
    <w:rsid w:val="429014F0"/>
    <w:rsid w:val="42DA770D"/>
    <w:rsid w:val="432F22A5"/>
    <w:rsid w:val="43C8495E"/>
    <w:rsid w:val="43D8592D"/>
    <w:rsid w:val="443274E2"/>
    <w:rsid w:val="448B7BCA"/>
    <w:rsid w:val="449750E1"/>
    <w:rsid w:val="44A679A3"/>
    <w:rsid w:val="44AE2C66"/>
    <w:rsid w:val="44B35192"/>
    <w:rsid w:val="44E23650"/>
    <w:rsid w:val="45241EDD"/>
    <w:rsid w:val="4547362B"/>
    <w:rsid w:val="45D264C6"/>
    <w:rsid w:val="45E47596"/>
    <w:rsid w:val="45F057A9"/>
    <w:rsid w:val="45F60406"/>
    <w:rsid w:val="466465B2"/>
    <w:rsid w:val="469A4CAB"/>
    <w:rsid w:val="46C36127"/>
    <w:rsid w:val="47403369"/>
    <w:rsid w:val="47873ED6"/>
    <w:rsid w:val="479D07C9"/>
    <w:rsid w:val="48162883"/>
    <w:rsid w:val="48736DD5"/>
    <w:rsid w:val="489F4D85"/>
    <w:rsid w:val="494C6488"/>
    <w:rsid w:val="49520049"/>
    <w:rsid w:val="495305AA"/>
    <w:rsid w:val="496B7B8E"/>
    <w:rsid w:val="497340FB"/>
    <w:rsid w:val="49D06E48"/>
    <w:rsid w:val="49EA64D4"/>
    <w:rsid w:val="4A15656B"/>
    <w:rsid w:val="4A7213C5"/>
    <w:rsid w:val="4ACC07BA"/>
    <w:rsid w:val="4ACE1AA3"/>
    <w:rsid w:val="4AD0485D"/>
    <w:rsid w:val="4AD43D49"/>
    <w:rsid w:val="4ADB3F55"/>
    <w:rsid w:val="4AE50A49"/>
    <w:rsid w:val="4AF601C0"/>
    <w:rsid w:val="4AF72C27"/>
    <w:rsid w:val="4B496595"/>
    <w:rsid w:val="4B8F38B6"/>
    <w:rsid w:val="4B946987"/>
    <w:rsid w:val="4BE43C98"/>
    <w:rsid w:val="4BEB0573"/>
    <w:rsid w:val="4BFE7D1D"/>
    <w:rsid w:val="4C0A0DB5"/>
    <w:rsid w:val="4C2232CF"/>
    <w:rsid w:val="4CFF0D3B"/>
    <w:rsid w:val="4D2F003E"/>
    <w:rsid w:val="4D344607"/>
    <w:rsid w:val="4DE529EA"/>
    <w:rsid w:val="4DFC17E7"/>
    <w:rsid w:val="4E5F1FD7"/>
    <w:rsid w:val="4E862406"/>
    <w:rsid w:val="4EA9218C"/>
    <w:rsid w:val="4F5045D4"/>
    <w:rsid w:val="4F9C0DCE"/>
    <w:rsid w:val="4FC0353B"/>
    <w:rsid w:val="50263F82"/>
    <w:rsid w:val="504A2298"/>
    <w:rsid w:val="50810C43"/>
    <w:rsid w:val="516001E0"/>
    <w:rsid w:val="52170C28"/>
    <w:rsid w:val="52273215"/>
    <w:rsid w:val="528A1B5D"/>
    <w:rsid w:val="52D95028"/>
    <w:rsid w:val="52EA7BC4"/>
    <w:rsid w:val="53232D90"/>
    <w:rsid w:val="536F4AAF"/>
    <w:rsid w:val="53EE6BC1"/>
    <w:rsid w:val="54030EA3"/>
    <w:rsid w:val="54091C4C"/>
    <w:rsid w:val="541F2124"/>
    <w:rsid w:val="547B7BEB"/>
    <w:rsid w:val="54895DF1"/>
    <w:rsid w:val="54E05CA1"/>
    <w:rsid w:val="55847C94"/>
    <w:rsid w:val="561A5A4B"/>
    <w:rsid w:val="561F2DFB"/>
    <w:rsid w:val="563C1138"/>
    <w:rsid w:val="569F23F4"/>
    <w:rsid w:val="56A13AB2"/>
    <w:rsid w:val="56D906E3"/>
    <w:rsid w:val="56ED1610"/>
    <w:rsid w:val="56FC2857"/>
    <w:rsid w:val="571B0C25"/>
    <w:rsid w:val="5726041F"/>
    <w:rsid w:val="574C5F34"/>
    <w:rsid w:val="57664524"/>
    <w:rsid w:val="57B00631"/>
    <w:rsid w:val="57D66BB3"/>
    <w:rsid w:val="57F873A0"/>
    <w:rsid w:val="58136BF6"/>
    <w:rsid w:val="587547D2"/>
    <w:rsid w:val="589870FB"/>
    <w:rsid w:val="58BC7DF0"/>
    <w:rsid w:val="58BF0B2C"/>
    <w:rsid w:val="58C85C32"/>
    <w:rsid w:val="58EC05C7"/>
    <w:rsid w:val="59C96FFA"/>
    <w:rsid w:val="5A0A14EC"/>
    <w:rsid w:val="5A1B6236"/>
    <w:rsid w:val="5AF076C2"/>
    <w:rsid w:val="5B751975"/>
    <w:rsid w:val="5B901243"/>
    <w:rsid w:val="5C1631F6"/>
    <w:rsid w:val="5C4655FE"/>
    <w:rsid w:val="5DF177F3"/>
    <w:rsid w:val="5E4C4CDA"/>
    <w:rsid w:val="5E5341F0"/>
    <w:rsid w:val="5EAA0EF6"/>
    <w:rsid w:val="5EAA1220"/>
    <w:rsid w:val="5EAF1BF9"/>
    <w:rsid w:val="5F286B6B"/>
    <w:rsid w:val="5F6613D3"/>
    <w:rsid w:val="5F773A23"/>
    <w:rsid w:val="5F7D5109"/>
    <w:rsid w:val="5F844C3F"/>
    <w:rsid w:val="5F9745B0"/>
    <w:rsid w:val="5FBC61D0"/>
    <w:rsid w:val="5FDE785C"/>
    <w:rsid w:val="601D1118"/>
    <w:rsid w:val="60984938"/>
    <w:rsid w:val="609E537F"/>
    <w:rsid w:val="60D6707C"/>
    <w:rsid w:val="61431824"/>
    <w:rsid w:val="61581B1D"/>
    <w:rsid w:val="617D5E6D"/>
    <w:rsid w:val="61FF5DDC"/>
    <w:rsid w:val="623C281A"/>
    <w:rsid w:val="62AC2340"/>
    <w:rsid w:val="63095908"/>
    <w:rsid w:val="63102BFD"/>
    <w:rsid w:val="6361610D"/>
    <w:rsid w:val="63FF144D"/>
    <w:rsid w:val="647869E8"/>
    <w:rsid w:val="647960C9"/>
    <w:rsid w:val="64DB2BF1"/>
    <w:rsid w:val="64E3271F"/>
    <w:rsid w:val="64E62A32"/>
    <w:rsid w:val="654061EF"/>
    <w:rsid w:val="65B85E82"/>
    <w:rsid w:val="66D73323"/>
    <w:rsid w:val="66DCD16E"/>
    <w:rsid w:val="67146DA9"/>
    <w:rsid w:val="673128EC"/>
    <w:rsid w:val="679E51B2"/>
    <w:rsid w:val="681A2F51"/>
    <w:rsid w:val="6860698A"/>
    <w:rsid w:val="68CB5601"/>
    <w:rsid w:val="68DE19B0"/>
    <w:rsid w:val="69221404"/>
    <w:rsid w:val="693C3E9E"/>
    <w:rsid w:val="69A262CD"/>
    <w:rsid w:val="69F43A21"/>
    <w:rsid w:val="6A3A25DE"/>
    <w:rsid w:val="6A3E0517"/>
    <w:rsid w:val="6A505A87"/>
    <w:rsid w:val="6A7D177A"/>
    <w:rsid w:val="6B113469"/>
    <w:rsid w:val="6B23156C"/>
    <w:rsid w:val="6B3327C6"/>
    <w:rsid w:val="6BA87EA6"/>
    <w:rsid w:val="6BF105DC"/>
    <w:rsid w:val="6BFC3494"/>
    <w:rsid w:val="6C7E0069"/>
    <w:rsid w:val="6C877EB9"/>
    <w:rsid w:val="6D5920C1"/>
    <w:rsid w:val="6D711BEA"/>
    <w:rsid w:val="6DB96633"/>
    <w:rsid w:val="6DCF1A44"/>
    <w:rsid w:val="6E505588"/>
    <w:rsid w:val="6E7C1B49"/>
    <w:rsid w:val="6E7FC6AF"/>
    <w:rsid w:val="6EA72ABA"/>
    <w:rsid w:val="6ECE1671"/>
    <w:rsid w:val="6F4441CB"/>
    <w:rsid w:val="6F857802"/>
    <w:rsid w:val="6FB22F4F"/>
    <w:rsid w:val="6FF2D51C"/>
    <w:rsid w:val="6FFE5F86"/>
    <w:rsid w:val="70724E42"/>
    <w:rsid w:val="709362F7"/>
    <w:rsid w:val="70B029CF"/>
    <w:rsid w:val="71467BE4"/>
    <w:rsid w:val="716A228A"/>
    <w:rsid w:val="7173EC98"/>
    <w:rsid w:val="720A602E"/>
    <w:rsid w:val="728A0E64"/>
    <w:rsid w:val="734F5782"/>
    <w:rsid w:val="737F3DE4"/>
    <w:rsid w:val="73A66446"/>
    <w:rsid w:val="73AF0B00"/>
    <w:rsid w:val="73BF7FFA"/>
    <w:rsid w:val="73CF42D2"/>
    <w:rsid w:val="73F76C73"/>
    <w:rsid w:val="740A1FDC"/>
    <w:rsid w:val="7464609C"/>
    <w:rsid w:val="746D2D4C"/>
    <w:rsid w:val="749E466D"/>
    <w:rsid w:val="74BE596D"/>
    <w:rsid w:val="74E62003"/>
    <w:rsid w:val="75A634FC"/>
    <w:rsid w:val="75AA5ED3"/>
    <w:rsid w:val="75B710B1"/>
    <w:rsid w:val="75E31888"/>
    <w:rsid w:val="75F4731A"/>
    <w:rsid w:val="76013AA1"/>
    <w:rsid w:val="762A1B7F"/>
    <w:rsid w:val="768D2C66"/>
    <w:rsid w:val="76B68B04"/>
    <w:rsid w:val="76C305F7"/>
    <w:rsid w:val="76CB0016"/>
    <w:rsid w:val="76E06610"/>
    <w:rsid w:val="76EB1A98"/>
    <w:rsid w:val="770D1B06"/>
    <w:rsid w:val="77814BC8"/>
    <w:rsid w:val="77F12330"/>
    <w:rsid w:val="77F71691"/>
    <w:rsid w:val="7819395D"/>
    <w:rsid w:val="781960CD"/>
    <w:rsid w:val="789F6CB0"/>
    <w:rsid w:val="78A3598D"/>
    <w:rsid w:val="78D27A56"/>
    <w:rsid w:val="790B7085"/>
    <w:rsid w:val="791B5165"/>
    <w:rsid w:val="79AB19F1"/>
    <w:rsid w:val="79C26340"/>
    <w:rsid w:val="79C7357A"/>
    <w:rsid w:val="7A042B0C"/>
    <w:rsid w:val="7A5F5220"/>
    <w:rsid w:val="7A6D7F90"/>
    <w:rsid w:val="7A70182E"/>
    <w:rsid w:val="7ABC74BE"/>
    <w:rsid w:val="7B1306E0"/>
    <w:rsid w:val="7B193991"/>
    <w:rsid w:val="7B385E07"/>
    <w:rsid w:val="7B6E0463"/>
    <w:rsid w:val="7BDD1145"/>
    <w:rsid w:val="7C5D3E2D"/>
    <w:rsid w:val="7C645278"/>
    <w:rsid w:val="7C8C37E5"/>
    <w:rsid w:val="7C920504"/>
    <w:rsid w:val="7C97A00B"/>
    <w:rsid w:val="7CBB8965"/>
    <w:rsid w:val="7CF17468"/>
    <w:rsid w:val="7D2542FA"/>
    <w:rsid w:val="7D2C4AF0"/>
    <w:rsid w:val="7D8353F0"/>
    <w:rsid w:val="7D987A4E"/>
    <w:rsid w:val="7DD72D69"/>
    <w:rsid w:val="7E423870"/>
    <w:rsid w:val="7E4E63DA"/>
    <w:rsid w:val="7ECC561E"/>
    <w:rsid w:val="7EEC4C73"/>
    <w:rsid w:val="7EF24F07"/>
    <w:rsid w:val="7F005100"/>
    <w:rsid w:val="7F2E381E"/>
    <w:rsid w:val="7F4D213E"/>
    <w:rsid w:val="7F5A20F7"/>
    <w:rsid w:val="7F684F61"/>
    <w:rsid w:val="7F892F90"/>
    <w:rsid w:val="7FA56510"/>
    <w:rsid w:val="7FD70B79"/>
    <w:rsid w:val="7FE92AF4"/>
    <w:rsid w:val="7FEB2083"/>
    <w:rsid w:val="7FF56A5D"/>
    <w:rsid w:val="7FFDA215"/>
    <w:rsid w:val="7FFE5FEC"/>
    <w:rsid w:val="97F54130"/>
    <w:rsid w:val="AFB721DD"/>
    <w:rsid w:val="CDDD5FA9"/>
    <w:rsid w:val="D2FEBA2E"/>
    <w:rsid w:val="E5FDC254"/>
    <w:rsid w:val="EB7A38C7"/>
    <w:rsid w:val="EF6DD757"/>
    <w:rsid w:val="EFDF8A57"/>
    <w:rsid w:val="EFFF2F9D"/>
    <w:rsid w:val="F54AE6C5"/>
    <w:rsid w:val="FBEEBCA3"/>
    <w:rsid w:val="FBEFF02F"/>
    <w:rsid w:val="FDDB0A81"/>
    <w:rsid w:val="FF7FDF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imes New Roman" w:hAnsi="Times New Roman" w:eastAsia="仿宋_GB2312" w:cstheme="minorBidi"/>
      <w:kern w:val="2"/>
      <w:sz w:val="28"/>
      <w:szCs w:val="24"/>
      <w:lang w:val="en-US" w:eastAsia="zh-CN" w:bidi="ar-SA"/>
    </w:rPr>
  </w:style>
  <w:style w:type="paragraph" w:styleId="2">
    <w:name w:val="heading 1"/>
    <w:basedOn w:val="1"/>
    <w:next w:val="1"/>
    <w:qFormat/>
    <w:uiPriority w:val="0"/>
    <w:pPr>
      <w:keepNext/>
      <w:keepLines/>
      <w:ind w:firstLine="0" w:firstLineChars="0"/>
      <w:jc w:val="center"/>
      <w:outlineLvl w:val="0"/>
    </w:pPr>
    <w:rPr>
      <w:b/>
      <w:kern w:val="44"/>
      <w:sz w:val="32"/>
    </w:rPr>
  </w:style>
  <w:style w:type="paragraph" w:styleId="3">
    <w:name w:val="heading 2"/>
    <w:basedOn w:val="1"/>
    <w:next w:val="1"/>
    <w:unhideWhenUsed/>
    <w:qFormat/>
    <w:uiPriority w:val="0"/>
    <w:pPr>
      <w:keepNext/>
      <w:keepLines/>
      <w:ind w:firstLine="0" w:firstLineChars="0"/>
      <w:jc w:val="center"/>
      <w:outlineLvl w:val="1"/>
    </w:pPr>
    <w:rPr>
      <w:b/>
      <w:sz w:val="30"/>
    </w:rPr>
  </w:style>
  <w:style w:type="paragraph" w:styleId="4">
    <w:name w:val="heading 3"/>
    <w:basedOn w:val="1"/>
    <w:next w:val="1"/>
    <w:unhideWhenUsed/>
    <w:qFormat/>
    <w:uiPriority w:val="0"/>
    <w:pPr>
      <w:keepNext/>
      <w:keepLines/>
      <w:ind w:firstLine="0" w:firstLineChars="0"/>
      <w:outlineLvl w:val="2"/>
    </w:pPr>
    <w:rPr>
      <w:b/>
      <w:sz w:val="30"/>
    </w:rPr>
  </w:style>
  <w:style w:type="paragraph" w:styleId="5">
    <w:name w:val="heading 4"/>
    <w:basedOn w:val="1"/>
    <w:next w:val="1"/>
    <w:unhideWhenUsed/>
    <w:qFormat/>
    <w:uiPriority w:val="0"/>
    <w:pPr>
      <w:keepNext/>
      <w:keepLines/>
      <w:ind w:firstLine="0" w:firstLineChars="0"/>
      <w:outlineLvl w:val="3"/>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link w:val="28"/>
    <w:qFormat/>
    <w:uiPriority w:val="0"/>
    <w:pPr>
      <w:ind w:firstLine="200"/>
      <w:jc w:val="left"/>
    </w:pPr>
    <w:rPr>
      <w:rFonts w:ascii="宋体" w:hAnsi="宋体" w:eastAsia="仿宋" w:cs="Times New Roman"/>
    </w:rPr>
  </w:style>
  <w:style w:type="paragraph" w:customStyle="1" w:styleId="7">
    <w:name w:val="xl27"/>
    <w:qFormat/>
    <w:uiPriority w:val="0"/>
    <w:pPr>
      <w:pBdr>
        <w:bottom w:val="single" w:color="auto" w:sz="4" w:space="0"/>
        <w:right w:val="single" w:color="auto" w:sz="4" w:space="0"/>
      </w:pBdr>
      <w:spacing w:before="100" w:beforeAutospacing="1" w:after="100" w:afterAutospacing="1" w:line="360" w:lineRule="auto"/>
      <w:ind w:firstLine="200" w:firstLineChars="200"/>
      <w:jc w:val="center"/>
    </w:pPr>
    <w:rPr>
      <w:rFonts w:ascii="Times New Roman" w:hAnsi="Times New Roman" w:eastAsia="Arial Unicode MS" w:cs="Times New Roman"/>
      <w:sz w:val="28"/>
      <w:szCs w:val="21"/>
      <w:lang w:val="en-US" w:eastAsia="zh-CN" w:bidi="ar-SA"/>
    </w:rPr>
  </w:style>
  <w:style w:type="paragraph" w:styleId="8">
    <w:name w:val="Body Text Indent"/>
    <w:basedOn w:val="1"/>
    <w:next w:val="9"/>
    <w:unhideWhenUsed/>
    <w:qFormat/>
    <w:uiPriority w:val="99"/>
    <w:pPr>
      <w:spacing w:after="120"/>
      <w:ind w:left="420" w:leftChars="200"/>
    </w:p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9"/>
    <w:uiPriority w:val="0"/>
    <w:pPr>
      <w:spacing w:line="240" w:lineRule="auto"/>
    </w:pPr>
    <w:rPr>
      <w:sz w:val="18"/>
      <w:szCs w:val="18"/>
    </w:rPr>
  </w:style>
  <w:style w:type="paragraph" w:styleId="11">
    <w:name w:val="footer"/>
    <w:basedOn w:val="1"/>
    <w:link w:val="27"/>
    <w:qFormat/>
    <w:uiPriority w:val="99"/>
    <w:pPr>
      <w:tabs>
        <w:tab w:val="center" w:pos="4153"/>
        <w:tab w:val="right" w:pos="8306"/>
      </w:tabs>
      <w:snapToGrid w:val="0"/>
      <w:jc w:val="left"/>
    </w:pPr>
    <w:rPr>
      <w:sz w:val="18"/>
    </w:rPr>
  </w:style>
  <w:style w:type="paragraph" w:styleId="12">
    <w:name w:val="header"/>
    <w:basedOn w:val="1"/>
    <w:unhideWhenUsed/>
    <w:qFormat/>
    <w:uiPriority w:val="99"/>
    <w:pP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footnote text"/>
    <w:basedOn w:val="1"/>
    <w:qFormat/>
    <w:uiPriority w:val="0"/>
    <w:pPr>
      <w:snapToGrid w:val="0"/>
      <w:ind w:firstLine="420"/>
      <w:jc w:val="left"/>
    </w:pPr>
    <w:rPr>
      <w:rFonts w:eastAsia="宋体" w:cs="Times New Roman"/>
      <w:sz w:val="18"/>
      <w:szCs w:val="18"/>
    </w:rPr>
  </w:style>
  <w:style w:type="paragraph" w:styleId="15">
    <w:name w:val="toc 2"/>
    <w:basedOn w:val="1"/>
    <w:next w:val="1"/>
    <w:qFormat/>
    <w:uiPriority w:val="39"/>
    <w:pPr>
      <w:ind w:left="420" w:leftChars="200"/>
    </w:pPr>
  </w:style>
  <w:style w:type="paragraph" w:styleId="16">
    <w:name w:val="Body Text First Indent 2"/>
    <w:basedOn w:val="8"/>
    <w:unhideWhenUsed/>
    <w:qFormat/>
    <w:uiPriority w:val="99"/>
    <w:pPr>
      <w:spacing w:before="100" w:beforeAutospacing="1" w:after="0"/>
      <w:ind w:firstLine="420"/>
    </w:pPr>
  </w:style>
  <w:style w:type="table" w:styleId="18">
    <w:name w:val="Table Grid"/>
    <w:basedOn w:val="17"/>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color w:val="0000FF"/>
      <w:u w:val="single"/>
    </w:rPr>
  </w:style>
  <w:style w:type="paragraph" w:customStyle="1" w:styleId="21">
    <w:name w:val="表头"/>
    <w:basedOn w:val="1"/>
    <w:qFormat/>
    <w:uiPriority w:val="0"/>
    <w:pPr>
      <w:ind w:firstLine="0" w:firstLineChars="0"/>
      <w:jc w:val="center"/>
    </w:pPr>
    <w:rPr>
      <w:rFonts w:hint="eastAsia" w:cs="黑体"/>
      <w:b/>
      <w:sz w:val="24"/>
    </w:rPr>
  </w:style>
  <w:style w:type="paragraph" w:customStyle="1" w:styleId="22">
    <w:name w:val="表格"/>
    <w:basedOn w:val="1"/>
    <w:qFormat/>
    <w:uiPriority w:val="0"/>
    <w:pPr>
      <w:ind w:firstLine="0" w:firstLineChars="0"/>
      <w:jc w:val="center"/>
    </w:pPr>
    <w:rPr>
      <w:bCs/>
      <w:sz w:val="24"/>
    </w:rPr>
  </w:style>
  <w:style w:type="paragraph" w:customStyle="1" w:styleId="23">
    <w:name w:val="表格内容"/>
    <w:basedOn w:val="6"/>
    <w:qFormat/>
    <w:uiPriority w:val="0"/>
    <w:pPr>
      <w:ind w:firstLine="0" w:firstLineChars="0"/>
      <w:jc w:val="center"/>
    </w:pPr>
    <w:rPr>
      <w:rFonts w:ascii="Times New Roman" w:hAnsi="Times New Roman" w:eastAsia="宋体"/>
      <w:sz w:val="21"/>
    </w:rPr>
  </w:style>
  <w:style w:type="character" w:customStyle="1" w:styleId="24">
    <w:name w:val="font41"/>
    <w:basedOn w:val="19"/>
    <w:qFormat/>
    <w:uiPriority w:val="0"/>
    <w:rPr>
      <w:rFonts w:hint="eastAsia" w:ascii="仿宋" w:hAnsi="仿宋" w:eastAsia="仿宋"/>
      <w:color w:val="000000"/>
      <w:sz w:val="22"/>
      <w:szCs w:val="22"/>
      <w:u w:val="none"/>
    </w:rPr>
  </w:style>
  <w:style w:type="character" w:customStyle="1" w:styleId="25">
    <w:name w:val="font01"/>
    <w:basedOn w:val="19"/>
    <w:qFormat/>
    <w:uiPriority w:val="0"/>
    <w:rPr>
      <w:rFonts w:hint="eastAsia" w:ascii="仿宋" w:hAnsi="仿宋" w:eastAsia="仿宋"/>
      <w:color w:val="000000"/>
      <w:sz w:val="22"/>
      <w:szCs w:val="22"/>
      <w:u w:val="none"/>
    </w:rPr>
  </w:style>
  <w:style w:type="character" w:customStyle="1" w:styleId="26">
    <w:name w:val="font31"/>
    <w:basedOn w:val="19"/>
    <w:qFormat/>
    <w:uiPriority w:val="0"/>
    <w:rPr>
      <w:rFonts w:hint="eastAsia" w:ascii="仿宋" w:hAnsi="仿宋" w:eastAsia="仿宋"/>
      <w:color w:val="000000"/>
      <w:sz w:val="22"/>
      <w:szCs w:val="22"/>
      <w:u w:val="none"/>
    </w:rPr>
  </w:style>
  <w:style w:type="character" w:customStyle="1" w:styleId="27">
    <w:name w:val="页脚 Char"/>
    <w:basedOn w:val="19"/>
    <w:link w:val="11"/>
    <w:qFormat/>
    <w:uiPriority w:val="99"/>
    <w:rPr>
      <w:rFonts w:ascii="Times New Roman" w:hAnsi="Times New Roman" w:eastAsia="仿宋_GB2312"/>
      <w:kern w:val="2"/>
      <w:sz w:val="18"/>
      <w:szCs w:val="24"/>
    </w:rPr>
  </w:style>
  <w:style w:type="character" w:customStyle="1" w:styleId="28">
    <w:name w:val="正文文本 Char"/>
    <w:basedOn w:val="19"/>
    <w:link w:val="6"/>
    <w:qFormat/>
    <w:uiPriority w:val="0"/>
    <w:rPr>
      <w:rFonts w:ascii="宋体" w:hAnsi="宋体" w:eastAsia="仿宋" w:cs="Times New Roman"/>
      <w:kern w:val="2"/>
      <w:sz w:val="28"/>
      <w:szCs w:val="24"/>
    </w:rPr>
  </w:style>
  <w:style w:type="character" w:customStyle="1" w:styleId="29">
    <w:name w:val="批注框文本 Char"/>
    <w:basedOn w:val="19"/>
    <w:link w:val="10"/>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9680</Words>
  <Characters>10645</Characters>
  <Lines>273</Lines>
  <Paragraphs>77</Paragraphs>
  <TotalTime>68</TotalTime>
  <ScaleCrop>false</ScaleCrop>
  <LinksUpToDate>false</LinksUpToDate>
  <CharactersWithSpaces>10877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2022-04-28T08:11:00Z</dcterms:created>
  <dc:creator>Administrator</dc:creator>
  <cp:lastModifiedBy>Administrator</cp:lastModifiedBy>
  <cp:lastPrinted>2022-05-20T10:37:00Z</cp:lastPrinted>
  <dcterms:modified xsi:type="dcterms:W3CDTF">2025-12-25T06:19:37Z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B53DD2B3F8F3489196C7E0B5DBB8B888</vt:lpwstr>
  </property>
  <property fmtid="{D5CDD505-2E9C-101B-9397-08002B2CF9AE}" pid="4" name="KSOTemplateDocerSaveRecord">
    <vt:lpwstr>eyJoZGlkIjoiYTIyNWJjZGRhN2Q3ZWE5MmM0ZjliZjJlYWEwN2QzNGMiLCJ1c2VySWQiOiI0MjgyNTI2NzcifQ==</vt:lpwstr>
  </property>
</Properties>
</file>