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25FAC">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jc w:val="center"/>
        <w:textAlignment w:val="auto"/>
        <w:outlineLvl w:val="9"/>
        <w:rPr>
          <w:rFonts w:hint="eastAsia" w:ascii="方正小标宋_GBK" w:hAnsi="方正小标宋_GBK" w:eastAsia="方正小标宋_GBK" w:cs="方正小标宋_GBK"/>
          <w:b w:val="0"/>
          <w:bCs/>
          <w:color w:val="000000" w:themeColor="text1"/>
          <w:sz w:val="44"/>
          <w:szCs w:val="44"/>
          <w:shd w:val="clear" w:color="auto" w:fill="FFFFFF"/>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shd w:val="clear" w:color="auto" w:fill="FFFFFF"/>
          <w:lang w:val="en-US" w:eastAsia="zh-CN"/>
          <w14:textFill>
            <w14:solidFill>
              <w14:schemeClr w14:val="tx1"/>
            </w14:solidFill>
          </w14:textFill>
        </w:rPr>
        <w:t>2023年政府决算说明</w:t>
      </w:r>
    </w:p>
    <w:p w14:paraId="090C1292">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jc w:val="both"/>
        <w:textAlignment w:val="auto"/>
        <w:outlineLvl w:val="9"/>
        <w:rPr>
          <w:rFonts w:hint="eastAsia" w:ascii="仿宋" w:hAnsi="仿宋" w:eastAsia="仿宋" w:cs="仿宋"/>
          <w:b/>
          <w:color w:val="000000" w:themeColor="text1"/>
          <w:sz w:val="32"/>
          <w:szCs w:val="32"/>
          <w:shd w:val="clear" w:color="auto" w:fill="FFFFFF"/>
          <w14:textFill>
            <w14:solidFill>
              <w14:schemeClr w14:val="tx1"/>
            </w14:solidFill>
          </w14:textFill>
        </w:rPr>
      </w:pPr>
      <w:r>
        <w:rPr>
          <w:rFonts w:hint="eastAsia" w:ascii="仿宋" w:hAnsi="仿宋" w:eastAsia="仿宋" w:cs="仿宋"/>
          <w:b/>
          <w:color w:val="000000" w:themeColor="text1"/>
          <w:sz w:val="32"/>
          <w:szCs w:val="32"/>
          <w:shd w:val="clear" w:color="auto" w:fill="FFFFFF"/>
          <w:lang w:val="en-US" w:eastAsia="zh-CN"/>
          <w14:textFill>
            <w14:solidFill>
              <w14:schemeClr w14:val="tx1"/>
            </w14:solidFill>
          </w14:textFill>
        </w:rPr>
        <w:t>1.</w:t>
      </w:r>
      <w:r>
        <w:rPr>
          <w:rFonts w:hint="eastAsia" w:ascii="仿宋" w:hAnsi="仿宋" w:eastAsia="仿宋" w:cs="仿宋"/>
          <w:b/>
          <w:color w:val="000000" w:themeColor="text1"/>
          <w:sz w:val="32"/>
          <w:szCs w:val="32"/>
          <w:shd w:val="clear" w:color="auto" w:fill="FFFFFF"/>
          <w14:textFill>
            <w14:solidFill>
              <w14:schemeClr w14:val="tx1"/>
            </w14:solidFill>
          </w14:textFill>
        </w:rPr>
        <w:t>债务情况说明：</w:t>
      </w:r>
    </w:p>
    <w:p w14:paraId="0EBC76E3">
      <w:pPr>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2023年政府债务转贷收入112672万元。其中：</w:t>
      </w:r>
      <w:r>
        <w:rPr>
          <w:rFonts w:hint="default" w:ascii="Times New Roman" w:hAnsi="Times New Roman" w:eastAsia="仿宋_GB2312" w:cs="Times New Roman"/>
          <w:color w:val="auto"/>
          <w:sz w:val="32"/>
          <w:szCs w:val="32"/>
          <w:lang w:val="en-US" w:eastAsia="zh-CN"/>
        </w:rPr>
        <w:t>新增一般债券</w:t>
      </w:r>
      <w:r>
        <w:rPr>
          <w:rFonts w:hint="eastAsia" w:ascii="Times New Roman" w:hAnsi="Times New Roman" w:eastAsia="仿宋_GB2312" w:cs="Times New Roman"/>
          <w:color w:val="auto"/>
          <w:sz w:val="32"/>
          <w:szCs w:val="32"/>
          <w:lang w:val="en-US" w:eastAsia="zh-CN"/>
        </w:rPr>
        <w:t>16800</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主要用于重点保障农林水利、环境卫生等无收益的公益性项目</w:t>
      </w:r>
      <w:r>
        <w:rPr>
          <w:rFonts w:hint="eastAsia" w:ascii="Times New Roman" w:hAnsi="Times New Roman" w:eastAsia="仿宋_GB2312" w:cs="Times New Roman"/>
          <w:color w:val="auto"/>
          <w:sz w:val="32"/>
          <w:szCs w:val="32"/>
          <w:lang w:val="en-US" w:eastAsia="zh-CN"/>
        </w:rPr>
        <w:t>；新增</w:t>
      </w:r>
      <w:r>
        <w:rPr>
          <w:rFonts w:hint="default" w:ascii="Times New Roman" w:hAnsi="Times New Roman" w:eastAsia="仿宋_GB2312" w:cs="Times New Roman"/>
          <w:color w:val="auto"/>
          <w:sz w:val="32"/>
          <w:szCs w:val="32"/>
          <w:lang w:val="en-US" w:eastAsia="zh-CN"/>
        </w:rPr>
        <w:t>再融资一般债券</w:t>
      </w:r>
      <w:r>
        <w:rPr>
          <w:rFonts w:hint="eastAsia" w:ascii="Times New Roman" w:hAnsi="Times New Roman" w:eastAsia="仿宋_GB2312" w:cs="Times New Roman"/>
          <w:color w:val="auto"/>
          <w:sz w:val="32"/>
          <w:szCs w:val="32"/>
          <w:lang w:val="en-US" w:eastAsia="zh-CN"/>
        </w:rPr>
        <w:t>18742万元，主要用于偿还以前年度发行并到期的一般债券。</w:t>
      </w:r>
      <w:r>
        <w:rPr>
          <w:rFonts w:hint="default" w:ascii="Times New Roman" w:hAnsi="Times New Roman" w:eastAsia="仿宋_GB2312" w:cs="Times New Roman"/>
          <w:color w:val="auto"/>
          <w:sz w:val="32"/>
          <w:szCs w:val="32"/>
          <w:lang w:val="en-US" w:eastAsia="zh-CN"/>
        </w:rPr>
        <w:t>新增专项债券</w:t>
      </w:r>
      <w:r>
        <w:rPr>
          <w:rFonts w:hint="eastAsia" w:ascii="Times New Roman" w:hAnsi="Times New Roman" w:eastAsia="仿宋_GB2312" w:cs="Times New Roman"/>
          <w:color w:val="auto"/>
          <w:sz w:val="32"/>
          <w:szCs w:val="32"/>
          <w:lang w:val="en-US" w:eastAsia="zh-CN"/>
        </w:rPr>
        <w:t>76900</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主要用于产业园区、交通基础设施等有一定收益的公益性项目</w:t>
      </w:r>
      <w:r>
        <w:rPr>
          <w:rFonts w:hint="eastAsia" w:ascii="Times New Roman" w:hAnsi="Times New Roman" w:eastAsia="仿宋_GB2312" w:cs="Times New Roman"/>
          <w:color w:val="auto"/>
          <w:sz w:val="32"/>
          <w:szCs w:val="32"/>
          <w:lang w:val="en-US" w:eastAsia="zh-CN"/>
        </w:rPr>
        <w:t>；新增再融资专项债券230万元，主要用于偿还以前年度发行并到期的专项债券</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2023年</w:t>
      </w:r>
      <w:r>
        <w:rPr>
          <w:rFonts w:hint="default" w:ascii="Times New Roman" w:hAnsi="Times New Roman" w:eastAsia="仿宋_GB2312" w:cs="Times New Roman"/>
          <w:color w:val="auto"/>
          <w:sz w:val="32"/>
          <w:szCs w:val="32"/>
          <w:lang w:val="en-US" w:eastAsia="zh-CN"/>
        </w:rPr>
        <w:t>政府债务还本支出</w:t>
      </w:r>
      <w:r>
        <w:rPr>
          <w:rFonts w:hint="eastAsia" w:ascii="Times New Roman" w:hAnsi="Times New Roman" w:eastAsia="仿宋_GB2312" w:cs="Times New Roman"/>
          <w:color w:val="auto"/>
          <w:sz w:val="32"/>
          <w:szCs w:val="32"/>
          <w:lang w:val="en-US" w:eastAsia="zh-CN"/>
        </w:rPr>
        <w:t>19271万元（通过发行再融资债券偿还18972万元），其中：一般债务还本18742万元，专项债务还本529万元。全年支付政府债务利息13368万元。截至</w:t>
      </w:r>
      <w:r>
        <w:rPr>
          <w:rFonts w:hint="default" w:ascii="Times New Roman" w:hAnsi="Times New Roman" w:eastAsia="仿宋_GB2312" w:cs="Times New Roman"/>
          <w:color w:val="auto"/>
          <w:sz w:val="32"/>
          <w:szCs w:val="32"/>
          <w:lang w:val="en-US" w:eastAsia="zh-CN"/>
        </w:rPr>
        <w:t>2023年</w:t>
      </w:r>
      <w:r>
        <w:rPr>
          <w:rFonts w:hint="eastAsia" w:ascii="Times New Roman" w:hAnsi="Times New Roman" w:eastAsia="仿宋_GB2312" w:cs="Times New Roman"/>
          <w:color w:val="auto"/>
          <w:sz w:val="32"/>
          <w:szCs w:val="32"/>
          <w:lang w:val="en-US" w:eastAsia="zh-CN"/>
        </w:rPr>
        <w:t>末</w:t>
      </w:r>
      <w:r>
        <w:rPr>
          <w:rFonts w:hint="default" w:ascii="Times New Roman" w:hAnsi="Times New Roman" w:eastAsia="仿宋_GB2312" w:cs="Times New Roman"/>
          <w:color w:val="auto"/>
          <w:sz w:val="32"/>
          <w:szCs w:val="32"/>
          <w:lang w:val="en-US" w:eastAsia="zh-CN"/>
        </w:rPr>
        <w:t>，政府债务</w:t>
      </w:r>
      <w:r>
        <w:rPr>
          <w:rFonts w:hint="eastAsia" w:ascii="Times New Roman" w:hAnsi="Times New Roman" w:eastAsia="仿宋_GB2312" w:cs="Times New Roman"/>
          <w:color w:val="auto"/>
          <w:sz w:val="32"/>
          <w:szCs w:val="32"/>
          <w:lang w:val="en-US" w:eastAsia="zh-CN"/>
        </w:rPr>
        <w:t>余额</w:t>
      </w:r>
      <w:r>
        <w:rPr>
          <w:rFonts w:hint="default" w:ascii="Times New Roman" w:hAnsi="Times New Roman" w:eastAsia="仿宋_GB2312" w:cs="Times New Roman"/>
          <w:color w:val="auto"/>
          <w:sz w:val="32"/>
          <w:szCs w:val="32"/>
          <w:lang w:val="en-US" w:eastAsia="zh-CN"/>
        </w:rPr>
        <w:t>437559万元，其中：一般债务80997万元，专项债务356562万元。</w:t>
      </w:r>
    </w:p>
    <w:p w14:paraId="7B836353">
      <w:pPr>
        <w:rPr>
          <w:rFonts w:hint="eastAsia" w:ascii="仿宋" w:hAnsi="仿宋" w:eastAsia="仿宋" w:cs="仿宋"/>
          <w:b/>
          <w:color w:val="000000" w:themeColor="text1"/>
          <w:sz w:val="32"/>
          <w:szCs w:val="32"/>
          <w:shd w:val="clear" w:color="auto" w:fill="FFFFFF"/>
          <w14:textFill>
            <w14:solidFill>
              <w14:schemeClr w14:val="tx1"/>
            </w14:solidFill>
          </w14:textFill>
        </w:rPr>
      </w:pPr>
      <w:r>
        <w:rPr>
          <w:rFonts w:hint="eastAsia" w:ascii="仿宋" w:hAnsi="仿宋" w:eastAsia="仿宋" w:cs="仿宋"/>
          <w:b/>
          <w:color w:val="000000" w:themeColor="text1"/>
          <w:sz w:val="32"/>
          <w:szCs w:val="32"/>
          <w:shd w:val="clear" w:color="auto" w:fill="FFFFFF"/>
          <w:lang w:val="en-US" w:eastAsia="zh-CN"/>
          <w14:textFill>
            <w14:solidFill>
              <w14:schemeClr w14:val="tx1"/>
            </w14:solidFill>
          </w14:textFill>
        </w:rPr>
        <w:t>2.</w:t>
      </w:r>
      <w:r>
        <w:rPr>
          <w:rFonts w:hint="eastAsia" w:ascii="仿宋" w:hAnsi="仿宋" w:eastAsia="仿宋" w:cs="仿宋"/>
          <w:b/>
          <w:color w:val="000000" w:themeColor="text1"/>
          <w:sz w:val="32"/>
          <w:szCs w:val="32"/>
          <w:shd w:val="clear" w:color="auto" w:fill="FFFFFF"/>
          <w14:textFill>
            <w14:solidFill>
              <w14:schemeClr w14:val="tx1"/>
            </w14:solidFill>
          </w14:textFill>
        </w:rPr>
        <w:t>转移支付执行情况说明：</w:t>
      </w:r>
    </w:p>
    <w:p w14:paraId="68155D30">
      <w:pPr>
        <w:ind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20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年一般性转移支付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收入80673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万元，专项转移支付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收入44607</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万元，已全部按指标文件要求的用途拨付到预算单位，并专款专用。</w:t>
      </w:r>
    </w:p>
    <w:p w14:paraId="275421CC">
      <w:pPr>
        <w:jc w:val="left"/>
        <w:rPr>
          <w:rFonts w:hint="eastAsia" w:ascii="仿宋" w:hAnsi="仿宋" w:eastAsia="仿宋" w:cs="仿宋"/>
          <w:b/>
          <w:color w:val="000000"/>
          <w:sz w:val="32"/>
          <w:szCs w:val="32"/>
          <w:shd w:val="clear" w:color="auto" w:fill="FFFFFF"/>
        </w:rPr>
      </w:pPr>
      <w:r>
        <w:rPr>
          <w:rFonts w:hint="eastAsia" w:ascii="仿宋" w:hAnsi="仿宋" w:eastAsia="仿宋" w:cs="仿宋"/>
          <w:b/>
          <w:color w:val="000000"/>
          <w:sz w:val="32"/>
          <w:szCs w:val="32"/>
          <w:shd w:val="clear" w:color="auto" w:fill="FFFFFF"/>
          <w:lang w:val="en-US" w:eastAsia="zh-CN"/>
        </w:rPr>
        <w:t>3.</w:t>
      </w:r>
      <w:r>
        <w:rPr>
          <w:rFonts w:hint="eastAsia" w:ascii="仿宋" w:hAnsi="仿宋" w:eastAsia="仿宋" w:cs="仿宋"/>
          <w:b/>
          <w:color w:val="000000"/>
          <w:sz w:val="32"/>
          <w:szCs w:val="32"/>
          <w:shd w:val="clear" w:color="auto" w:fill="FFFFFF"/>
        </w:rPr>
        <w:t>“三公”经费决算执行情况说明：</w:t>
      </w:r>
    </w:p>
    <w:p w14:paraId="7EA63FE0">
      <w:pPr>
        <w:ind w:firstLine="640" w:firstLineChars="200"/>
        <w:jc w:val="lef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ascii="仿宋" w:hAnsi="仿宋" w:eastAsia="仿宋"/>
          <w:sz w:val="32"/>
          <w:szCs w:val="32"/>
        </w:rPr>
        <w:t>，</w:t>
      </w:r>
      <w:r>
        <w:rPr>
          <w:rFonts w:hint="eastAsia" w:ascii="仿宋" w:hAnsi="仿宋" w:eastAsia="仿宋"/>
          <w:sz w:val="32"/>
          <w:szCs w:val="32"/>
          <w:lang w:val="en-US" w:eastAsia="zh-CN"/>
        </w:rPr>
        <w:t>荷塘区</w:t>
      </w:r>
      <w:r>
        <w:rPr>
          <w:rFonts w:ascii="仿宋" w:hAnsi="仿宋" w:eastAsia="仿宋"/>
          <w:sz w:val="32"/>
          <w:szCs w:val="32"/>
        </w:rPr>
        <w:t>一般公共预算安排的行政事业单位“</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w:t>
      </w:r>
      <w:r>
        <w:rPr>
          <w:rFonts w:ascii="仿宋" w:hAnsi="仿宋" w:eastAsia="仿宋"/>
          <w:sz w:val="32"/>
          <w:szCs w:val="32"/>
        </w:rPr>
        <w:t>支出合计</w:t>
      </w:r>
      <w:r>
        <w:rPr>
          <w:rFonts w:hint="eastAsia" w:ascii="仿宋" w:hAnsi="仿宋" w:eastAsia="仿宋"/>
          <w:sz w:val="32"/>
          <w:szCs w:val="32"/>
          <w:lang w:val="en-US" w:eastAsia="zh-CN"/>
        </w:rPr>
        <w:t>96</w:t>
      </w:r>
      <w:r>
        <w:rPr>
          <w:rFonts w:hint="eastAsia" w:ascii="仿宋" w:hAnsi="仿宋" w:eastAsia="仿宋"/>
          <w:sz w:val="32"/>
          <w:szCs w:val="32"/>
        </w:rPr>
        <w:t>万元</w:t>
      </w:r>
      <w:r>
        <w:rPr>
          <w:rFonts w:ascii="仿宋" w:hAnsi="仿宋" w:eastAsia="仿宋"/>
          <w:sz w:val="32"/>
          <w:szCs w:val="32"/>
        </w:rPr>
        <w:t>，比</w:t>
      </w:r>
      <w:r>
        <w:rPr>
          <w:rFonts w:hint="eastAsia" w:ascii="仿宋" w:hAnsi="仿宋" w:eastAsia="仿宋"/>
          <w:sz w:val="32"/>
          <w:szCs w:val="32"/>
        </w:rPr>
        <w:t>全年预算数</w:t>
      </w:r>
      <w:r>
        <w:rPr>
          <w:rFonts w:hint="default" w:ascii="仿宋" w:hAnsi="仿宋" w:eastAsia="仿宋"/>
          <w:sz w:val="32"/>
          <w:szCs w:val="32"/>
          <w:lang w:val="en-US" w:eastAsia="zh-CN"/>
        </w:rPr>
        <w:t>134.5</w:t>
      </w:r>
      <w:r>
        <w:rPr>
          <w:rFonts w:hint="eastAsia" w:ascii="仿宋" w:hAnsi="仿宋" w:eastAsia="仿宋"/>
          <w:sz w:val="32"/>
          <w:szCs w:val="32"/>
        </w:rPr>
        <w:t>万元节约</w:t>
      </w:r>
      <w:r>
        <w:rPr>
          <w:rFonts w:hint="eastAsia" w:ascii="仿宋" w:hAnsi="仿宋" w:eastAsia="仿宋"/>
          <w:sz w:val="32"/>
          <w:szCs w:val="32"/>
          <w:lang w:val="en-US" w:eastAsia="zh-CN"/>
        </w:rPr>
        <w:t>38.5</w:t>
      </w:r>
      <w:r>
        <w:rPr>
          <w:rFonts w:hint="eastAsia" w:ascii="仿宋" w:hAnsi="仿宋" w:eastAsia="仿宋"/>
          <w:sz w:val="32"/>
          <w:szCs w:val="32"/>
        </w:rPr>
        <w:t>万元。其中</w:t>
      </w:r>
      <w:r>
        <w:rPr>
          <w:rFonts w:ascii="仿宋" w:hAnsi="仿宋" w:eastAsia="仿宋"/>
          <w:sz w:val="32"/>
          <w:szCs w:val="32"/>
        </w:rPr>
        <w:t>公务用车购置及运行费</w:t>
      </w:r>
      <w:r>
        <w:rPr>
          <w:rFonts w:hint="eastAsia" w:ascii="仿宋" w:hAnsi="仿宋" w:eastAsia="仿宋"/>
          <w:sz w:val="32"/>
          <w:szCs w:val="32"/>
          <w:lang w:val="en-US" w:eastAsia="zh-CN"/>
        </w:rPr>
        <w:t>81</w:t>
      </w:r>
      <w:r>
        <w:rPr>
          <w:rFonts w:hint="eastAsia" w:ascii="仿宋" w:hAnsi="仿宋" w:eastAsia="仿宋"/>
          <w:sz w:val="32"/>
          <w:szCs w:val="32"/>
        </w:rPr>
        <w:t>万元</w:t>
      </w:r>
      <w:r>
        <w:rPr>
          <w:rFonts w:ascii="仿宋" w:hAnsi="仿宋" w:eastAsia="仿宋"/>
          <w:sz w:val="32"/>
          <w:szCs w:val="32"/>
        </w:rPr>
        <w:t>，比</w:t>
      </w:r>
      <w:r>
        <w:rPr>
          <w:rFonts w:hint="eastAsia" w:ascii="仿宋" w:hAnsi="仿宋" w:eastAsia="仿宋"/>
          <w:sz w:val="32"/>
          <w:szCs w:val="32"/>
        </w:rPr>
        <w:t>全年</w:t>
      </w:r>
      <w:r>
        <w:rPr>
          <w:rFonts w:ascii="仿宋" w:hAnsi="仿宋" w:eastAsia="仿宋"/>
          <w:sz w:val="32"/>
          <w:szCs w:val="32"/>
        </w:rPr>
        <w:t>预算数</w:t>
      </w:r>
      <w:r>
        <w:rPr>
          <w:rFonts w:hint="eastAsia" w:ascii="仿宋" w:hAnsi="仿宋" w:eastAsia="仿宋"/>
          <w:sz w:val="32"/>
          <w:szCs w:val="32"/>
          <w:lang w:val="en-US" w:eastAsia="zh-CN"/>
        </w:rPr>
        <w:t>128.5</w:t>
      </w:r>
      <w:r>
        <w:rPr>
          <w:rFonts w:hint="eastAsia" w:ascii="仿宋" w:hAnsi="仿宋" w:eastAsia="仿宋"/>
          <w:sz w:val="32"/>
          <w:szCs w:val="32"/>
        </w:rPr>
        <w:t>万元</w:t>
      </w:r>
      <w:r>
        <w:rPr>
          <w:rFonts w:ascii="仿宋" w:hAnsi="仿宋" w:eastAsia="仿宋"/>
          <w:sz w:val="32"/>
          <w:szCs w:val="32"/>
        </w:rPr>
        <w:t>节约</w:t>
      </w:r>
      <w:r>
        <w:rPr>
          <w:rFonts w:hint="eastAsia" w:ascii="仿宋" w:hAnsi="仿宋" w:eastAsia="仿宋"/>
          <w:sz w:val="32"/>
          <w:szCs w:val="32"/>
          <w:lang w:val="en-US" w:eastAsia="zh-CN"/>
        </w:rPr>
        <w:t>47.5</w:t>
      </w:r>
      <w:r>
        <w:rPr>
          <w:rFonts w:hint="eastAsia" w:ascii="仿宋" w:hAnsi="仿宋" w:eastAsia="仿宋"/>
          <w:sz w:val="32"/>
          <w:szCs w:val="32"/>
        </w:rPr>
        <w:t>万元</w:t>
      </w:r>
      <w:r>
        <w:rPr>
          <w:rFonts w:ascii="仿宋" w:hAnsi="仿宋" w:eastAsia="仿宋"/>
          <w:sz w:val="32"/>
          <w:szCs w:val="32"/>
        </w:rPr>
        <w:t>；公务接待费</w:t>
      </w:r>
      <w:r>
        <w:rPr>
          <w:rFonts w:hint="eastAsia" w:ascii="仿宋" w:hAnsi="仿宋" w:eastAsia="仿宋"/>
          <w:sz w:val="32"/>
          <w:szCs w:val="32"/>
          <w:lang w:val="en-US" w:eastAsia="zh-CN"/>
        </w:rPr>
        <w:t>15</w:t>
      </w:r>
      <w:r>
        <w:rPr>
          <w:rFonts w:hint="eastAsia" w:ascii="仿宋" w:hAnsi="仿宋" w:eastAsia="仿宋"/>
          <w:sz w:val="32"/>
          <w:szCs w:val="32"/>
        </w:rPr>
        <w:t>万</w:t>
      </w:r>
      <w:r>
        <w:rPr>
          <w:rFonts w:ascii="仿宋" w:hAnsi="仿宋" w:eastAsia="仿宋"/>
          <w:sz w:val="32"/>
          <w:szCs w:val="32"/>
        </w:rPr>
        <w:t>元，比</w:t>
      </w:r>
      <w:r>
        <w:rPr>
          <w:rFonts w:hint="eastAsia" w:ascii="仿宋" w:hAnsi="仿宋" w:eastAsia="仿宋"/>
          <w:sz w:val="32"/>
          <w:szCs w:val="32"/>
        </w:rPr>
        <w:t>全年</w:t>
      </w:r>
      <w:r>
        <w:rPr>
          <w:rFonts w:ascii="仿宋" w:hAnsi="仿宋" w:eastAsia="仿宋"/>
          <w:sz w:val="32"/>
          <w:szCs w:val="32"/>
        </w:rPr>
        <w:t>预算数</w:t>
      </w:r>
      <w:r>
        <w:rPr>
          <w:rFonts w:hint="eastAsia" w:ascii="仿宋" w:hAnsi="仿宋" w:eastAsia="仿宋"/>
          <w:sz w:val="32"/>
          <w:szCs w:val="32"/>
          <w:lang w:val="en-US" w:eastAsia="zh-CN"/>
        </w:rPr>
        <w:t>6</w:t>
      </w:r>
      <w:r>
        <w:rPr>
          <w:rFonts w:hint="eastAsia" w:ascii="仿宋" w:hAnsi="仿宋" w:eastAsia="仿宋"/>
          <w:sz w:val="32"/>
          <w:szCs w:val="32"/>
        </w:rPr>
        <w:t>万元</w:t>
      </w:r>
      <w:r>
        <w:rPr>
          <w:rFonts w:hint="eastAsia" w:ascii="仿宋" w:hAnsi="仿宋" w:eastAsia="仿宋"/>
          <w:sz w:val="32"/>
          <w:szCs w:val="32"/>
          <w:lang w:val="en-US" w:eastAsia="zh-CN"/>
        </w:rPr>
        <w:t>多8</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因</w:t>
      </w:r>
      <w:r>
        <w:rPr>
          <w:rFonts w:ascii="仿宋" w:hAnsi="仿宋" w:eastAsia="仿宋"/>
          <w:sz w:val="32"/>
          <w:szCs w:val="32"/>
        </w:rPr>
        <w:t>公出国</w:t>
      </w:r>
      <w:r>
        <w:rPr>
          <w:rFonts w:hint="eastAsia" w:ascii="仿宋" w:hAnsi="仿宋" w:eastAsia="仿宋"/>
          <w:sz w:val="32"/>
          <w:szCs w:val="32"/>
        </w:rPr>
        <w:t>（境）费0元</w:t>
      </w:r>
      <w:r>
        <w:rPr>
          <w:rFonts w:ascii="仿宋" w:hAnsi="仿宋" w:eastAsia="仿宋"/>
          <w:sz w:val="32"/>
          <w:szCs w:val="32"/>
        </w:rPr>
        <w:t>。</w:t>
      </w:r>
      <w:r>
        <w:rPr>
          <w:rFonts w:hint="eastAsia" w:ascii="仿宋" w:hAnsi="仿宋" w:eastAsia="仿宋"/>
          <w:sz w:val="32"/>
          <w:szCs w:val="32"/>
          <w:lang w:val="en-US" w:eastAsia="zh-CN"/>
        </w:rPr>
        <w:t>我区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严格遵照中央八项规定以及省、市、区有关“三公”经费管理办法的规定，带</w:t>
      </w:r>
      <w:r>
        <w:rPr>
          <w:rFonts w:ascii="仿宋" w:hAnsi="仿宋" w:eastAsia="仿宋"/>
          <w:sz w:val="32"/>
          <w:szCs w:val="32"/>
        </w:rPr>
        <w:t>头“</w:t>
      </w:r>
      <w:r>
        <w:rPr>
          <w:rFonts w:hint="eastAsia" w:ascii="仿宋" w:hAnsi="仿宋" w:eastAsia="仿宋"/>
          <w:sz w:val="32"/>
          <w:szCs w:val="32"/>
        </w:rPr>
        <w:t>过</w:t>
      </w:r>
      <w:r>
        <w:rPr>
          <w:rFonts w:ascii="仿宋" w:hAnsi="仿宋" w:eastAsia="仿宋"/>
          <w:sz w:val="32"/>
          <w:szCs w:val="32"/>
        </w:rPr>
        <w:t>紧日子”</w:t>
      </w:r>
      <w:r>
        <w:rPr>
          <w:rFonts w:hint="eastAsia" w:ascii="仿宋" w:hAnsi="仿宋" w:eastAsia="仿宋"/>
          <w:sz w:val="32"/>
          <w:szCs w:val="32"/>
        </w:rPr>
        <w:t>，</w:t>
      </w:r>
      <w:r>
        <w:rPr>
          <w:rFonts w:ascii="仿宋" w:hAnsi="仿宋" w:eastAsia="仿宋"/>
          <w:sz w:val="32"/>
          <w:szCs w:val="32"/>
        </w:rPr>
        <w:t>严控“</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开支</w:t>
      </w:r>
      <w:r>
        <w:rPr>
          <w:rFonts w:ascii="仿宋" w:hAnsi="仿宋" w:eastAsia="仿宋"/>
          <w:sz w:val="32"/>
          <w:szCs w:val="32"/>
        </w:rPr>
        <w:t>。</w:t>
      </w:r>
    </w:p>
    <w:p w14:paraId="48677288">
      <w:pPr>
        <w:rPr>
          <w:rFonts w:ascii="仿宋" w:hAnsi="仿宋" w:eastAsia="仿宋" w:cs="仿宋"/>
          <w:b/>
          <w:bCs/>
          <w:color w:val="000000"/>
          <w:sz w:val="32"/>
          <w:szCs w:val="32"/>
          <w:shd w:val="clear" w:color="auto" w:fill="FFFFFF"/>
        </w:rPr>
      </w:pPr>
      <w:r>
        <w:rPr>
          <w:rFonts w:hint="eastAsia" w:ascii="仿宋" w:hAnsi="仿宋" w:eastAsia="仿宋"/>
          <w:b/>
          <w:bCs/>
          <w:sz w:val="32"/>
          <w:szCs w:val="32"/>
          <w:lang w:val="en-US" w:eastAsia="zh-CN"/>
        </w:rPr>
        <w:t>4.支出不实金额为0万元。</w:t>
      </w:r>
    </w:p>
    <w:p w14:paraId="3E3E35A0">
      <w:pPr>
        <w:ind w:left="220" w:hanging="161" w:hangingChars="50"/>
        <w:jc w:val="both"/>
        <w:rPr>
          <w:rFonts w:ascii="黑体" w:hAnsi="黑体" w:eastAsia="黑体"/>
          <w:sz w:val="44"/>
          <w:szCs w:val="44"/>
        </w:rPr>
      </w:pPr>
      <w:r>
        <w:rPr>
          <w:rFonts w:hint="eastAsia" w:ascii="仿宋" w:hAnsi="仿宋" w:eastAsia="仿宋"/>
          <w:b/>
          <w:bCs/>
          <w:sz w:val="32"/>
          <w:szCs w:val="32"/>
          <w:lang w:val="en-US" w:eastAsia="zh-CN"/>
        </w:rPr>
        <w:t>5.关于预算绩效管理工作情况的说明</w:t>
      </w:r>
    </w:p>
    <w:p w14:paraId="3B8CCDE1">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为贯彻落实党中央、国务院和省、市关于全面实施预算 </w:t>
      </w:r>
    </w:p>
    <w:p w14:paraId="381DEBF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绩效管理的决策，优化财政资源配置，提高公共服务质量， </w:t>
      </w:r>
    </w:p>
    <w:p w14:paraId="08C1A90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株洲市荷塘区财政局按照《中共中央国务院关于全面实施预 </w:t>
      </w:r>
    </w:p>
    <w:p w14:paraId="2BCAC36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算绩效管理的意见》（中发〔2018〕34 号）、《中共湖南省委办公厅湖南省人民政府办公厅关于全面实施预算绩效管理的实施意见》（湘办发〔2019〕10 号）等相关要求，积极部署开展 2023 年度预算绩效管理工作，印发了《株洲市荷塘区财政局“绩效管理提升年”行动实施方案》，为加快建成全方 </w:t>
      </w:r>
    </w:p>
    <w:p w14:paraId="1D07F3D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位、全过程、全覆盖的预算绩效管理体系奠定了基石。现将 </w:t>
      </w:r>
    </w:p>
    <w:p w14:paraId="3FDB3A88">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2023 年我区预算绩效管理工作情况报告如下： </w:t>
      </w:r>
    </w:p>
    <w:p w14:paraId="69BDCCBC">
      <w:pPr>
        <w:keepNext w:val="0"/>
        <w:keepLines w:val="0"/>
        <w:widowControl/>
        <w:suppressLineNumbers w:val="0"/>
        <w:jc w:val="left"/>
      </w:pPr>
      <w:r>
        <w:rPr>
          <w:rFonts w:ascii="楷体" w:hAnsi="楷体" w:eastAsia="楷体" w:cs="楷体"/>
          <w:b/>
          <w:bCs/>
          <w:color w:val="000000"/>
          <w:kern w:val="0"/>
          <w:sz w:val="31"/>
          <w:szCs w:val="31"/>
          <w:lang w:val="en-US" w:eastAsia="zh-CN" w:bidi="ar"/>
        </w:rPr>
        <w:t xml:space="preserve">一、绩效工作开展情况 </w:t>
      </w:r>
    </w:p>
    <w:p w14:paraId="3C5BB65A">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（一）机构及人员配置 </w:t>
      </w:r>
    </w:p>
    <w:p w14:paraId="528B6FB6">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根据《关于成立预算绩效管理工作领导小组的通知》（株 </w:t>
      </w:r>
    </w:p>
    <w:p w14:paraId="75FA0AE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荷政办发〔2013〕19 号）文件，我区于 2013 年已成立了本 </w:t>
      </w:r>
    </w:p>
    <w:p w14:paraId="022D9A1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级政府领导牵头的预算绩效管理领导小组和财政部门预算绩效管理领导小组，在区财政部门设立了预算绩效股。领导小组主要负责贯彻落实绩效评价与财政监督的各项法律、法规和制度，监督财税政策、法律、法规执行情况；审定区级绩效评价与财政监督制度、办法，协调绩效评价与财政监督和其他经济监督部门的工作关系，研究拟定强化财政监督检查和绩效评价的方式和措施；按有关要求，部署各部门的财政支出绩效评价工作，并组织实施和监督检查，总结汇总全区绩效评价工作情况；会同预算绩效股对全区各部门和单位的预算、编审、执行、决算、绩效进行监督等。预算绩效股主要负责拟订全区预算绩效管理政策、制度、办法和制定财政支出绩效评价指标和评价标准；承担全区预算绩效目标、绩效运行跟踪监控、绩效评价结果反馈和应用管理工作；负责全面实施预算绩效管理相关工作；办理局领导交办的其他事项等。 </w:t>
      </w:r>
    </w:p>
    <w:p w14:paraId="57AF0570">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（二）制度建设方面 </w:t>
      </w:r>
    </w:p>
    <w:p w14:paraId="222BA1E0">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自 2019 年以来，我区按照建立全方位、全过程、全覆 </w:t>
      </w:r>
    </w:p>
    <w:p w14:paraId="254AFD9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盖预算绩效管理体系要求，出台了一系列预算绩效管理政策文件，包括《株洲市荷塘区关于全面实施预算绩效管理的实施意见》和《株洲市荷塘区绩效目标管理办法（试行）》《株洲市荷塘区预算绩效运行监控管理办法（试行）》《株洲市荷塘区预算支出绩效评价管理办法（试行）》《株洲市荷塘区预算绩效评价结果应用管理办法（试行）》《株洲市荷塘区财政局部门预算绩效管理工作操作细则（试行）》《株洲市荷塘区预算绩效管理工作规程（试行）》等；建立了部门整体支出绩效评价共性指标体系框架、财政预算绩效评价共性指标体系框架、城乡社区与住房保障领域绩效指标和标准体系、政府办公室及相关机构事务领域绩效指标和标准体系、公共安全领域绩效指标和标准体系、税收事务领域绩效指标和标准体系，为我区预算绩效管理工作的顺利开展提供了较为全面的保障。 </w:t>
      </w:r>
    </w:p>
    <w:p w14:paraId="11F5C9FE">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（三）事前绩效评估方面 </w:t>
      </w:r>
    </w:p>
    <w:p w14:paraId="22649A52">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2023 年，我区为深化全过程预算绩效管理，加强政策、 </w:t>
      </w:r>
    </w:p>
    <w:p w14:paraId="1ABD4309">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项目事前绩效评估，提高立项决策的科学化水平，做好 2023 </w:t>
      </w:r>
    </w:p>
    <w:p w14:paraId="5595E4C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年预算事前绩效评估有关工作，根据《株洲市荷塘区项目事 </w:t>
      </w:r>
    </w:p>
    <w:p w14:paraId="4AC7E13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前绩效评估实施细则（试行）》等相关规定，组织本级预算 </w:t>
      </w:r>
    </w:p>
    <w:p w14:paraId="3A14C4D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部门开展了部分专项债项目的事前绩效评估工作，财政部门 </w:t>
      </w:r>
    </w:p>
    <w:p w14:paraId="39C8C38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建立了新增重大政策（项目）以及到期延续重大政策（项目） </w:t>
      </w:r>
    </w:p>
    <w:p w14:paraId="027F170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事前绩效评估机制，选取了部分重大政策（项目）以及到期 </w:t>
      </w:r>
    </w:p>
    <w:p w14:paraId="28A9515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延续重大政策（项目）开展了事前绩效评估工作，对评估结 </w:t>
      </w:r>
    </w:p>
    <w:p w14:paraId="0FE1779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论为“予以支持”的项目，财政优先保障项目的实施，对个 </w:t>
      </w:r>
    </w:p>
    <w:p w14:paraId="4794A48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别评估结论为“建议调整完后予以支持”项目进行了预算调 </w:t>
      </w:r>
    </w:p>
    <w:p w14:paraId="4F5B853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整，对评估结论为“不予支持”的项目未纳入项目库。 </w:t>
      </w:r>
    </w:p>
    <w:p w14:paraId="058CF02A">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（四）预算绩效目标方面 </w:t>
      </w:r>
    </w:p>
    <w:p w14:paraId="59E129AF">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2023 年，我区要求各部门、单位在编制预算时，应全面 </w:t>
      </w:r>
    </w:p>
    <w:p w14:paraId="29F479D9">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设置部门和单位整体绩效目标、专项资金绩效目标、政策及 </w:t>
      </w:r>
    </w:p>
    <w:p w14:paraId="5CE66885">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项目绩效目标，我区将绩效目标设置作为预算安排的前置条 </w:t>
      </w:r>
    </w:p>
    <w:p w14:paraId="776D9D6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件，加强绩效目标审核，实现了预算绩效目标报送同级人大 </w:t>
      </w:r>
    </w:p>
    <w:p w14:paraId="6860FA1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审议，将绩效目标与预算同步批复下达。对未按要求设定绩 </w:t>
      </w:r>
    </w:p>
    <w:p w14:paraId="1C5E80D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效目标或绩效目标审核未通过的，未予安排预算。 </w:t>
      </w:r>
    </w:p>
    <w:p w14:paraId="497538E5">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（五）绩效监控方面 </w:t>
      </w:r>
    </w:p>
    <w:p w14:paraId="7A2D8390">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2023 年，我区采取</w:t>
      </w:r>
      <w:r>
        <w:rPr>
          <w:rFonts w:ascii="仿宋_GB2312" w:hAnsi="宋体" w:eastAsia="仿宋_GB2312" w:cs="仿宋_GB2312"/>
          <w:color w:val="000000"/>
          <w:kern w:val="0"/>
          <w:sz w:val="31"/>
          <w:szCs w:val="31"/>
          <w:lang w:val="en-US" w:eastAsia="zh-CN" w:bidi="ar"/>
        </w:rPr>
        <w:t xml:space="preserve">预算单位自行监控和财政重点监控的 </w:t>
      </w:r>
    </w:p>
    <w:p w14:paraId="2298B56A">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方式进行双层绩效监控管理。对单位自行监控的项目，预算 </w:t>
      </w:r>
    </w:p>
    <w:p w14:paraId="27A852F2">
      <w:pPr>
        <w:keepNext w:val="0"/>
        <w:keepLines w:val="0"/>
        <w:widowControl/>
        <w:suppressLineNumbers w:val="0"/>
        <w:jc w:val="left"/>
      </w:pPr>
      <w:r>
        <w:rPr>
          <w:rFonts w:hint="eastAsia" w:ascii="宋体" w:hAnsi="宋体" w:eastAsia="宋体" w:cs="宋体"/>
          <w:color w:val="000000"/>
          <w:kern w:val="0"/>
          <w:sz w:val="15"/>
          <w:szCs w:val="15"/>
          <w:lang w:val="en-US" w:eastAsia="zh-CN" w:bidi="ar"/>
        </w:rPr>
        <w:t>3</w:t>
      </w:r>
      <w:r>
        <w:rPr>
          <w:rFonts w:hint="eastAsia" w:ascii="仿宋_GB2312" w:hAnsi="宋体" w:eastAsia="仿宋_GB2312" w:cs="仿宋_GB2312"/>
          <w:color w:val="000000"/>
          <w:kern w:val="0"/>
          <w:sz w:val="31"/>
          <w:szCs w:val="31"/>
          <w:lang w:val="en-US" w:eastAsia="zh-CN" w:bidi="ar"/>
        </w:rPr>
        <w:t xml:space="preserve">单位负责开展预算绩效日常监控，围绕绩效目标，适时监控 </w:t>
      </w:r>
    </w:p>
    <w:p w14:paraId="08C78CDB">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绩效目标实现程度和预算执行情况，及时掌握绩效运行情况、 </w:t>
      </w:r>
    </w:p>
    <w:p w14:paraId="6698F226">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资金支出进度等，并定期对绩效监控信息进行收集、审核、 </w:t>
      </w:r>
    </w:p>
    <w:p w14:paraId="03EB172A">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分析、汇总、填报，分析偏离绩效目标的原因，并及时采取 </w:t>
      </w:r>
    </w:p>
    <w:p w14:paraId="4AB75A43">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纠偏措施；对财政重点监控的项目，财政在预算单位自行监 </w:t>
      </w:r>
    </w:p>
    <w:p w14:paraId="5399BA4A">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控的基础上，结合预算执行进度、绩效目标完成情况等，通 </w:t>
      </w:r>
    </w:p>
    <w:p w14:paraId="44BB3CF5">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过调查取证、实地核查以及绩效运行信息采集等方式，对预 </w:t>
      </w:r>
    </w:p>
    <w:p w14:paraId="31B411E5">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算单位的绩效运行情况进行重点抽查，以发现问题和风险， </w:t>
      </w:r>
    </w:p>
    <w:p w14:paraId="5A0F2768">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确保绩效目标的实现及资金的有效使用。 </w:t>
      </w:r>
    </w:p>
    <w:p w14:paraId="4BCC41A0">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（六）绩效评价方面 </w:t>
      </w:r>
    </w:p>
    <w:p w14:paraId="37BBC124">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2023 </w:t>
      </w:r>
      <w:r>
        <w:rPr>
          <w:rFonts w:hint="eastAsia" w:ascii="仿宋_GB2312" w:hAnsi="宋体" w:eastAsia="仿宋_GB2312" w:cs="仿宋_GB2312"/>
          <w:color w:val="000000"/>
          <w:kern w:val="0"/>
          <w:sz w:val="31"/>
          <w:szCs w:val="31"/>
          <w:lang w:val="en-US" w:eastAsia="zh-CN" w:bidi="ar"/>
        </w:rPr>
        <w:t xml:space="preserve">年我区 </w:t>
      </w:r>
      <w:r>
        <w:rPr>
          <w:rFonts w:hint="eastAsia" w:ascii="仿宋" w:hAnsi="仿宋" w:eastAsia="仿宋" w:cs="仿宋"/>
          <w:color w:val="000000"/>
          <w:kern w:val="0"/>
          <w:sz w:val="31"/>
          <w:szCs w:val="31"/>
          <w:lang w:val="en-US" w:eastAsia="zh-CN" w:bidi="ar"/>
        </w:rPr>
        <w:t xml:space="preserve">69 </w:t>
      </w:r>
      <w:r>
        <w:rPr>
          <w:rFonts w:hint="eastAsia" w:ascii="仿宋_GB2312" w:hAnsi="宋体" w:eastAsia="仿宋_GB2312" w:cs="仿宋_GB2312"/>
          <w:color w:val="000000"/>
          <w:kern w:val="0"/>
          <w:sz w:val="31"/>
          <w:szCs w:val="31"/>
          <w:lang w:val="en-US" w:eastAsia="zh-CN" w:bidi="ar"/>
        </w:rPr>
        <w:t xml:space="preserve">个本级预算单位全部开展了 </w:t>
      </w:r>
      <w:r>
        <w:rPr>
          <w:rFonts w:hint="eastAsia" w:ascii="仿宋" w:hAnsi="仿宋" w:eastAsia="仿宋" w:cs="仿宋"/>
          <w:color w:val="000000"/>
          <w:kern w:val="0"/>
          <w:sz w:val="31"/>
          <w:szCs w:val="31"/>
          <w:lang w:val="en-US" w:eastAsia="zh-CN" w:bidi="ar"/>
        </w:rPr>
        <w:t xml:space="preserve">2022 </w:t>
      </w:r>
      <w:r>
        <w:rPr>
          <w:rFonts w:hint="eastAsia" w:ascii="仿宋_GB2312" w:hAnsi="宋体" w:eastAsia="仿宋_GB2312" w:cs="仿宋_GB2312"/>
          <w:color w:val="000000"/>
          <w:kern w:val="0"/>
          <w:sz w:val="31"/>
          <w:szCs w:val="31"/>
          <w:lang w:val="en-US" w:eastAsia="zh-CN" w:bidi="ar"/>
        </w:rPr>
        <w:t xml:space="preserve">年部门整体支出及项目支出绩效自评工作，实现了本级预算部门绩 </w:t>
      </w:r>
    </w:p>
    <w:p w14:paraId="67421F61">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效自评全公开。区财政部门对本级预算部门绩效自评结果实 </w:t>
      </w:r>
    </w:p>
    <w:p w14:paraId="26D5FE60">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施复评，并将复评结果进行了通报。区财政局牵头成立了由 </w:t>
      </w:r>
    </w:p>
    <w:p w14:paraId="2F58E132">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相关专家组成的评价工作小组，按照资金比例和项目数量比 </w:t>
      </w:r>
    </w:p>
    <w:p w14:paraId="7C471F49">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例抽取了部分单位对其绩效自评实施了现场评价，对其绩效 </w:t>
      </w:r>
    </w:p>
    <w:p w14:paraId="400097BF">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目标和指标的合理性、完整性和可行性进行指导；组织区行 </w:t>
      </w:r>
    </w:p>
    <w:p w14:paraId="7BD885DB">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政审批局、区城管局、区市场监督管理局、区教育局、月塘办事 处、仙庾镇人民政府、区退役军人事务局、宋家桥办事处等 部门开展部门绩效评价，进行预算绩效精细化服务；区财政局牵头委托中介机构对社会关注度较高的部分项目进行了 </w:t>
      </w:r>
    </w:p>
    <w:p w14:paraId="627108EA">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绩效评价，并对其结果进行了审核和通报，对开展第三方机 </w:t>
      </w:r>
    </w:p>
    <w:p w14:paraId="0653CC4F">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构绩效评价业务质量进行了考核。 </w:t>
      </w:r>
    </w:p>
    <w:p w14:paraId="4550FF01">
      <w:pPr>
        <w:keepNext w:val="0"/>
        <w:keepLines w:val="0"/>
        <w:widowControl/>
        <w:suppressLineNumbers w:val="0"/>
        <w:jc w:val="left"/>
      </w:pPr>
      <w:bookmarkStart w:id="0" w:name="_GoBack"/>
      <w:bookmarkEnd w:id="0"/>
      <w:r>
        <w:rPr>
          <w:rFonts w:hint="eastAsia" w:ascii="楷体" w:hAnsi="楷体" w:eastAsia="楷体" w:cs="楷体"/>
          <w:color w:val="000000"/>
          <w:kern w:val="0"/>
          <w:sz w:val="31"/>
          <w:szCs w:val="31"/>
          <w:lang w:val="en-US" w:eastAsia="zh-CN" w:bidi="ar"/>
        </w:rPr>
        <w:t xml:space="preserve">（七）评价结果应用方面 </w:t>
      </w:r>
    </w:p>
    <w:p w14:paraId="5C51F2B0">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评价结果应用既是我区开展绩效评价工作的基本前提，又是加强财政支出管理、增强资金绩效理念、合理配置公共资源、优化财政支出结构、强化资金管理水平、提高资金使用效益的重要手段。为使评价结果得到合理应用，我区将事前绩效评估结果作为预算安排的重要参考依据，将绩效目标设置作为预算安排的前置条件，并将绩效目标管理结果用于预算安排，对绩效监控中发现的绩效目标发生偏离和预算执行进度方面的问题以及其他管理漏洞及时采取处置措施予以纠正，建立绩效评价结果与预算安排和政策调整挂钩机制，将项目绩效评价结果与项目预算安排挂钩，将预算绩效结果纳入政府绩效评估或干部政绩考核体系。 </w:t>
      </w:r>
    </w:p>
    <w:p w14:paraId="1EED011C">
      <w:pPr>
        <w:keepNext w:val="0"/>
        <w:keepLines w:val="0"/>
        <w:widowControl/>
        <w:suppressLineNumbers w:val="0"/>
        <w:jc w:val="left"/>
      </w:pPr>
      <w:r>
        <w:rPr>
          <w:rFonts w:hint="eastAsia" w:ascii="楷体" w:hAnsi="楷体" w:eastAsia="楷体" w:cs="楷体"/>
          <w:b/>
          <w:bCs/>
          <w:color w:val="000000"/>
          <w:kern w:val="0"/>
          <w:sz w:val="31"/>
          <w:szCs w:val="31"/>
          <w:lang w:val="en-US" w:eastAsia="zh-CN" w:bidi="ar"/>
        </w:rPr>
        <w:t xml:space="preserve">二、取得成效 </w:t>
      </w:r>
    </w:p>
    <w:p w14:paraId="71F338EA">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(一)前移预算管理重心，优化了财政资金配置 </w:t>
      </w:r>
    </w:p>
    <w:p w14:paraId="5D00C0E1">
      <w:pPr>
        <w:keepNext w:val="0"/>
        <w:keepLines w:val="0"/>
        <w:widowControl/>
        <w:suppressLineNumbers w:val="0"/>
        <w:ind w:firstLine="310" w:firstLineChars="100"/>
        <w:jc w:val="left"/>
      </w:pPr>
      <w:r>
        <w:rPr>
          <w:rFonts w:hint="eastAsia" w:ascii="仿宋" w:hAnsi="仿宋" w:eastAsia="仿宋" w:cs="仿宋"/>
          <w:color w:val="000000"/>
          <w:kern w:val="0"/>
          <w:sz w:val="31"/>
          <w:szCs w:val="31"/>
          <w:lang w:val="en-US" w:eastAsia="zh-CN" w:bidi="ar"/>
        </w:rPr>
        <w:t xml:space="preserve">2023 年我区将绩效目标设置作为预算安排的前置条件， </w:t>
      </w:r>
    </w:p>
    <w:p w14:paraId="4C23A4F8">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建立健全资金分配源头管控机制，实施预算绩效目标“三方 </w:t>
      </w:r>
    </w:p>
    <w:p w14:paraId="7F3DEE1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会审”方式，运用成本效益分析法，加大区级专项资金、部 </w:t>
      </w:r>
    </w:p>
    <w:p w14:paraId="0B5402EE">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门整体支出绩效目标编制的审核、把关力度，实现财政资金 </w:t>
      </w:r>
    </w:p>
    <w:p w14:paraId="00A86DBE">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从预算安排源头到使用末端全过程来源清晰、流向明确。将 </w:t>
      </w:r>
    </w:p>
    <w:p w14:paraId="14E46E4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区级专项资金绩效目标提交区人代会审议，提高绩效目标约 </w:t>
      </w:r>
    </w:p>
    <w:p w14:paraId="297926E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束力。2023 年绩效目标审核共核减无绩效目标、目标设置不 </w:t>
      </w:r>
    </w:p>
    <w:p w14:paraId="4598A6B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合理、不科学等项目 172 个，落实了“先有项目，后有预算” </w:t>
      </w:r>
    </w:p>
    <w:p w14:paraId="426CA9F9">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的制度。按照财政部预算管理一体化建设要求，建立健全各 </w:t>
      </w:r>
    </w:p>
    <w:p w14:paraId="653CF0B5">
      <w:pPr>
        <w:keepNext w:val="0"/>
        <w:keepLines w:val="0"/>
        <w:widowControl/>
        <w:suppressLineNumbers w:val="0"/>
        <w:jc w:val="left"/>
      </w:pPr>
      <w:r>
        <w:rPr>
          <w:rFonts w:hint="eastAsia" w:ascii="宋体" w:hAnsi="宋体" w:eastAsia="宋体" w:cs="宋体"/>
          <w:color w:val="000000"/>
          <w:kern w:val="0"/>
          <w:sz w:val="15"/>
          <w:szCs w:val="15"/>
          <w:lang w:val="en-US" w:eastAsia="zh-CN" w:bidi="ar"/>
        </w:rPr>
        <w:t>5</w:t>
      </w:r>
      <w:r>
        <w:rPr>
          <w:rFonts w:hint="eastAsia" w:ascii="仿宋" w:hAnsi="仿宋" w:eastAsia="仿宋" w:cs="仿宋"/>
          <w:color w:val="000000"/>
          <w:kern w:val="0"/>
          <w:sz w:val="31"/>
          <w:szCs w:val="31"/>
          <w:lang w:val="en-US" w:eastAsia="zh-CN" w:bidi="ar"/>
        </w:rPr>
        <w:t xml:space="preserve">类项目库，优化了财政资金配置，提高了预算支出安排和专 </w:t>
      </w:r>
    </w:p>
    <w:p w14:paraId="6A8E9EC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项资金分配的科学性、精准性。 </w:t>
      </w:r>
    </w:p>
    <w:p w14:paraId="04826927">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(二)加强事前评估、事中监控、事后评价，深挖降本增 </w:t>
      </w:r>
    </w:p>
    <w:p w14:paraId="17108F9D">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效潜能 </w:t>
      </w:r>
    </w:p>
    <w:p w14:paraId="297F010D">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2023 年我区全面提升财政政策效能，积极落实“绩效管 </w:t>
      </w:r>
    </w:p>
    <w:p w14:paraId="7474086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理提升年”行动部署，以提高财政资金使用效益为出发点， </w:t>
      </w:r>
    </w:p>
    <w:p w14:paraId="55E498F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坚持问题导向，多方联动发力，选择重大财政项目进行事前 </w:t>
      </w:r>
    </w:p>
    <w:p w14:paraId="19AA99E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绩效评估，从源头上提升财政政策效能；实行本级部门预算 </w:t>
      </w:r>
    </w:p>
    <w:p w14:paraId="5ECAC58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项目支出绩效监控管理全覆盖，对全区所有部门 2023 年 1-8 </w:t>
      </w:r>
    </w:p>
    <w:p w14:paraId="19024BD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月项目支出全面进行绩效监控；落实财政部对地方财政管理 </w:t>
      </w:r>
    </w:p>
    <w:p w14:paraId="2CD9141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绩效考核规定的重点评价内容，继续稳步推进部门整体支出 </w:t>
      </w:r>
    </w:p>
    <w:p w14:paraId="134F284E">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绩效评价，对区级重点项目支出开展重点绩效评价，对 69 </w:t>
      </w:r>
    </w:p>
    <w:p w14:paraId="216B8E29">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家区预算部门整体支出和 30 个预算专项资金绩效目标进 </w:t>
      </w:r>
    </w:p>
    <w:p w14:paraId="206A9745">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行了专家集中评审；强化评价结果应用，坚决将评价结果与 </w:t>
      </w:r>
    </w:p>
    <w:p w14:paraId="6A18F9AE">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预算安排、政策调整和工作考核挂钩，构建“花钱必问效、 </w:t>
      </w:r>
    </w:p>
    <w:p w14:paraId="6CE498F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无效必问责、违规必严惩”的长效机制，截至报告日，2023 </w:t>
      </w:r>
    </w:p>
    <w:p w14:paraId="533134D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年共核减政府采购资金 4100 万元，核减预算项目近 200 个。 </w:t>
      </w:r>
    </w:p>
    <w:p w14:paraId="061E4BB5">
      <w:pPr>
        <w:keepNext w:val="0"/>
        <w:keepLines w:val="0"/>
        <w:widowControl/>
        <w:suppressLineNumbers w:val="0"/>
        <w:jc w:val="left"/>
      </w:pPr>
      <w:r>
        <w:rPr>
          <w:rFonts w:hint="eastAsia" w:ascii="楷体" w:hAnsi="楷体" w:eastAsia="楷体" w:cs="楷体"/>
          <w:b/>
          <w:bCs/>
          <w:color w:val="000000"/>
          <w:kern w:val="0"/>
          <w:sz w:val="31"/>
          <w:szCs w:val="31"/>
          <w:lang w:val="en-US" w:eastAsia="zh-CN" w:bidi="ar"/>
        </w:rPr>
        <w:t xml:space="preserve">三、典型经验和做法 </w:t>
      </w:r>
    </w:p>
    <w:p w14:paraId="5AC88865">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(一)落实落细财审联动机制 </w:t>
      </w:r>
    </w:p>
    <w:p w14:paraId="28D3C34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1.共同谋划审计监督、绩效评价项目。年初区财政部门 </w:t>
      </w:r>
    </w:p>
    <w:p w14:paraId="5E30110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与审计部门多次对接，了解审计监督重点领域和具体项目， </w:t>
      </w:r>
    </w:p>
    <w:p w14:paraId="0BA97CC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确定重点绩效评价项目明细，实现双方在监督范围、评价内 </w:t>
      </w:r>
    </w:p>
    <w:p w14:paraId="72650389">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容上的有机贯通、高效联动、全面覆盖。 </w:t>
      </w:r>
    </w:p>
    <w:p w14:paraId="717FC362">
      <w:pPr>
        <w:keepNext w:val="0"/>
        <w:keepLines w:val="0"/>
        <w:widowControl/>
        <w:suppressLineNumbers w:val="0"/>
        <w:jc w:val="left"/>
      </w:pPr>
      <w:r>
        <w:rPr>
          <w:rFonts w:hint="eastAsia" w:ascii="宋体" w:hAnsi="宋体" w:eastAsia="宋体" w:cs="宋体"/>
          <w:color w:val="000000"/>
          <w:kern w:val="0"/>
          <w:sz w:val="15"/>
          <w:szCs w:val="15"/>
          <w:lang w:val="en-US" w:eastAsia="zh-CN" w:bidi="ar"/>
        </w:rPr>
        <w:t>6</w:t>
      </w:r>
      <w:r>
        <w:rPr>
          <w:rFonts w:hint="eastAsia" w:ascii="仿宋" w:hAnsi="仿宋" w:eastAsia="仿宋" w:cs="仿宋"/>
          <w:color w:val="000000"/>
          <w:kern w:val="0"/>
          <w:sz w:val="31"/>
          <w:szCs w:val="31"/>
          <w:lang w:val="en-US" w:eastAsia="zh-CN" w:bidi="ar"/>
        </w:rPr>
        <w:t xml:space="preserve">2.共同会商绩效指标。区财政部门和审计部门联合第三 </w:t>
      </w:r>
    </w:p>
    <w:p w14:paraId="79C0D2F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方机构、各预算部门共同参加 2023 年重点项目绩效指标审 </w:t>
      </w:r>
    </w:p>
    <w:p w14:paraId="4BA3E30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核，对预算指标进行管控，并将区级预算部门重要绩效目标 </w:t>
      </w:r>
    </w:p>
    <w:p w14:paraId="0B8793C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与 2023 年度预算草案同步报送同级人大。 </w:t>
      </w:r>
    </w:p>
    <w:p w14:paraId="281CC80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3.开展现场联合检查、评价。2023 年，选取荷塘区第六 </w:t>
      </w:r>
    </w:p>
    <w:p w14:paraId="1D9AB0D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轮环卫市场作业服务经费、荷塘区第五轮环卫市场化作业项 </w:t>
      </w:r>
    </w:p>
    <w:p w14:paraId="0F723E8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目、部分专项债项目、部门整体绩效评价项目等重点评估、 </w:t>
      </w:r>
    </w:p>
    <w:p w14:paraId="11405909">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评价项目作为财审联动项目，区审计部门与区财政部门共同 </w:t>
      </w:r>
    </w:p>
    <w:p w14:paraId="4588187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组成评估、评价小组同步进场，全程参与项目现场评估、评 </w:t>
      </w:r>
    </w:p>
    <w:p w14:paraId="20AE64C2">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价过程，全面真实了解项目单位各项数据资料。区财政部门 </w:t>
      </w:r>
    </w:p>
    <w:p w14:paraId="3A3C321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定期组织召开项目进度调度会，推动项目绩效评估、评价顺 </w:t>
      </w:r>
    </w:p>
    <w:p w14:paraId="6CF5170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利进行。 </w:t>
      </w:r>
    </w:p>
    <w:p w14:paraId="66BACC85">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(二)打造绩效管理信息化新模式 </w:t>
      </w:r>
    </w:p>
    <w:p w14:paraId="294CF68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我区积极响应“省市共建、全省共享”的工作机制，认 </w:t>
      </w:r>
    </w:p>
    <w:p w14:paraId="694A9BF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真分析本地实际，积极开展业务和技术等方面的准备工作， </w:t>
      </w:r>
    </w:p>
    <w:p w14:paraId="5DF6E87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严格按省财政厅统一部署建设，顺利实现预算绩效管理系统 </w:t>
      </w:r>
    </w:p>
    <w:p w14:paraId="5A4B8195">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线上运行。同时积极开展系统宣传和操作培训，组织全区财 </w:t>
      </w:r>
    </w:p>
    <w:p w14:paraId="4E96162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会人员进行预算绩效管理培训，打造了我区绩效管理信息化 </w:t>
      </w:r>
    </w:p>
    <w:p w14:paraId="55D394E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新模式。 </w:t>
      </w:r>
    </w:p>
    <w:p w14:paraId="7EDB0FD8">
      <w:pPr>
        <w:keepNext w:val="0"/>
        <w:keepLines w:val="0"/>
        <w:widowControl/>
        <w:suppressLineNumbers w:val="0"/>
        <w:jc w:val="left"/>
      </w:pPr>
      <w:r>
        <w:rPr>
          <w:rFonts w:hint="eastAsia" w:ascii="楷体" w:hAnsi="楷体" w:eastAsia="楷体" w:cs="楷体"/>
          <w:b/>
          <w:bCs/>
          <w:color w:val="000000"/>
          <w:kern w:val="0"/>
          <w:sz w:val="31"/>
          <w:szCs w:val="31"/>
          <w:lang w:val="en-US" w:eastAsia="zh-CN" w:bidi="ar"/>
        </w:rPr>
        <w:t xml:space="preserve">四、存在的问题 </w:t>
      </w:r>
    </w:p>
    <w:p w14:paraId="00A1755C">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（一）个别项目绩效评价指标设置不合理 </w:t>
      </w:r>
    </w:p>
    <w:p w14:paraId="16E80DB9">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在绩效评价时，有的项目关注的是投入产出的比值，这 </w:t>
      </w:r>
    </w:p>
    <w:p w14:paraId="61834F1C">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种方法的优势在于能从经济角度衡量财政资金是否值得投 </w:t>
      </w:r>
    </w:p>
    <w:p w14:paraId="675FDFC0">
      <w:pPr>
        <w:keepNext w:val="0"/>
        <w:keepLines w:val="0"/>
        <w:widowControl/>
        <w:suppressLineNumbers w:val="0"/>
        <w:jc w:val="left"/>
      </w:pPr>
      <w:r>
        <w:rPr>
          <w:rFonts w:hint="eastAsia" w:ascii="宋体" w:hAnsi="宋体" w:eastAsia="宋体" w:cs="宋体"/>
          <w:color w:val="000000"/>
          <w:kern w:val="0"/>
          <w:sz w:val="15"/>
          <w:szCs w:val="15"/>
          <w:lang w:val="en-US" w:eastAsia="zh-CN" w:bidi="ar"/>
        </w:rPr>
        <w:t>7</w:t>
      </w:r>
      <w:r>
        <w:rPr>
          <w:rFonts w:hint="eastAsia" w:ascii="仿宋" w:hAnsi="仿宋" w:eastAsia="仿宋" w:cs="仿宋"/>
          <w:color w:val="000000"/>
          <w:kern w:val="0"/>
          <w:sz w:val="31"/>
          <w:szCs w:val="31"/>
          <w:lang w:val="en-US" w:eastAsia="zh-CN" w:bidi="ar"/>
        </w:rPr>
        <w:t xml:space="preserve">入，但财政的很多项目并不只关注投入回报比，即对经济效 </w:t>
      </w:r>
    </w:p>
    <w:p w14:paraId="6AB75510">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益的要求并不高，而是更加在乎其社会效益和生态效益，这 </w:t>
      </w:r>
    </w:p>
    <w:p w14:paraId="2DBC0349">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样导致个别评价项目指标设置失效。 </w:t>
      </w:r>
    </w:p>
    <w:p w14:paraId="30D29EC2">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（二）指标体系需进一步完善 </w:t>
      </w:r>
    </w:p>
    <w:p w14:paraId="1F4511A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目前，我区结合区实际情况，已建立了共性绩效指标框 </w:t>
      </w:r>
    </w:p>
    <w:p w14:paraId="672DAF58">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架和部分行业领域的核心绩效指标和标准体系，但是指标体 </w:t>
      </w:r>
    </w:p>
    <w:p w14:paraId="7546D85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系仍需进一步完善。 </w:t>
      </w:r>
    </w:p>
    <w:p w14:paraId="370E93D3">
      <w:pPr>
        <w:keepNext w:val="0"/>
        <w:keepLines w:val="0"/>
        <w:widowControl/>
        <w:suppressLineNumbers w:val="0"/>
        <w:jc w:val="left"/>
      </w:pPr>
      <w:r>
        <w:rPr>
          <w:rFonts w:hint="eastAsia" w:ascii="楷体" w:hAnsi="楷体" w:eastAsia="楷体" w:cs="楷体"/>
          <w:b/>
          <w:bCs/>
          <w:color w:val="000000"/>
          <w:kern w:val="0"/>
          <w:sz w:val="31"/>
          <w:szCs w:val="31"/>
          <w:lang w:val="en-US" w:eastAsia="zh-CN" w:bidi="ar"/>
        </w:rPr>
        <w:t xml:space="preserve">五、下一步思路 </w:t>
      </w:r>
    </w:p>
    <w:p w14:paraId="23D13218">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（一）强化绩效理念，深入推进评价工作。进一步强化 </w:t>
      </w:r>
    </w:p>
    <w:p w14:paraId="0F26860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各部门绩效管理理念，将“要我评价”的被动认识转化为“我 </w:t>
      </w:r>
    </w:p>
    <w:p w14:paraId="04DA3C6F">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要评价”的主动实践，把财政绩效评价作为转变政府职能、 </w:t>
      </w:r>
    </w:p>
    <w:p w14:paraId="47EB7DD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深化财政改革、促进科学理财的重要工作来抓，健全完善制 </w:t>
      </w:r>
    </w:p>
    <w:p w14:paraId="00B14C18">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度办法，切实加强组织领导，深入推进评价工作，提升整体 </w:t>
      </w:r>
    </w:p>
    <w:p w14:paraId="2343D44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绩效管理水平。 </w:t>
      </w:r>
    </w:p>
    <w:p w14:paraId="5D6520F0">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（二）强化事前准备，提升评价质量。在推进自身评价 </w:t>
      </w:r>
    </w:p>
    <w:p w14:paraId="23C1531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工作开展时，结合评价工作实际，完善项目（部门、单位） </w:t>
      </w:r>
    </w:p>
    <w:p w14:paraId="22F9BDF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评价特性指标，规范评价标准，立足管理需求，预设评价重 </w:t>
      </w:r>
    </w:p>
    <w:p w14:paraId="64686EDD">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点，确保绩效评价结果公正、客观、精准，做到评价结果客 </w:t>
      </w:r>
    </w:p>
    <w:p w14:paraId="5B2F2C4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观公正、实事求是，真实反映绩效，如实反映问题，切实提 </w:t>
      </w:r>
    </w:p>
    <w:p w14:paraId="696EB7D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高评价质量。 </w:t>
      </w:r>
    </w:p>
    <w:p w14:paraId="2BBBF2C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（三）强化对绩效评价结果的运用。将绩效评价结果作 </w:t>
      </w:r>
    </w:p>
    <w:p w14:paraId="78F6373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为下一年度部门预算安排的重要依据。根据绩效评价中发现 </w:t>
      </w:r>
    </w:p>
    <w:p w14:paraId="1355FE85">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的问题及评价结果，对新一年度延续项目的资金采取重点保 </w:t>
      </w:r>
    </w:p>
    <w:p w14:paraId="6935D33E">
      <w:pPr>
        <w:keepNext w:val="0"/>
        <w:keepLines w:val="0"/>
        <w:widowControl/>
        <w:suppressLineNumbers w:val="0"/>
        <w:jc w:val="left"/>
      </w:pPr>
      <w:r>
        <w:rPr>
          <w:rFonts w:hint="eastAsia" w:ascii="宋体" w:hAnsi="宋体" w:eastAsia="宋体" w:cs="宋体"/>
          <w:color w:val="000000"/>
          <w:kern w:val="0"/>
          <w:sz w:val="15"/>
          <w:szCs w:val="15"/>
          <w:lang w:val="en-US" w:eastAsia="zh-CN" w:bidi="ar"/>
        </w:rPr>
        <w:t>8</w:t>
      </w:r>
      <w:r>
        <w:rPr>
          <w:rFonts w:hint="eastAsia" w:ascii="仿宋" w:hAnsi="仿宋" w:eastAsia="仿宋" w:cs="仿宋"/>
          <w:color w:val="000000"/>
          <w:kern w:val="0"/>
          <w:sz w:val="31"/>
          <w:szCs w:val="31"/>
          <w:lang w:val="en-US" w:eastAsia="zh-CN" w:bidi="ar"/>
        </w:rPr>
        <w:t xml:space="preserve">障、优先保障、减少安排或取消安排四种方式，切实维护绩 </w:t>
      </w:r>
    </w:p>
    <w:p w14:paraId="4DA94AB0">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效评价的严肃性和有效性。 </w:t>
      </w:r>
    </w:p>
    <w:p w14:paraId="60938B73">
      <w:pPr>
        <w:keepNext w:val="0"/>
        <w:keepLines w:val="0"/>
        <w:widowControl/>
        <w:suppressLineNumbers w:val="0"/>
        <w:jc w:val="left"/>
      </w:pPr>
      <w:r>
        <w:rPr>
          <w:rFonts w:hint="eastAsia" w:ascii="楷体" w:hAnsi="楷体" w:eastAsia="楷体" w:cs="楷体"/>
          <w:b/>
          <w:bCs/>
          <w:color w:val="000000"/>
          <w:kern w:val="0"/>
          <w:sz w:val="31"/>
          <w:szCs w:val="31"/>
          <w:lang w:val="en-US" w:eastAsia="zh-CN" w:bidi="ar"/>
        </w:rPr>
        <w:t xml:space="preserve">六、相关建议 </w:t>
      </w:r>
    </w:p>
    <w:p w14:paraId="4CEAACFA">
      <w:pPr>
        <w:keepNext w:val="0"/>
        <w:keepLines w:val="0"/>
        <w:widowControl/>
        <w:suppressLineNumbers w:val="0"/>
        <w:jc w:val="left"/>
      </w:pPr>
      <w:r>
        <w:rPr>
          <w:rFonts w:hint="eastAsia" w:ascii="仿宋" w:hAnsi="仿宋" w:eastAsia="仿宋" w:cs="仿宋"/>
          <w:color w:val="000000"/>
          <w:kern w:val="0"/>
          <w:sz w:val="31"/>
          <w:szCs w:val="31"/>
          <w:lang w:val="en-US" w:eastAsia="zh-CN" w:bidi="ar"/>
        </w:rPr>
        <w:t>建议省、市各上级财政部门积极推进预算绩效标准体系建设，完善项目（部门、单位）评价特性指标，规范评价标准，立足管理需求，预设评价重点，为各市州、部门和单位预算绩效评价提供完善的体系保障和指导。</w:t>
      </w:r>
    </w:p>
    <w:p w14:paraId="459543D1">
      <w:pPr>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p>
    <w:p w14:paraId="05719752">
      <w:pPr>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ZGQ3OTk4YWMwMmE1N2YzOGIxY2Y4ZDZlNTNmYmEifQ=="/>
  </w:docVars>
  <w:rsids>
    <w:rsidRoot w:val="00000000"/>
    <w:rsid w:val="27790E83"/>
    <w:rsid w:val="2E3E2F53"/>
    <w:rsid w:val="3F760C61"/>
    <w:rsid w:val="4743767B"/>
    <w:rsid w:val="582B526B"/>
    <w:rsid w:val="586B2B8C"/>
    <w:rsid w:val="5C2A40C4"/>
    <w:rsid w:val="5CDD73FD"/>
    <w:rsid w:val="646260B0"/>
    <w:rsid w:val="73EF4563"/>
    <w:rsid w:val="7CD73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customStyle="1" w:styleId="5">
    <w:name w:val="FootnoteText"/>
    <w:basedOn w:val="1"/>
    <w:qFormat/>
    <w:uiPriority w:val="0"/>
    <w:pPr>
      <w:snapToGrid w:val="0"/>
      <w:jc w:val="both"/>
      <w:textAlignment w:val="baseline"/>
    </w:pPr>
    <w:rPr>
      <w:rFonts w:ascii="Times New Roman" w:hAnsi="Times New Roman"/>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4875</Words>
  <Characters>5056</Characters>
  <Lines>0</Lines>
  <Paragraphs>0</Paragraphs>
  <TotalTime>27</TotalTime>
  <ScaleCrop>false</ScaleCrop>
  <LinksUpToDate>false</LinksUpToDate>
  <CharactersWithSpaces>5238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2024-06-20T08:53:00Z</dcterms:created>
  <dc:creator>Administrator</dc:creator>
  <cp:lastModifiedBy>李涛</cp:lastModifiedBy>
  <dcterms:modified xsi:type="dcterms:W3CDTF">2025-12-16T07:44:57Z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4B2D9997DBE64B9A8932299A9EEA2542_12</vt:lpwstr>
  </property>
  <property fmtid="{D5CDD505-2E9C-101B-9397-08002B2CF9AE}" pid="4" name="KSOTemplateDocerSaveRecord">
    <vt:lpwstr>eyJoZGlkIjoiYmJjMWNlZmEyMzAyZjZjZTFmZmQyZjM1ZDBhOGIyMGIiLCJ1c2VySWQiOiIyMTcyMzMwMzgifQ==</vt:lpwstr>
  </property>
</Properties>
</file>