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8C4D0">
      <w:pPr>
        <w:pStyle w:val="13"/>
        <w:jc w:val="center"/>
        <w:rPr>
          <w:rFonts w:hint="default" w:ascii="Times New Roman" w:hAnsi="Times New Roman" w:cs="Times New Roman"/>
          <w:sz w:val="56"/>
          <w:szCs w:val="56"/>
        </w:rPr>
      </w:pPr>
      <w:bookmarkStart w:id="0" w:name="_GoBack"/>
      <w:bookmarkEnd w:id="0"/>
    </w:p>
    <w:p w14:paraId="664B8E9E">
      <w:pPr>
        <w:widowControl/>
        <w:ind w:firstLine="880" w:firstLineChars="200"/>
        <w:jc w:val="center"/>
        <w:rPr>
          <w:rFonts w:hint="default" w:ascii="Times New Roman" w:hAnsi="Times New Roman" w:eastAsia="方正小标宋简体" w:cs="Times New Roman"/>
          <w:color w:val="000000"/>
          <w:kern w:val="0"/>
          <w:sz w:val="44"/>
          <w:szCs w:val="44"/>
        </w:rPr>
      </w:pPr>
    </w:p>
    <w:p w14:paraId="07523CBF">
      <w:pPr>
        <w:widowControl/>
        <w:ind w:firstLine="880" w:firstLineChars="200"/>
        <w:jc w:val="center"/>
        <w:rPr>
          <w:rFonts w:hint="default" w:ascii="Times New Roman" w:hAnsi="Times New Roman" w:eastAsia="方正小标宋简体" w:cs="Times New Roman"/>
          <w:color w:val="000000"/>
          <w:kern w:val="0"/>
          <w:sz w:val="44"/>
          <w:szCs w:val="44"/>
        </w:rPr>
      </w:pPr>
    </w:p>
    <w:p w14:paraId="254324B8">
      <w:pPr>
        <w:widowControl/>
        <w:ind w:firstLine="880" w:firstLineChars="20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2022年度株洲市芦淞区卫生健康综合监督执法大队绩效评价报告</w:t>
      </w:r>
    </w:p>
    <w:p w14:paraId="14AE7660">
      <w:pPr>
        <w:widowControl/>
        <w:ind w:firstLine="640" w:firstLineChars="200"/>
        <w:jc w:val="center"/>
        <w:rPr>
          <w:rFonts w:hint="default" w:ascii="Times New Roman" w:hAnsi="Times New Roman" w:eastAsia="仿宋" w:cs="Times New Roman"/>
          <w:color w:val="000000"/>
          <w:kern w:val="0"/>
          <w:sz w:val="32"/>
          <w:szCs w:val="32"/>
        </w:rPr>
      </w:pPr>
    </w:p>
    <w:p w14:paraId="1B5D1C2A">
      <w:pPr>
        <w:widowControl/>
        <w:ind w:firstLine="640" w:firstLineChars="200"/>
        <w:jc w:val="center"/>
        <w:rPr>
          <w:rFonts w:hint="default" w:ascii="Times New Roman" w:hAnsi="Times New Roman" w:eastAsia="仿宋" w:cs="Times New Roman"/>
          <w:color w:val="000000"/>
          <w:kern w:val="0"/>
          <w:sz w:val="32"/>
          <w:szCs w:val="32"/>
        </w:rPr>
      </w:pPr>
    </w:p>
    <w:p w14:paraId="437D2952">
      <w:pPr>
        <w:widowControl/>
        <w:ind w:firstLine="640" w:firstLineChars="200"/>
        <w:jc w:val="center"/>
        <w:rPr>
          <w:rFonts w:hint="default" w:ascii="Times New Roman" w:hAnsi="Times New Roman" w:eastAsia="仿宋" w:cs="Times New Roman"/>
          <w:color w:val="000000"/>
          <w:kern w:val="0"/>
          <w:sz w:val="32"/>
          <w:szCs w:val="32"/>
        </w:rPr>
      </w:pPr>
    </w:p>
    <w:p w14:paraId="38B79288">
      <w:pPr>
        <w:widowControl/>
        <w:ind w:firstLine="640" w:firstLineChars="200"/>
        <w:jc w:val="center"/>
        <w:rPr>
          <w:rFonts w:hint="default" w:ascii="Times New Roman" w:hAnsi="Times New Roman" w:eastAsia="仿宋" w:cs="Times New Roman"/>
          <w:color w:val="000000"/>
          <w:kern w:val="0"/>
          <w:sz w:val="32"/>
          <w:szCs w:val="32"/>
        </w:rPr>
      </w:pPr>
    </w:p>
    <w:p w14:paraId="0A123DD1">
      <w:pPr>
        <w:widowControl/>
        <w:ind w:firstLine="640" w:firstLineChars="200"/>
        <w:jc w:val="center"/>
        <w:rPr>
          <w:rFonts w:hint="default" w:ascii="Times New Roman" w:hAnsi="Times New Roman" w:eastAsia="仿宋" w:cs="Times New Roman"/>
          <w:color w:val="000000"/>
          <w:kern w:val="0"/>
          <w:sz w:val="32"/>
          <w:szCs w:val="32"/>
        </w:rPr>
      </w:pPr>
    </w:p>
    <w:p w14:paraId="47E92488">
      <w:pPr>
        <w:widowControl/>
        <w:ind w:firstLine="640" w:firstLineChars="200"/>
        <w:jc w:val="center"/>
        <w:rPr>
          <w:rFonts w:hint="default" w:ascii="Times New Roman" w:hAnsi="Times New Roman" w:eastAsia="仿宋" w:cs="Times New Roman"/>
          <w:color w:val="000000"/>
          <w:kern w:val="0"/>
          <w:sz w:val="32"/>
          <w:szCs w:val="32"/>
        </w:rPr>
      </w:pPr>
    </w:p>
    <w:p w14:paraId="645AEB90">
      <w:pPr>
        <w:widowControl/>
        <w:ind w:firstLine="640" w:firstLineChars="200"/>
        <w:jc w:val="center"/>
        <w:rPr>
          <w:rFonts w:hint="default" w:ascii="Times New Roman" w:hAnsi="Times New Roman" w:eastAsia="仿宋" w:cs="Times New Roman"/>
          <w:color w:val="000000"/>
          <w:kern w:val="0"/>
          <w:sz w:val="32"/>
          <w:szCs w:val="32"/>
        </w:rPr>
      </w:pPr>
    </w:p>
    <w:p w14:paraId="4443FF52">
      <w:pPr>
        <w:widowControl/>
        <w:ind w:firstLine="640" w:firstLineChars="200"/>
        <w:jc w:val="center"/>
        <w:rPr>
          <w:rFonts w:hint="default" w:ascii="Times New Roman" w:hAnsi="Times New Roman" w:eastAsia="仿宋" w:cs="Times New Roman"/>
          <w:color w:val="000000"/>
          <w:kern w:val="0"/>
          <w:sz w:val="32"/>
          <w:szCs w:val="32"/>
        </w:rPr>
      </w:pPr>
    </w:p>
    <w:p w14:paraId="7A3A1D12">
      <w:pPr>
        <w:widowControl/>
        <w:ind w:firstLine="640" w:firstLineChars="200"/>
        <w:jc w:val="center"/>
        <w:rPr>
          <w:rFonts w:hint="default" w:ascii="Times New Roman" w:hAnsi="Times New Roman" w:eastAsia="仿宋" w:cs="Times New Roman"/>
          <w:color w:val="000000"/>
          <w:kern w:val="0"/>
          <w:sz w:val="32"/>
          <w:szCs w:val="32"/>
        </w:rPr>
      </w:pPr>
    </w:p>
    <w:p w14:paraId="6607D622">
      <w:pPr>
        <w:widowControl/>
        <w:ind w:firstLine="640" w:firstLineChars="200"/>
        <w:jc w:val="center"/>
        <w:rPr>
          <w:rFonts w:hint="default" w:ascii="Times New Roman" w:hAnsi="Times New Roman" w:eastAsia="仿宋" w:cs="Times New Roman"/>
          <w:color w:val="000000"/>
          <w:kern w:val="0"/>
          <w:sz w:val="32"/>
          <w:szCs w:val="32"/>
        </w:rPr>
      </w:pPr>
    </w:p>
    <w:p w14:paraId="2AB92D2F">
      <w:pPr>
        <w:widowControl/>
        <w:ind w:firstLine="640" w:firstLineChars="200"/>
        <w:jc w:val="center"/>
        <w:rPr>
          <w:rFonts w:hint="default" w:ascii="Times New Roman" w:hAnsi="Times New Roman" w:eastAsia="仿宋" w:cs="Times New Roman"/>
          <w:color w:val="000000"/>
          <w:kern w:val="0"/>
          <w:sz w:val="32"/>
          <w:szCs w:val="32"/>
        </w:rPr>
      </w:pPr>
    </w:p>
    <w:p w14:paraId="610E8D88">
      <w:pPr>
        <w:widowControl/>
        <w:ind w:firstLine="640" w:firstLineChars="200"/>
        <w:jc w:val="center"/>
        <w:rPr>
          <w:rFonts w:hint="default" w:ascii="Times New Roman" w:hAnsi="Times New Roman" w:eastAsia="仿宋" w:cs="Times New Roman"/>
          <w:color w:val="000000"/>
          <w:kern w:val="0"/>
          <w:sz w:val="32"/>
          <w:szCs w:val="32"/>
        </w:rPr>
      </w:pPr>
    </w:p>
    <w:p w14:paraId="7DDAE04E">
      <w:pPr>
        <w:widowControl/>
        <w:ind w:firstLine="640" w:firstLineChars="200"/>
        <w:jc w:val="center"/>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株洲市芦淞区卫生健康综合监督执法大队</w:t>
      </w:r>
    </w:p>
    <w:p w14:paraId="4E6038C1">
      <w:pPr>
        <w:spacing w:line="560" w:lineRule="exact"/>
        <w:rPr>
          <w:rFonts w:hint="default" w:ascii="Times New Roman" w:hAnsi="Times New Roman" w:eastAsia="黑体" w:cs="Times New Roman"/>
          <w:color w:val="000000"/>
          <w:kern w:val="0"/>
          <w:sz w:val="32"/>
          <w:szCs w:val="32"/>
        </w:rPr>
      </w:pPr>
    </w:p>
    <w:p w14:paraId="4DE21AF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color w:val="000000"/>
          <w:kern w:val="0"/>
          <w:sz w:val="32"/>
          <w:szCs w:val="32"/>
        </w:rPr>
      </w:pPr>
    </w:p>
    <w:p w14:paraId="02BD939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color w:val="000000"/>
          <w:kern w:val="0"/>
          <w:sz w:val="32"/>
          <w:szCs w:val="32"/>
        </w:rPr>
      </w:pPr>
    </w:p>
    <w:p w14:paraId="73E1B56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一、基本情况</w:t>
      </w:r>
    </w:p>
    <w:p w14:paraId="4D5C0057">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楷体_GB2312" w:hAnsi="楷体_GB2312" w:eastAsia="楷体_GB2312" w:cs="楷体_GB2312"/>
          <w:b/>
          <w:bCs/>
        </w:rPr>
      </w:pPr>
      <w:r>
        <w:rPr>
          <w:rFonts w:hint="default" w:ascii="楷体_GB2312" w:hAnsi="楷体_GB2312" w:eastAsia="楷体_GB2312" w:cs="楷体_GB2312"/>
          <w:b/>
          <w:bCs/>
        </w:rPr>
        <w:t>（一）预算单位基本情况</w:t>
      </w:r>
    </w:p>
    <w:p w14:paraId="04B0AFC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rPr>
        <w:t>株洲市芦淞区卫生健康综合监督执法大队（以下简称“区卫健执法大队”）是芦淞区人民政府主管卫生健康综合监督执法的副科级全额拨款事业单位，核定事业编制12名，为区</w:t>
      </w:r>
      <w:r>
        <w:rPr>
          <w:rFonts w:hint="eastAsia" w:ascii="Times New Roman" w:hAnsi="Times New Roman" w:eastAsia="仿宋_GB2312" w:cs="Times New Roman"/>
          <w:kern w:val="0"/>
          <w:sz w:val="32"/>
          <w:szCs w:val="32"/>
          <w:lang w:eastAsia="zh-CN"/>
        </w:rPr>
        <w:t>卫生健康局</w:t>
      </w:r>
      <w:r>
        <w:rPr>
          <w:rFonts w:hint="default" w:ascii="Times New Roman" w:hAnsi="Times New Roman" w:eastAsia="仿宋_GB2312" w:cs="Times New Roman"/>
          <w:kern w:val="0"/>
          <w:sz w:val="32"/>
          <w:szCs w:val="32"/>
        </w:rPr>
        <w:t>所属副科级全额拨款事业单位。</w:t>
      </w:r>
      <w:r>
        <w:rPr>
          <w:rFonts w:hint="default" w:ascii="Times New Roman" w:hAnsi="Times New Roman" w:eastAsia="仿宋_GB2312" w:cs="Times New Roman"/>
          <w:sz w:val="32"/>
          <w:szCs w:val="32"/>
        </w:rPr>
        <w:t xml:space="preserve">株洲市芦淞区卫生健康综合监督执法大队内设机构包括：办公室、职业卫生监督股、环境卫生与学校卫生监督股、 医疗机构与计划生育监督股4个股室。 </w:t>
      </w:r>
    </w:p>
    <w:p w14:paraId="1F264012">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楷体_GB2312" w:hAnsi="楷体_GB2312" w:eastAsia="楷体_GB2312" w:cs="楷体_GB2312"/>
          <w:b/>
          <w:bCs/>
        </w:rPr>
      </w:pPr>
      <w:r>
        <w:rPr>
          <w:rFonts w:hint="default" w:ascii="楷体_GB2312" w:hAnsi="楷体_GB2312" w:eastAsia="楷体_GB2312" w:cs="楷体_GB2312"/>
          <w:b/>
          <w:bCs/>
        </w:rPr>
        <w:t>（二）预算单位整体支出绩效目标</w:t>
      </w:r>
    </w:p>
    <w:p w14:paraId="6868AFB7">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b/>
          <w:bCs/>
        </w:rPr>
        <w:t>1</w:t>
      </w:r>
      <w:r>
        <w:rPr>
          <w:rFonts w:hint="eastAsia" w:cs="Times New Roman"/>
          <w:b/>
          <w:bCs/>
          <w:lang w:val="en-US" w:eastAsia="zh-CN"/>
        </w:rPr>
        <w:t>.</w:t>
      </w:r>
      <w:r>
        <w:rPr>
          <w:rFonts w:hint="default" w:ascii="Times New Roman" w:hAnsi="Times New Roman" w:eastAsia="仿宋_GB2312" w:cs="Times New Roman"/>
          <w:b/>
          <w:bCs/>
        </w:rPr>
        <w:t>整体支出绩效目标：</w:t>
      </w:r>
      <w:r>
        <w:rPr>
          <w:rFonts w:hint="default" w:ascii="Times New Roman" w:hAnsi="Times New Roman" w:eastAsia="仿宋_GB2312" w:cs="Times New Roman"/>
        </w:rPr>
        <w:t>（1）进一步加强公共卫生、医疗卫生、职业卫生和计划生育的现场综合行政执法与监督及违法案件的查处力度。（2）加强辖区各类医疗机构（含中医医疗机构）医疗行为的监督执法，确保打击非法行医、非法采供血的整治工作卓有成效。（3）建立相对安全的公共场所、生活饮用水、消毒卫生、学校卫生、职业卫生、医疗卫生环境，努力为人民群众卫生健康提供安全保障。（4）完善卫生监管体系，切实做到全覆盖。为了防止传染病的全面爆发，让辖区宾馆、美容美发、网吧、KTV、游泳馆、二次供水等场所，确保从业人员的健康证持有率为100%。</w:t>
      </w:r>
    </w:p>
    <w:p w14:paraId="41DFD255">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b/>
          <w:bCs/>
        </w:rPr>
        <w:t>2</w:t>
      </w:r>
      <w:r>
        <w:rPr>
          <w:rFonts w:hint="eastAsia" w:cs="Times New Roman"/>
          <w:b/>
          <w:bCs/>
          <w:lang w:val="en-US" w:eastAsia="zh-CN"/>
        </w:rPr>
        <w:t>.</w:t>
      </w:r>
      <w:r>
        <w:rPr>
          <w:rFonts w:hint="default" w:ascii="Times New Roman" w:hAnsi="Times New Roman" w:eastAsia="仿宋_GB2312" w:cs="Times New Roman"/>
          <w:b/>
          <w:bCs/>
        </w:rPr>
        <w:t>公共卫生监督执法项目绩效目标：</w:t>
      </w:r>
      <w:r>
        <w:rPr>
          <w:rFonts w:hint="default" w:ascii="Times New Roman" w:hAnsi="Times New Roman" w:eastAsia="仿宋_GB2312" w:cs="Times New Roman"/>
        </w:rPr>
        <w:t>（1）进一步加强公共卫生、医疗卫生、职业卫生和计划生育的现场综合行政执法与监督及违法案件的查处力度。（2）加强辖区各类医疗机构（含中医医疗机构）医疗行为的监督执法，确保打击非法行医、非法采供血的整治工作卓有成效。（3）建立相对安全的公共场所、生活饮用水、消毒卫生、学校卫生、职业卫生、医疗卫生环境，努力为人民群众卫生健康提供安全保障。</w:t>
      </w:r>
    </w:p>
    <w:p w14:paraId="18C3C8A6">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b/>
          <w:bCs/>
        </w:rPr>
        <w:t>3、预防性健康体检项目目标：</w:t>
      </w:r>
      <w:r>
        <w:rPr>
          <w:rFonts w:hint="default" w:ascii="Times New Roman" w:hAnsi="Times New Roman" w:eastAsia="仿宋_GB2312" w:cs="Times New Roman"/>
        </w:rPr>
        <w:t>为了防止传染病的全面爆发，让辖区宾馆、美容美发、网吧、KTV、游泳馆、二次供水等场所，确保从业人员的健康证持有率为100%。</w:t>
      </w:r>
    </w:p>
    <w:p w14:paraId="5F7E6B2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二、一般公共预算财政拨款支出情况</w:t>
      </w:r>
    </w:p>
    <w:p w14:paraId="58B83FAA">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eastAsia" w:ascii="楷体_GB2312" w:hAnsi="楷体_GB2312" w:eastAsia="楷体_GB2312" w:cs="楷体_GB2312"/>
          <w:b/>
          <w:bCs/>
        </w:rPr>
      </w:pPr>
      <w:r>
        <w:rPr>
          <w:rFonts w:hint="eastAsia" w:ascii="楷体_GB2312" w:hAnsi="楷体_GB2312" w:eastAsia="楷体_GB2312" w:cs="楷体_GB2312"/>
          <w:b/>
          <w:bCs/>
        </w:rPr>
        <w:t>（一）基本支出情况</w:t>
      </w:r>
    </w:p>
    <w:p w14:paraId="6B45E50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1.年初预算资金213.4万元。</w:t>
      </w:r>
    </w:p>
    <w:p w14:paraId="702883B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2.单位年度一般公共预算财政拨款收入192.18万元。</w:t>
      </w:r>
    </w:p>
    <w:p w14:paraId="3BAED6E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3.单位年度一般公共预算财政拨款支出192.18万元，其中：基本支出140.14万元：人员经费125.46万元，公用经费14.68万元。</w:t>
      </w:r>
    </w:p>
    <w:p w14:paraId="5FE6863C">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（二）项目支出情况</w:t>
      </w:r>
    </w:p>
    <w:p w14:paraId="1DF16457">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一般公共预算财政拨款项目支出总计</w:t>
      </w:r>
      <w:r>
        <w:rPr>
          <w:rFonts w:hint="default" w:ascii="Times New Roman" w:hAnsi="Times New Roman" w:eastAsia="仿宋_GB2312" w:cs="Times New Roman"/>
          <w:sz w:val="32"/>
          <w:szCs w:val="32"/>
          <w:lang w:val="en-US" w:eastAsia="zh-CN"/>
        </w:rPr>
        <w:t>52.03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 非税项目支出2.4万元。（2）预防性体检项目21.91万元。（3）公共卫生监督执法项目27.72万元。</w:t>
      </w:r>
    </w:p>
    <w:p w14:paraId="76CF562A">
      <w:pPr>
        <w:pStyle w:val="1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56124A79">
      <w:pPr>
        <w:pStyle w:val="14"/>
        <w:spacing w:line="60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14:paraId="6079B14F">
      <w:pPr>
        <w:pStyle w:val="1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266EBCA2">
      <w:pPr>
        <w:pStyle w:val="14"/>
        <w:spacing w:line="60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14:paraId="3CCC40C5">
      <w:pPr>
        <w:pStyle w:val="1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3D5AE571">
      <w:pPr>
        <w:pStyle w:val="14"/>
        <w:spacing w:line="60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14:paraId="15500BC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、资金使用及绩效情况</w:t>
      </w:r>
    </w:p>
    <w:p w14:paraId="79B1E2EE">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b/>
          <w:bCs/>
        </w:rPr>
      </w:pPr>
      <w:r>
        <w:rPr>
          <w:rFonts w:hint="default" w:ascii="Times New Roman" w:hAnsi="Times New Roman" w:eastAsia="仿宋_GB2312" w:cs="Times New Roman"/>
          <w:b/>
          <w:bCs/>
        </w:rPr>
        <w:t>（一）部门整体支出绩效情况</w:t>
      </w:r>
    </w:p>
    <w:p w14:paraId="489B8EA7">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b/>
          <w:bCs/>
        </w:rPr>
      </w:pPr>
      <w:r>
        <w:rPr>
          <w:rFonts w:hint="default" w:ascii="Times New Roman" w:hAnsi="Times New Roman" w:eastAsia="仿宋_GB2312" w:cs="Times New Roman"/>
          <w:b/>
          <w:bCs/>
        </w:rPr>
        <w:t>1</w:t>
      </w:r>
      <w:r>
        <w:rPr>
          <w:rFonts w:hint="eastAsia" w:cs="Times New Roman"/>
          <w:b/>
          <w:bCs/>
          <w:lang w:val="en-US" w:eastAsia="zh-CN"/>
        </w:rPr>
        <w:t>.</w:t>
      </w:r>
      <w:r>
        <w:rPr>
          <w:rFonts w:hint="default" w:ascii="Times New Roman" w:hAnsi="Times New Roman" w:eastAsia="仿宋_GB2312" w:cs="Times New Roman"/>
          <w:b/>
          <w:bCs/>
        </w:rPr>
        <w:t>整体绩效目标完成情况</w:t>
      </w:r>
    </w:p>
    <w:p w14:paraId="71750C6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（1）全面提升党建工作质量，推进党建工作建设</w:t>
      </w:r>
    </w:p>
    <w:p w14:paraId="332242D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2022年围绕“干部能力提升年”要求，大力实施卫生健康综合监督执法能力提升工程，将党建与业务深度融合，切实履行党建工作主体责任，加强执法队伍建设</w:t>
      </w:r>
      <w:r>
        <w:rPr>
          <w:rFonts w:hint="default" w:ascii="Times New Roman" w:hAnsi="Times New Roman" w:eastAsia="仿宋_GB2312" w:cs="Times New Roman"/>
          <w:bCs/>
          <w:color w:val="000000"/>
          <w:sz w:val="32"/>
          <w:szCs w:val="32"/>
        </w:rPr>
        <w:t>。支委会全年</w:t>
      </w:r>
      <w:r>
        <w:rPr>
          <w:rFonts w:hint="default" w:ascii="Times New Roman" w:hAnsi="Times New Roman" w:eastAsia="仿宋_GB2312" w:cs="Times New Roman"/>
          <w:sz w:val="32"/>
          <w:szCs w:val="32"/>
        </w:rPr>
        <w:t>开展主题党日活动12次，</w:t>
      </w:r>
      <w:r>
        <w:rPr>
          <w:rFonts w:hint="default" w:ascii="Times New Roman" w:hAnsi="Times New Roman" w:eastAsia="仿宋_GB2312" w:cs="Times New Roman"/>
          <w:bCs/>
          <w:color w:val="000000"/>
          <w:sz w:val="32"/>
          <w:szCs w:val="32"/>
        </w:rPr>
        <w:t>接收两名预备党员转正，吸收接纳预备党员两名、入党积极分子一名。</w:t>
      </w:r>
    </w:p>
    <w:p w14:paraId="007BFEB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（2）加强医疗安全监管，推进卫生监督与疫情防控工作</w:t>
      </w:r>
    </w:p>
    <w:p w14:paraId="0C7B96C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2022年对辖区226家医疗机构开展监督检查，查处2起口腔科诊所非医师行医违法行为，社会面劝导关停2户涉嫌非法医疗行为并虚假宣传的中医馆，村卫生室日常监督中查处违法案件3起；在辖区医疗机构内推行电子化医废垃圾处置管理，规范使用“医废e管”平台；完成民营医院专项整治、实验室生物安全专项整治、美容机构专项、“健康口腔”、医疗废物专项整治、消字号抗（抑）菌制剂非法添加专项、放射专项整治等各类专项任务，对存在问题的单位当场责令限期整改，存在严重问题的医疗机构立案查处，切实规范医疗机构行为；坚持常态化疫情防控卫生监督不放松，在11月疫情期间协助集中隔离管控组完成全区所有隔离点的设置、隔离流程规范运行、工作人员防护等工作，并每日对集中隔离点开展日常监督，确保隔离点各项工作有序开展。</w:t>
      </w:r>
    </w:p>
    <w:p w14:paraId="4B6FC3C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（3）拓展监管范围，推进学校与公共场所卫生监督</w:t>
      </w:r>
    </w:p>
    <w:p w14:paraId="117A880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2022年对全区39家中小学进行卫生监督，切实加强饮用水卫生、传染病防控、教学环境、生活设施卫生情况，以护苗专项行动为契机，联合区疾控中心对辖区8家学校、9家幼儿园的水质进行抽检，水样均达到标准。夏季，针对辖区各游泳场所开展游泳池专项监督，组织辖区游泳场所负责人召开座谈会，对游泳场所常见问题进行通报，并邀请疾控专家对游泳场所水质相关要求和自检方法进行培训；结合疫情防控工作对辖区住宿行业开展住宿行业专项整治，完成辖区所有住宿场所监督全覆盖，对存在的问题提出整改意见并要求其限期整改；圆满完成各项国家双随机任务。</w:t>
      </w:r>
    </w:p>
    <w:p w14:paraId="368860D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（4）探索包容审慎监管，推进职业卫生监督</w:t>
      </w:r>
    </w:p>
    <w:p w14:paraId="4F1E1BE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2022年结合职业卫生工作现状，对辖区职业卫生企业开展全覆盖日常监督，完成“护工”专项整治、职业病危害因素检测评价专项执法行动、“尘、毒、噪”专项整治等工作。4月底开展职业病防治宣传周活动，前往各企业宣传职业病防治相关知识和法律法规，发放宣传资料500余份；6月组织辖区卫生协管员召开职业卫生危害专项整治工作培训会暨职业危害摸底调查工作部署会，扎实推进我区职业卫生监督管理，并通过摸底调查进一步完善职业卫生本底；8月在市局指导下完成今年首年职业卫生国家双随机任务。组织辖区卫生监督员和协管员开展职业卫生培训工作，邀请专家从监督执法、职业卫生专业技术等方面开展培训，切实提高辖区卫生协管职业卫生监督水平。</w:t>
      </w:r>
    </w:p>
    <w:p w14:paraId="53CE5531">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b/>
          <w:bCs/>
          <w:sz w:val="32"/>
          <w:szCs w:val="32"/>
        </w:rPr>
        <w:t>2.产出指标完成情况</w:t>
      </w:r>
    </w:p>
    <w:p w14:paraId="0C5C8C80">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（1）数量指标</w:t>
      </w:r>
      <w:r>
        <w:rPr>
          <w:rStyle w:val="16"/>
          <w:rFonts w:hint="eastAsia" w:cs="Times New Roman"/>
          <w:sz w:val="32"/>
          <w:szCs w:val="32"/>
        </w:rPr>
        <w:t>。</w:t>
      </w:r>
      <w:r>
        <w:rPr>
          <w:rFonts w:hint="default" w:ascii="Times New Roman" w:hAnsi="Times New Roman" w:eastAsia="仿宋_GB2312" w:cs="Times New Roman"/>
          <w:szCs w:val="32"/>
        </w:rPr>
        <w:t>2022年全年共出动监督员1131余人次，出动车辆467余台次，</w:t>
      </w:r>
      <w:r>
        <w:rPr>
          <w:rFonts w:hint="default" w:ascii="Times New Roman" w:hAnsi="Times New Roman" w:eastAsia="仿宋_GB2312" w:cs="Times New Roman"/>
          <w:color w:val="000000"/>
          <w:kern w:val="0"/>
          <w:szCs w:val="32"/>
        </w:rPr>
        <w:t>发放宣传材料2000余份，制作医疗普法小视频1份，下达意见书1038份，受理投诉59起；立案109起，其中一般程序案件40起，简易程序案件69起，共计罚款人民币17.39万元</w:t>
      </w:r>
      <w:r>
        <w:rPr>
          <w:rStyle w:val="16"/>
          <w:rFonts w:hint="default" w:ascii="Times New Roman" w:hAnsi="Times New Roman" w:eastAsia="仿宋_GB2312" w:cs="Times New Roman"/>
          <w:color w:val="000000"/>
          <w:sz w:val="32"/>
          <w:szCs w:val="32"/>
          <w:lang w:val="zh-CN"/>
        </w:rPr>
        <w:t>。</w:t>
      </w:r>
    </w:p>
    <w:p w14:paraId="243FCD1D">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（2）质量指标</w:t>
      </w:r>
      <w:r>
        <w:rPr>
          <w:rStyle w:val="16"/>
          <w:rFonts w:hint="eastAsia" w:cs="Times New Roman"/>
          <w:sz w:val="32"/>
          <w:szCs w:val="32"/>
        </w:rPr>
        <w:t>。</w:t>
      </w:r>
      <w:r>
        <w:rPr>
          <w:rStyle w:val="16"/>
          <w:rFonts w:hint="default" w:ascii="Times New Roman" w:hAnsi="Times New Roman" w:eastAsia="仿宋_GB2312" w:cs="Times New Roman"/>
          <w:sz w:val="32"/>
          <w:szCs w:val="32"/>
        </w:rPr>
        <w:t>按省市区的考核细则完成相关任务。</w:t>
      </w:r>
    </w:p>
    <w:p w14:paraId="57FF6F60">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（3）时效指标</w:t>
      </w:r>
      <w:r>
        <w:rPr>
          <w:rStyle w:val="16"/>
          <w:rFonts w:hint="eastAsia" w:cs="Times New Roman"/>
          <w:sz w:val="32"/>
          <w:szCs w:val="32"/>
        </w:rPr>
        <w:t>。</w:t>
      </w:r>
      <w:r>
        <w:rPr>
          <w:rStyle w:val="16"/>
          <w:rFonts w:hint="default" w:ascii="Times New Roman" w:hAnsi="Times New Roman" w:eastAsia="仿宋_GB2312" w:cs="Times New Roman"/>
          <w:sz w:val="32"/>
          <w:szCs w:val="32"/>
        </w:rPr>
        <w:t>项目均在2022年底前完成。</w:t>
      </w:r>
    </w:p>
    <w:p w14:paraId="66EEFB84">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b/>
          <w:bCs/>
          <w:sz w:val="32"/>
          <w:szCs w:val="32"/>
        </w:rPr>
        <w:t>3.效益指标完成情况</w:t>
      </w:r>
    </w:p>
    <w:p w14:paraId="0F01C860">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（1）经济效益指标</w:t>
      </w:r>
      <w:r>
        <w:rPr>
          <w:rStyle w:val="16"/>
          <w:rFonts w:hint="eastAsia" w:cs="Times New Roman"/>
          <w:sz w:val="32"/>
          <w:szCs w:val="32"/>
        </w:rPr>
        <w:t>。</w:t>
      </w:r>
      <w:r>
        <w:rPr>
          <w:rStyle w:val="16"/>
          <w:rFonts w:hint="default" w:ascii="Times New Roman" w:hAnsi="Times New Roman" w:eastAsia="仿宋_GB2312" w:cs="Times New Roman"/>
          <w:sz w:val="32"/>
          <w:szCs w:val="32"/>
        </w:rPr>
        <w:t>产生罚没收入17.39万元</w:t>
      </w:r>
    </w:p>
    <w:p w14:paraId="1AA0933B">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（2）社会效益指标</w:t>
      </w:r>
      <w:r>
        <w:rPr>
          <w:rStyle w:val="16"/>
          <w:rFonts w:hint="eastAsia" w:cs="Times New Roman"/>
          <w:sz w:val="32"/>
          <w:szCs w:val="32"/>
        </w:rPr>
        <w:t>。</w:t>
      </w:r>
      <w:r>
        <w:rPr>
          <w:rStyle w:val="16"/>
          <w:rFonts w:hint="default" w:ascii="Times New Roman" w:hAnsi="Times New Roman" w:eastAsia="仿宋_GB2312" w:cs="Times New Roman"/>
          <w:sz w:val="32"/>
          <w:szCs w:val="32"/>
        </w:rPr>
        <w:t>为人民群众公共卫生健康提供安全保障。</w:t>
      </w:r>
    </w:p>
    <w:p w14:paraId="346BD2BF">
      <w:pPr>
        <w:pStyle w:val="9"/>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firstLine="640" w:firstLineChars="200"/>
        <w:jc w:val="both"/>
        <w:rPr>
          <w:rStyle w:val="16"/>
          <w:rFonts w:hint="default" w:ascii="Times New Roman" w:hAnsi="Times New Roman" w:eastAsia="仿宋_GB2312" w:cs="Times New Roman"/>
          <w:kern w:val="0"/>
          <w:sz w:val="32"/>
          <w:szCs w:val="32"/>
        </w:rPr>
      </w:pPr>
      <w:r>
        <w:rPr>
          <w:rStyle w:val="16"/>
          <w:rFonts w:hint="default" w:ascii="Times New Roman" w:hAnsi="Times New Roman" w:eastAsia="仿宋_GB2312" w:cs="Times New Roman"/>
          <w:sz w:val="32"/>
          <w:szCs w:val="32"/>
        </w:rPr>
        <w:t>（3）可持续影响指标</w:t>
      </w:r>
      <w:r>
        <w:rPr>
          <w:rStyle w:val="16"/>
          <w:rFonts w:hint="eastAsia" w:cs="Times New Roman"/>
          <w:sz w:val="32"/>
          <w:szCs w:val="32"/>
        </w:rPr>
        <w:t>。</w:t>
      </w:r>
      <w:r>
        <w:rPr>
          <w:rStyle w:val="16"/>
          <w:rFonts w:hint="default" w:ascii="Times New Roman" w:hAnsi="Times New Roman" w:eastAsia="仿宋_GB2312" w:cs="Times New Roman"/>
          <w:kern w:val="0"/>
          <w:sz w:val="32"/>
          <w:szCs w:val="32"/>
        </w:rPr>
        <w:t>促进人口性别比例协调发展</w:t>
      </w:r>
    </w:p>
    <w:p w14:paraId="7AA55CBB">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Style w:val="16"/>
          <w:rFonts w:hint="default" w:ascii="Times New Roman" w:hAnsi="Times New Roman" w:eastAsia="仿宋_GB2312" w:cs="Times New Roman"/>
          <w:b/>
          <w:bCs/>
          <w:sz w:val="32"/>
          <w:szCs w:val="32"/>
        </w:rPr>
      </w:pPr>
      <w:r>
        <w:rPr>
          <w:rStyle w:val="16"/>
          <w:rFonts w:hint="default" w:ascii="Times New Roman" w:hAnsi="Times New Roman" w:eastAsia="仿宋_GB2312" w:cs="Times New Roman"/>
          <w:b/>
          <w:bCs/>
          <w:sz w:val="32"/>
          <w:szCs w:val="32"/>
        </w:rPr>
        <w:t>4.满意度指标完成情况</w:t>
      </w:r>
    </w:p>
    <w:p w14:paraId="0FD3B9EE">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2022年服务对象满意度投诉率为0。</w:t>
      </w:r>
    </w:p>
    <w:p w14:paraId="4F9CA0D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（二）专项资金支出绩效情况</w:t>
      </w:r>
    </w:p>
    <w:p w14:paraId="5D242E70">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bCs/>
          <w:sz w:val="32"/>
          <w:szCs w:val="32"/>
          <w:lang w:val="en-US" w:eastAsia="zh-CN"/>
        </w:rPr>
        <w:t>公共卫生监督执法项目</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color w:val="000000"/>
          <w:kern w:val="0"/>
          <w:sz w:val="32"/>
          <w:szCs w:val="32"/>
        </w:rPr>
        <w:t>对辖区226家医疗机构开展监督检查；在辖区医疗机构内推行电子化医废垃圾处置管理，规范使用“医废e管”平台；完成民营医院专项整治、实验室生物安全专项整治、美容机构专项、“健康口腔”、医疗废物专项整治、消字号抗（抑）菌制剂非法添加专项、放射专项整治等各类专项任务；对全区39家中小学进行卫生监督，切实加强饮用水卫生、传染病防控、教学环境、生活设施卫生情况；</w:t>
      </w:r>
      <w:r>
        <w:rPr>
          <w:rFonts w:hint="default" w:ascii="Times New Roman" w:hAnsi="Times New Roman" w:eastAsia="仿宋_GB2312" w:cs="Times New Roman"/>
          <w:sz w:val="32"/>
          <w:szCs w:val="32"/>
        </w:rPr>
        <w:t>全年共出动监督员1131余人次，出动车辆467余台次，</w:t>
      </w:r>
      <w:r>
        <w:rPr>
          <w:rFonts w:hint="default" w:ascii="Times New Roman" w:hAnsi="Times New Roman" w:eastAsia="仿宋_GB2312" w:cs="Times New Roman"/>
          <w:color w:val="000000"/>
          <w:kern w:val="0"/>
          <w:sz w:val="32"/>
          <w:szCs w:val="32"/>
        </w:rPr>
        <w:t>发放宣传材料2000余份，制作医疗普法小视频1份，下达意见书1038份，受理投诉59起；立案109起，其中一般程序案件40起，简易程序案件69起，共计罚款人民币17.39万元</w:t>
      </w:r>
      <w:r>
        <w:rPr>
          <w:rFonts w:hint="default" w:ascii="Times New Roman" w:hAnsi="Times New Roman" w:eastAsia="仿宋_GB2312" w:cs="Times New Roman"/>
          <w:color w:val="000000"/>
          <w:kern w:val="0"/>
          <w:sz w:val="32"/>
          <w:szCs w:val="32"/>
          <w:lang w:eastAsia="zh-CN"/>
        </w:rPr>
        <w:t>。</w:t>
      </w:r>
    </w:p>
    <w:p w14:paraId="18261439">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b/>
          <w:bCs/>
          <w:color w:val="000000"/>
          <w:kern w:val="0"/>
          <w:sz w:val="32"/>
          <w:szCs w:val="32"/>
          <w:lang w:val="en-US" w:eastAsia="zh-CN"/>
        </w:rPr>
        <w:t>预防性体检项目</w:t>
      </w:r>
      <w:r>
        <w:rPr>
          <w:rFonts w:hint="eastAsia" w:cs="Times New Roman"/>
          <w:b/>
          <w:bCs/>
          <w:color w:val="000000"/>
          <w:kern w:val="0"/>
          <w:sz w:val="32"/>
          <w:szCs w:val="32"/>
          <w:lang w:val="en-US" w:eastAsia="zh-CN"/>
        </w:rPr>
        <w:t>。</w:t>
      </w:r>
      <w:r>
        <w:rPr>
          <w:rFonts w:hint="default" w:ascii="Times New Roman" w:hAnsi="Times New Roman" w:eastAsia="仿宋_GB2312" w:cs="Times New Roman"/>
          <w:kern w:val="0"/>
          <w:sz w:val="32"/>
          <w:szCs w:val="32"/>
        </w:rPr>
        <w:t>组织辖区卫生监督员和协管员开展职业卫生培训工作</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 w:val="0"/>
          <w:bCs w:val="0"/>
          <w:color w:val="000000"/>
          <w:kern w:val="0"/>
          <w:sz w:val="32"/>
          <w:szCs w:val="32"/>
          <w:lang w:val="en-US" w:eastAsia="zh-CN"/>
        </w:rPr>
        <w:t>办理</w:t>
      </w:r>
      <w:r>
        <w:rPr>
          <w:rFonts w:hint="default" w:ascii="Times New Roman" w:hAnsi="Times New Roman" w:eastAsia="仿宋_GB2312" w:cs="Times New Roman"/>
        </w:rPr>
        <w:t>辖区</w:t>
      </w:r>
      <w:r>
        <w:rPr>
          <w:rFonts w:hint="default" w:ascii="Times New Roman" w:hAnsi="Times New Roman" w:eastAsia="仿宋_GB2312" w:cs="Times New Roman"/>
          <w:lang w:val="en-US" w:eastAsia="zh-CN"/>
        </w:rPr>
        <w:t>内</w:t>
      </w:r>
      <w:r>
        <w:rPr>
          <w:rFonts w:hint="default" w:ascii="Times New Roman" w:hAnsi="Times New Roman" w:eastAsia="仿宋_GB2312" w:cs="Times New Roman"/>
        </w:rPr>
        <w:t>宾馆、美容美发、网吧、KTV、游泳馆、二次供水等场所从业人员的健康证</w:t>
      </w:r>
      <w:r>
        <w:rPr>
          <w:rFonts w:hint="default" w:ascii="Times New Roman" w:hAnsi="Times New Roman" w:eastAsia="仿宋_GB2312" w:cs="Times New Roman"/>
          <w:lang w:val="en-US" w:eastAsia="zh-CN"/>
        </w:rPr>
        <w:t>3984人次</w:t>
      </w:r>
      <w:r>
        <w:rPr>
          <w:rFonts w:hint="default" w:ascii="Times New Roman" w:hAnsi="Times New Roman" w:eastAsia="仿宋_GB2312" w:cs="Times New Roman"/>
        </w:rPr>
        <w:t>。</w:t>
      </w:r>
    </w:p>
    <w:p w14:paraId="5A860C6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、资金管理及绩效存在的主要问题</w:t>
      </w:r>
    </w:p>
    <w:p w14:paraId="57296C3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Style w:val="16"/>
          <w:rFonts w:hint="default" w:ascii="Times New Roman" w:hAnsi="Times New Roman" w:eastAsia="仿宋_GB2312" w:cs="Times New Roman"/>
          <w:color w:val="000000"/>
          <w:kern w:val="0"/>
          <w:sz w:val="32"/>
          <w:szCs w:val="32"/>
          <w:highlight w:val="none"/>
        </w:rPr>
      </w:pPr>
      <w:r>
        <w:rPr>
          <w:rStyle w:val="16"/>
          <w:rFonts w:hint="default" w:ascii="Times New Roman" w:hAnsi="Times New Roman" w:eastAsia="仿宋_GB2312" w:cs="Times New Roman"/>
          <w:color w:val="000000"/>
          <w:kern w:val="0"/>
          <w:sz w:val="32"/>
          <w:szCs w:val="32"/>
          <w:highlight w:val="none"/>
        </w:rPr>
        <w:t>2022年本单位较好地完成了各项收入支出预算，</w:t>
      </w:r>
      <w:r>
        <w:rPr>
          <w:rStyle w:val="16"/>
          <w:rFonts w:hint="eastAsia" w:ascii="Times New Roman" w:hAnsi="Times New Roman" w:eastAsia="仿宋_GB2312" w:cs="Times New Roman"/>
          <w:color w:val="000000"/>
          <w:kern w:val="0"/>
          <w:sz w:val="32"/>
          <w:szCs w:val="32"/>
          <w:highlight w:val="none"/>
        </w:rPr>
        <w:t>但在</w:t>
      </w:r>
      <w:r>
        <w:rPr>
          <w:rStyle w:val="16"/>
          <w:rFonts w:hint="default" w:ascii="Times New Roman" w:hAnsi="Times New Roman" w:eastAsia="仿宋_GB2312" w:cs="Times New Roman"/>
          <w:color w:val="000000"/>
          <w:kern w:val="0"/>
          <w:sz w:val="32"/>
          <w:szCs w:val="32"/>
          <w:highlight w:val="none"/>
        </w:rPr>
        <w:t>经费支出科学化、精细化管理上有待加强</w:t>
      </w:r>
      <w:r>
        <w:rPr>
          <w:rStyle w:val="16"/>
          <w:rFonts w:hint="eastAsia" w:ascii="Times New Roman" w:hAnsi="Times New Roman" w:eastAsia="仿宋_GB2312" w:cs="Times New Roman"/>
          <w:color w:val="000000"/>
          <w:kern w:val="0"/>
          <w:sz w:val="32"/>
          <w:szCs w:val="32"/>
          <w:highlight w:val="none"/>
        </w:rPr>
        <w:t>，统筹协调不够，因财政资金紧张，支付进度缓慢，不能及时解决项目实施过程中存在的问题，难以确保项目实现预期目标。</w:t>
      </w:r>
    </w:p>
    <w:p w14:paraId="6384596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sz w:val="32"/>
          <w:szCs w:val="32"/>
        </w:rPr>
      </w:pPr>
      <w:r>
        <w:rPr>
          <w:rStyle w:val="16"/>
          <w:rFonts w:hint="eastAsia" w:ascii="黑体" w:hAnsi="黑体" w:eastAsia="黑体" w:cs="黑体"/>
          <w:b/>
          <w:bCs/>
          <w:sz w:val="32"/>
          <w:szCs w:val="32"/>
        </w:rPr>
        <w:t>八、</w:t>
      </w:r>
      <w:r>
        <w:rPr>
          <w:rFonts w:hint="eastAsia" w:ascii="黑体" w:hAnsi="黑体" w:eastAsia="黑体" w:cs="黑体"/>
          <w:sz w:val="32"/>
          <w:szCs w:val="32"/>
        </w:rPr>
        <w:t>下一步改进措施</w:t>
      </w:r>
    </w:p>
    <w:p w14:paraId="59F2CFA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bCs/>
          <w:sz w:val="32"/>
          <w:szCs w:val="32"/>
        </w:rPr>
        <w:t>1.</w:t>
      </w:r>
      <w:r>
        <w:rPr>
          <w:rStyle w:val="16"/>
          <w:rFonts w:hint="default" w:ascii="Times New Roman" w:hAnsi="Times New Roman" w:eastAsia="仿宋_GB2312" w:cs="Times New Roman"/>
          <w:sz w:val="32"/>
          <w:szCs w:val="32"/>
        </w:rPr>
        <w:t>增加基本公共卫生项目经费，进一步加强公共卫生、医疗卫生、职业卫生和计划生育的现场综合行政执法与监督及违法案件的查处力度。2.加强辖区各类医疗机构（含中医医疗机构）医疗行为的监督执法，确保打击非法行医、非法采供血的整治工作卓有成效。3.建立相对安全的公共场所、生活饮用水、消毒卫生、学校卫生、职业卫生、医疗卫生环境，努力为人民群众卫生健康提供安全保障。</w:t>
      </w:r>
    </w:p>
    <w:p w14:paraId="0DA5275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Style w:val="16"/>
          <w:rFonts w:hint="default" w:ascii="Times New Roman" w:hAnsi="Times New Roman" w:eastAsia="仿宋_GB2312" w:cs="Times New Roman"/>
          <w:sz w:val="32"/>
          <w:szCs w:val="32"/>
        </w:rPr>
      </w:pPr>
      <w:r>
        <w:rPr>
          <w:rStyle w:val="16"/>
          <w:rFonts w:hint="default" w:ascii="Times New Roman" w:hAnsi="Times New Roman" w:eastAsia="仿宋_GB2312" w:cs="Times New Roman"/>
          <w:sz w:val="32"/>
          <w:szCs w:val="32"/>
        </w:rPr>
        <w:t>2.建立信息共享机制，加快项目资金的拨付和使用进度，确保项目工作的顺利开展，达到预期效果。</w:t>
      </w:r>
    </w:p>
    <w:p w14:paraId="15F8740F">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黑体" w:cs="Times New Roman"/>
        </w:rPr>
      </w:pPr>
      <w:r>
        <w:rPr>
          <w:rFonts w:hint="eastAsia" w:eastAsia="黑体" w:cs="Times New Roman"/>
          <w:lang w:eastAsia="zh-CN"/>
        </w:rPr>
        <w:t>九</w:t>
      </w:r>
      <w:r>
        <w:rPr>
          <w:rFonts w:hint="default" w:ascii="Times New Roman" w:hAnsi="Times New Roman" w:eastAsia="黑体" w:cs="Times New Roman"/>
        </w:rPr>
        <w:t>、绩效自评结果拟应用和公开情况</w:t>
      </w:r>
    </w:p>
    <w:p w14:paraId="1A390A95">
      <w:pPr>
        <w:pStyle w:val="9"/>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通过绩效自评，我单位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绩效自评报告完成后将依法</w:t>
      </w:r>
      <w:r>
        <w:rPr>
          <w:rFonts w:hint="default" w:ascii="Times New Roman" w:hAnsi="Times New Roman" w:eastAsia="仿宋_GB2312" w:cs="Times New Roman"/>
          <w:szCs w:val="32"/>
        </w:rPr>
        <w:t>芦淞区政府信息公开专栏中及时公开,</w:t>
      </w:r>
      <w:r>
        <w:rPr>
          <w:rFonts w:hint="default" w:ascii="Times New Roman" w:hAnsi="Times New Roman" w:eastAsia="仿宋_GB2312" w:cs="Times New Roman"/>
        </w:rPr>
        <w:t>接受社会监督。</w:t>
      </w:r>
    </w:p>
    <w:p w14:paraId="5DB8428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63F0357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D7715C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kern w:val="0"/>
          <w:sz w:val="32"/>
          <w:szCs w:val="32"/>
        </w:rPr>
      </w:pPr>
    </w:p>
    <w:p w14:paraId="18AA19A2">
      <w:pPr>
        <w:ind w:firstLine="1049" w:firstLineChars="328"/>
        <w:jc w:val="right"/>
        <w:rPr>
          <w:rFonts w:hint="default" w:ascii="Times New Roman" w:hAnsi="Times New Roman" w:eastAsia="仿宋" w:cs="Times New Roman"/>
          <w:kern w:val="0"/>
          <w:sz w:val="32"/>
          <w:szCs w:val="32"/>
        </w:rPr>
      </w:pPr>
    </w:p>
    <w:p w14:paraId="7F4EB1D2">
      <w:pPr>
        <w:spacing w:line="560" w:lineRule="exact"/>
        <w:ind w:firstLine="560" w:firstLineChars="200"/>
        <w:jc w:val="center"/>
        <w:rPr>
          <w:rFonts w:hint="default" w:ascii="Times New Roman" w:hAnsi="Times New Roman" w:eastAsia="仿宋_GB2312" w:cs="Times New Roman"/>
          <w:sz w:val="28"/>
          <w:szCs w:val="28"/>
        </w:rPr>
      </w:pPr>
    </w:p>
    <w:p w14:paraId="71A6E5C2">
      <w:pPr>
        <w:ind w:firstLine="640" w:firstLineChars="200"/>
        <w:jc w:val="left"/>
        <w:rPr>
          <w:rFonts w:hint="default" w:ascii="Times New Roman" w:hAnsi="Times New Roman" w:cs="Times New Roman"/>
          <w:color w:val="000000"/>
          <w:kern w:val="0"/>
          <w:sz w:val="32"/>
          <w:szCs w:val="32"/>
        </w:rPr>
      </w:pPr>
    </w:p>
    <w:sectPr>
      <w:pgSz w:w="11906" w:h="16838"/>
      <w:pgMar w:top="1440" w:right="1440"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DC7A15-14F1-4D9C-B478-667C21A56C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0A011C-0188-4618-8718-5ADB6A9A9BA2}"/>
  </w:font>
  <w:font w:name="仿宋_GB2312">
    <w:altName w:val="仿宋"/>
    <w:panose1 w:val="02010609030101010101"/>
    <w:charset w:val="86"/>
    <w:family w:val="modern"/>
    <w:pitch w:val="default"/>
    <w:sig w:usb0="00000000" w:usb1="00000000" w:usb2="00000000" w:usb3="00000000" w:csb0="00040000" w:csb1="00000000"/>
    <w:embedRegular r:id="rId3" w:fontKey="{BD3D6C5B-9F58-4CF9-B947-A318CB7EA658}"/>
  </w:font>
  <w:font w:name="方正小标宋简体">
    <w:panose1 w:val="02000000000000000000"/>
    <w:charset w:val="86"/>
    <w:family w:val="auto"/>
    <w:pitch w:val="default"/>
    <w:sig w:usb0="00000001" w:usb1="08000000" w:usb2="00000000" w:usb3="00000000" w:csb0="00040000" w:csb1="00000000"/>
    <w:embedRegular r:id="rId4" w:fontKey="{D5AC2D27-0FE3-401C-9428-47621F34851F}"/>
  </w:font>
  <w:font w:name="仿宋">
    <w:panose1 w:val="02010609060101010101"/>
    <w:charset w:val="86"/>
    <w:family w:val="modern"/>
    <w:pitch w:val="default"/>
    <w:sig w:usb0="800002BF" w:usb1="38CF7CFA" w:usb2="00000016" w:usb3="00000000" w:csb0="00040001" w:csb1="00000000"/>
    <w:embedRegular r:id="rId5" w:fontKey="{D5B181AE-1BF2-489C-968F-0C1478ADEDB1}"/>
  </w:font>
  <w:font w:name="楷体_GB2312">
    <w:altName w:val="楷体"/>
    <w:panose1 w:val="02010609030101010101"/>
    <w:charset w:val="86"/>
    <w:family w:val="modern"/>
    <w:pitch w:val="default"/>
    <w:sig w:usb0="00000000" w:usb1="00000000" w:usb2="00000000" w:usb3="00000000" w:csb0="00040000" w:csb1="00000000"/>
    <w:embedRegular r:id="rId6" w:fontKey="{FBF58EFA-A9DF-471F-8851-C70BC81CB558}"/>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NzMxMmQ0NTJlMjhmMTIxODM1OGMwOGE1NWVmYTYifQ=="/>
  </w:docVars>
  <w:rsids>
    <w:rsidRoot w:val="004506F9"/>
    <w:rsid w:val="000120AE"/>
    <w:rsid w:val="0002229B"/>
    <w:rsid w:val="000273BD"/>
    <w:rsid w:val="000322DD"/>
    <w:rsid w:val="000415B7"/>
    <w:rsid w:val="00041E3F"/>
    <w:rsid w:val="00055DAA"/>
    <w:rsid w:val="00061F7B"/>
    <w:rsid w:val="000620E8"/>
    <w:rsid w:val="000658A3"/>
    <w:rsid w:val="00074155"/>
    <w:rsid w:val="000873EF"/>
    <w:rsid w:val="000A3F69"/>
    <w:rsid w:val="000A79D0"/>
    <w:rsid w:val="00103957"/>
    <w:rsid w:val="00124A1F"/>
    <w:rsid w:val="00152C6D"/>
    <w:rsid w:val="00162D39"/>
    <w:rsid w:val="001678BD"/>
    <w:rsid w:val="00182373"/>
    <w:rsid w:val="0019106C"/>
    <w:rsid w:val="00195E98"/>
    <w:rsid w:val="001A67DB"/>
    <w:rsid w:val="001B66B6"/>
    <w:rsid w:val="001C3C29"/>
    <w:rsid w:val="001D51E5"/>
    <w:rsid w:val="001E080D"/>
    <w:rsid w:val="001E53D0"/>
    <w:rsid w:val="001F0C3B"/>
    <w:rsid w:val="00202C14"/>
    <w:rsid w:val="00202C82"/>
    <w:rsid w:val="00214427"/>
    <w:rsid w:val="00226CB7"/>
    <w:rsid w:val="002305C1"/>
    <w:rsid w:val="00264552"/>
    <w:rsid w:val="00264EF9"/>
    <w:rsid w:val="00265724"/>
    <w:rsid w:val="0027426B"/>
    <w:rsid w:val="002C1379"/>
    <w:rsid w:val="002E0A30"/>
    <w:rsid w:val="003130C4"/>
    <w:rsid w:val="00316C4B"/>
    <w:rsid w:val="0032192B"/>
    <w:rsid w:val="003479BD"/>
    <w:rsid w:val="0037197D"/>
    <w:rsid w:val="003768D5"/>
    <w:rsid w:val="00393622"/>
    <w:rsid w:val="003A702C"/>
    <w:rsid w:val="003C2687"/>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84D2F"/>
    <w:rsid w:val="00590D9F"/>
    <w:rsid w:val="00595D26"/>
    <w:rsid w:val="005A74E6"/>
    <w:rsid w:val="005B404E"/>
    <w:rsid w:val="005D4D55"/>
    <w:rsid w:val="005E2CFB"/>
    <w:rsid w:val="005E7486"/>
    <w:rsid w:val="005F2103"/>
    <w:rsid w:val="005F3D1C"/>
    <w:rsid w:val="0062378F"/>
    <w:rsid w:val="00627010"/>
    <w:rsid w:val="00641842"/>
    <w:rsid w:val="00651EEC"/>
    <w:rsid w:val="00661872"/>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4E47"/>
    <w:rsid w:val="008277D9"/>
    <w:rsid w:val="0084478C"/>
    <w:rsid w:val="00860485"/>
    <w:rsid w:val="00863407"/>
    <w:rsid w:val="0086638C"/>
    <w:rsid w:val="008A3E8D"/>
    <w:rsid w:val="009237C4"/>
    <w:rsid w:val="00944C48"/>
    <w:rsid w:val="00950252"/>
    <w:rsid w:val="00957AA9"/>
    <w:rsid w:val="00967F5D"/>
    <w:rsid w:val="009A0F95"/>
    <w:rsid w:val="009B3ADF"/>
    <w:rsid w:val="009C3B52"/>
    <w:rsid w:val="009E6817"/>
    <w:rsid w:val="009E6E9A"/>
    <w:rsid w:val="00A01D2B"/>
    <w:rsid w:val="00A42218"/>
    <w:rsid w:val="00A62837"/>
    <w:rsid w:val="00A70249"/>
    <w:rsid w:val="00A70B02"/>
    <w:rsid w:val="00A71D9F"/>
    <w:rsid w:val="00A92E9F"/>
    <w:rsid w:val="00B24859"/>
    <w:rsid w:val="00B33BEA"/>
    <w:rsid w:val="00B34E56"/>
    <w:rsid w:val="00B40B7A"/>
    <w:rsid w:val="00B424CC"/>
    <w:rsid w:val="00B57C9F"/>
    <w:rsid w:val="00B63572"/>
    <w:rsid w:val="00B845B3"/>
    <w:rsid w:val="00B85D8B"/>
    <w:rsid w:val="00BA420A"/>
    <w:rsid w:val="00BB4A40"/>
    <w:rsid w:val="00BD6C3E"/>
    <w:rsid w:val="00BE3674"/>
    <w:rsid w:val="00C10681"/>
    <w:rsid w:val="00C3049A"/>
    <w:rsid w:val="00C31B1E"/>
    <w:rsid w:val="00C60FC6"/>
    <w:rsid w:val="00C7678E"/>
    <w:rsid w:val="00C77645"/>
    <w:rsid w:val="00C82D46"/>
    <w:rsid w:val="00CE04C3"/>
    <w:rsid w:val="00CE76A0"/>
    <w:rsid w:val="00D148C6"/>
    <w:rsid w:val="00D17A8A"/>
    <w:rsid w:val="00D415BA"/>
    <w:rsid w:val="00D63780"/>
    <w:rsid w:val="00D644EE"/>
    <w:rsid w:val="00D75489"/>
    <w:rsid w:val="00DD06FF"/>
    <w:rsid w:val="00DD5FE9"/>
    <w:rsid w:val="00E00C7A"/>
    <w:rsid w:val="00E11298"/>
    <w:rsid w:val="00E209CF"/>
    <w:rsid w:val="00E37D6C"/>
    <w:rsid w:val="00E55B68"/>
    <w:rsid w:val="00E67BE6"/>
    <w:rsid w:val="00E8683C"/>
    <w:rsid w:val="00EA2B72"/>
    <w:rsid w:val="00F00FAE"/>
    <w:rsid w:val="00F74360"/>
    <w:rsid w:val="00FB462F"/>
    <w:rsid w:val="00FE16FA"/>
    <w:rsid w:val="00FE328A"/>
    <w:rsid w:val="00FE6269"/>
    <w:rsid w:val="00FF5CD6"/>
    <w:rsid w:val="038A3960"/>
    <w:rsid w:val="09C61AC8"/>
    <w:rsid w:val="0F112A38"/>
    <w:rsid w:val="14E8498B"/>
    <w:rsid w:val="15A5287C"/>
    <w:rsid w:val="17800EAB"/>
    <w:rsid w:val="182757CA"/>
    <w:rsid w:val="217B182F"/>
    <w:rsid w:val="22C75BE0"/>
    <w:rsid w:val="3D3E2AEA"/>
    <w:rsid w:val="45E70381"/>
    <w:rsid w:val="49276B29"/>
    <w:rsid w:val="4CE51935"/>
    <w:rsid w:val="4D4001B9"/>
    <w:rsid w:val="4F0022F6"/>
    <w:rsid w:val="50401F62"/>
    <w:rsid w:val="55A60B96"/>
    <w:rsid w:val="55FE768A"/>
    <w:rsid w:val="57581BB3"/>
    <w:rsid w:val="582D58F6"/>
    <w:rsid w:val="5A007200"/>
    <w:rsid w:val="5B7025B1"/>
    <w:rsid w:val="5C223426"/>
    <w:rsid w:val="5C3D6937"/>
    <w:rsid w:val="61B6442D"/>
    <w:rsid w:val="679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color w:val="000000"/>
      <w:kern w:val="0"/>
      <w:sz w:val="24"/>
    </w:rPr>
  </w:style>
  <w:style w:type="paragraph" w:customStyle="1" w:styleId="9">
    <w:name w:val="BodyText1I2"/>
    <w:basedOn w:val="10"/>
    <w:qFormat/>
    <w:uiPriority w:val="0"/>
    <w:pPr>
      <w:ind w:firstLine="420" w:firstLineChars="200"/>
    </w:pPr>
    <w:rPr>
      <w:rFonts w:ascii="Times New Roman" w:hAnsi="Times New Roman" w:eastAsia="仿宋_GB2312"/>
      <w:sz w:val="32"/>
    </w:rPr>
  </w:style>
  <w:style w:type="paragraph" w:customStyle="1" w:styleId="10">
    <w:name w:val="BodyTextIndent"/>
    <w:basedOn w:val="1"/>
    <w:qFormat/>
    <w:uiPriority w:val="0"/>
    <w:pPr>
      <w:spacing w:after="120"/>
      <w:ind w:left="420" w:leftChars="200"/>
      <w:textAlignment w:val="baseline"/>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 w:type="character" w:customStyle="1" w:styleId="16">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7">
    <w:name w:val="HtmlNormal"/>
    <w:basedOn w:val="1"/>
    <w:qFormat/>
    <w:uiPriority w:val="0"/>
    <w:pPr>
      <w:spacing w:before="100" w:beforeAutospacing="1" w:after="100" w:afterAutospacing="1"/>
      <w:jc w:val="left"/>
      <w:textAlignment w:val="baseline"/>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7F80-4915-4179-BA7B-354F9905FC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442</Words>
  <Characters>2525</Characters>
  <Lines>21</Lines>
  <Paragraphs>5</Paragraphs>
  <TotalTime>23</TotalTime>
  <ScaleCrop>false</ScaleCrop>
  <LinksUpToDate>false</LinksUpToDate>
  <CharactersWithSpaces>2962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Ming</cp:lastModifiedBy>
  <cp:lastPrinted>2022-07-27T12:55:00Z</cp:lastPrinted>
  <dcterms:modified xsi:type="dcterms:W3CDTF">2025-12-13T04:34:44Z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AA29D693CDEF4F3A88F6B4BA7B922728_13</vt:lpwstr>
  </property>
</Properties>
</file>