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6EC5B">
      <w:pPr>
        <w:keepNext w:val="0"/>
        <w:keepLines w:val="0"/>
        <w:pageBreakBefore w:val="0"/>
        <w:kinsoku/>
        <w:wordWrap/>
        <w:overflowPunct/>
        <w:topLinePunct w:val="0"/>
        <w:autoSpaceDE/>
        <w:bidi w:val="0"/>
        <w:adjustRightInd/>
        <w:spacing w:line="560" w:lineRule="exact"/>
        <w:jc w:val="both"/>
        <w:textAlignment w:val="auto"/>
        <w:rPr>
          <w:rFonts w:hint="eastAsia" w:ascii="仿宋_GB2312" w:hAnsi="仿宋_GB2312" w:eastAsia="仿宋_GB2312" w:cs="仿宋_GB2312"/>
          <w:color w:val="auto"/>
          <w:sz w:val="32"/>
          <w:szCs w:val="32"/>
          <w:highlight w:val="none"/>
          <w:lang w:eastAsia="zh-CN"/>
        </w:rPr>
      </w:pPr>
    </w:p>
    <w:p w14:paraId="206F074A">
      <w:pPr>
        <w:keepNext w:val="0"/>
        <w:keepLines w:val="0"/>
        <w:pageBreakBefore w:val="0"/>
        <w:kinsoku/>
        <w:wordWrap/>
        <w:overflowPunct/>
        <w:topLinePunct w:val="0"/>
        <w:autoSpaceDE/>
        <w:bidi w:val="0"/>
        <w:adjustRightInd/>
        <w:spacing w:line="560" w:lineRule="exact"/>
        <w:jc w:val="both"/>
        <w:textAlignment w:val="auto"/>
        <w:rPr>
          <w:rFonts w:hint="eastAsia" w:ascii="仿宋_GB2312" w:hAnsi="仿宋_GB2312" w:eastAsia="仿宋_GB2312" w:cs="仿宋_GB2312"/>
          <w:color w:val="auto"/>
          <w:sz w:val="32"/>
          <w:szCs w:val="32"/>
          <w:highlight w:val="none"/>
          <w:lang w:eastAsia="zh-CN"/>
        </w:rPr>
      </w:pPr>
    </w:p>
    <w:p w14:paraId="68B24451">
      <w:pPr>
        <w:keepNext w:val="0"/>
        <w:keepLines w:val="0"/>
        <w:pageBreakBefore w:val="0"/>
        <w:kinsoku/>
        <w:wordWrap/>
        <w:overflowPunct/>
        <w:topLinePunct w:val="0"/>
        <w:autoSpaceDE/>
        <w:bidi w:val="0"/>
        <w:adjustRightInd/>
        <w:spacing w:line="560" w:lineRule="exact"/>
        <w:jc w:val="both"/>
        <w:textAlignment w:val="auto"/>
        <w:rPr>
          <w:rFonts w:hint="eastAsia" w:ascii="仿宋_GB2312" w:hAnsi="仿宋_GB2312" w:eastAsia="仿宋_GB2312" w:cs="仿宋_GB2312"/>
          <w:color w:val="auto"/>
          <w:sz w:val="32"/>
          <w:szCs w:val="32"/>
          <w:highlight w:val="none"/>
          <w:lang w:eastAsia="zh-CN"/>
        </w:rPr>
      </w:pPr>
    </w:p>
    <w:p w14:paraId="471207DF">
      <w:pPr>
        <w:keepNext w:val="0"/>
        <w:keepLines w:val="0"/>
        <w:pageBreakBefore w:val="0"/>
        <w:kinsoku/>
        <w:wordWrap/>
        <w:overflowPunct/>
        <w:topLinePunct w:val="0"/>
        <w:autoSpaceDE/>
        <w:bidi w:val="0"/>
        <w:adjustRightInd/>
        <w:spacing w:line="560" w:lineRule="exact"/>
        <w:jc w:val="both"/>
        <w:textAlignment w:val="auto"/>
        <w:rPr>
          <w:rFonts w:hint="eastAsia" w:ascii="仿宋_GB2312" w:hAnsi="仿宋_GB2312" w:eastAsia="仿宋_GB2312" w:cs="仿宋_GB2312"/>
          <w:color w:val="auto"/>
          <w:sz w:val="32"/>
          <w:szCs w:val="32"/>
          <w:highlight w:val="none"/>
          <w:lang w:eastAsia="zh-CN"/>
        </w:rPr>
      </w:pPr>
    </w:p>
    <w:p w14:paraId="080FA52D">
      <w:pPr>
        <w:keepNext w:val="0"/>
        <w:keepLines w:val="0"/>
        <w:pageBreakBefore w:val="0"/>
        <w:kinsoku/>
        <w:wordWrap/>
        <w:overflowPunct/>
        <w:topLinePunct w:val="0"/>
        <w:autoSpaceDE/>
        <w:bidi w:val="0"/>
        <w:adjustRightInd/>
        <w:spacing w:line="560" w:lineRule="exact"/>
        <w:jc w:val="both"/>
        <w:textAlignment w:val="auto"/>
        <w:rPr>
          <w:rFonts w:hint="eastAsia" w:ascii="仿宋_GB2312" w:hAnsi="仿宋_GB2312" w:eastAsia="仿宋_GB2312" w:cs="仿宋_GB2312"/>
          <w:color w:val="auto"/>
          <w:sz w:val="32"/>
          <w:szCs w:val="32"/>
          <w:highlight w:val="none"/>
          <w:lang w:eastAsia="zh-CN"/>
        </w:rPr>
      </w:pPr>
    </w:p>
    <w:p w14:paraId="38800FD5">
      <w:pPr>
        <w:keepNext w:val="0"/>
        <w:keepLines w:val="0"/>
        <w:pageBreakBefore w:val="0"/>
        <w:kinsoku/>
        <w:wordWrap/>
        <w:overflowPunct/>
        <w:topLinePunct w:val="0"/>
        <w:autoSpaceDE/>
        <w:bidi w:val="0"/>
        <w:adjustRightInd/>
        <w:spacing w:line="560" w:lineRule="exact"/>
        <w:jc w:val="center"/>
        <w:textAlignment w:val="auto"/>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z w:val="32"/>
          <w:szCs w:val="32"/>
          <w:highlight w:val="none"/>
          <w:lang w:eastAsia="zh-CN"/>
        </w:rPr>
        <w:t>炎</w:t>
      </w:r>
      <w:r>
        <w:rPr>
          <w:rFonts w:hint="eastAsia" w:ascii="仿宋_GB2312" w:hAnsi="仿宋_GB2312" w:eastAsia="仿宋_GB2312" w:cs="仿宋_GB2312"/>
          <w:color w:val="auto"/>
          <w:sz w:val="32"/>
          <w:szCs w:val="32"/>
          <w:highlight w:val="none"/>
        </w:rPr>
        <w:t>民发〔20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号</w:t>
      </w:r>
    </w:p>
    <w:p w14:paraId="047B8670">
      <w:pPr>
        <w:pStyle w:val="15"/>
        <w:keepNext w:val="0"/>
        <w:keepLines w:val="0"/>
        <w:pageBreakBefore w:val="0"/>
        <w:widowControl w:val="0"/>
        <w:tabs>
          <w:tab w:val="left" w:pos="4603"/>
        </w:tabs>
        <w:kinsoku/>
        <w:wordWrap/>
        <w:overflowPunct/>
        <w:topLinePunct w:val="0"/>
        <w:autoSpaceDE/>
        <w:autoSpaceDN/>
        <w:bidi w:val="0"/>
        <w:adjustRightInd/>
        <w:snapToGrid/>
        <w:spacing w:line="560" w:lineRule="exact"/>
        <w:ind w:left="0" w:firstLine="0"/>
        <w:jc w:val="both"/>
        <w:textAlignment w:val="auto"/>
        <w:rPr>
          <w:rFonts w:hint="eastAsia" w:ascii="方正小标宋简体" w:hAnsi="方正小标宋简体" w:eastAsia="方正小标宋简体" w:cs="方正小标宋简体"/>
          <w:b w:val="0"/>
          <w:bCs w:val="0"/>
          <w:color w:val="auto"/>
          <w:spacing w:val="0"/>
          <w:sz w:val="44"/>
          <w:szCs w:val="44"/>
          <w:highlight w:val="none"/>
          <w:lang w:val="en" w:eastAsia="zh-CN"/>
        </w:rPr>
      </w:pPr>
    </w:p>
    <w:p w14:paraId="07174491">
      <w:pPr>
        <w:pStyle w:val="15"/>
        <w:keepNext w:val="0"/>
        <w:keepLines w:val="0"/>
        <w:pageBreakBefore w:val="0"/>
        <w:widowControl w:val="0"/>
        <w:tabs>
          <w:tab w:val="left" w:pos="4603"/>
        </w:tabs>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val="en" w:eastAsia="zh-CN"/>
        </w:rPr>
        <w:t>关于印发《炎陵县</w:t>
      </w:r>
      <w:r>
        <w:rPr>
          <w:rFonts w:hint="default" w:ascii="方正小标宋简体" w:hAnsi="方正小标宋简体" w:eastAsia="方正小标宋简体" w:cs="方正小标宋简体"/>
          <w:b w:val="0"/>
          <w:bCs w:val="0"/>
          <w:color w:val="auto"/>
          <w:spacing w:val="0"/>
          <w:sz w:val="44"/>
          <w:szCs w:val="44"/>
          <w:highlight w:val="none"/>
          <w:lang w:val="en" w:eastAsia="zh-CN"/>
        </w:rPr>
        <w:t>社会救助</w:t>
      </w:r>
      <w:r>
        <w:rPr>
          <w:rFonts w:hint="eastAsia" w:ascii="方正小标宋简体" w:hAnsi="方正小标宋简体" w:eastAsia="方正小标宋简体" w:cs="方正小标宋简体"/>
          <w:b w:val="0"/>
          <w:bCs w:val="0"/>
          <w:color w:val="auto"/>
          <w:spacing w:val="0"/>
          <w:sz w:val="44"/>
          <w:szCs w:val="44"/>
          <w:highlight w:val="none"/>
          <w:lang w:eastAsia="zh-CN"/>
        </w:rPr>
        <w:t>家庭经济状况核算</w:t>
      </w:r>
    </w:p>
    <w:p w14:paraId="6D5859A0">
      <w:pPr>
        <w:pStyle w:val="15"/>
        <w:keepNext w:val="0"/>
        <w:keepLines w:val="0"/>
        <w:pageBreakBefore w:val="0"/>
        <w:widowControl w:val="0"/>
        <w:tabs>
          <w:tab w:val="left" w:pos="4603"/>
        </w:tabs>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eastAsia="zh-CN"/>
        </w:rPr>
        <w:t>评估实施细则</w:t>
      </w:r>
      <w:r>
        <w:rPr>
          <w:rFonts w:hint="eastAsia" w:ascii="方正小标宋简体" w:hAnsi="方正小标宋简体" w:eastAsia="方正小标宋简体" w:cs="方正小标宋简体"/>
          <w:b w:val="0"/>
          <w:bCs w:val="0"/>
          <w:color w:val="auto"/>
          <w:spacing w:val="0"/>
          <w:sz w:val="44"/>
          <w:szCs w:val="44"/>
          <w:highlight w:val="none"/>
          <w:lang w:val="en" w:eastAsia="zh-CN"/>
        </w:rPr>
        <w:t>》</w:t>
      </w:r>
      <w:r>
        <w:rPr>
          <w:rFonts w:hint="eastAsia" w:ascii="方正小标宋简体" w:hAnsi="方正小标宋简体" w:eastAsia="方正小标宋简体" w:cs="方正小标宋简体"/>
          <w:b w:val="0"/>
          <w:bCs w:val="0"/>
          <w:color w:val="auto"/>
          <w:spacing w:val="0"/>
          <w:sz w:val="44"/>
          <w:szCs w:val="44"/>
          <w:highlight w:val="none"/>
          <w:lang w:eastAsia="zh-CN"/>
        </w:rPr>
        <w:t>的通知</w:t>
      </w:r>
    </w:p>
    <w:p w14:paraId="1F389DED">
      <w:pPr>
        <w:pStyle w:val="15"/>
        <w:keepNext w:val="0"/>
        <w:keepLines w:val="0"/>
        <w:pageBreakBefore w:val="0"/>
        <w:widowControl w:val="0"/>
        <w:tabs>
          <w:tab w:val="left" w:pos="4603"/>
        </w:tabs>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14:paraId="0C13686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各乡镇人民政府、大院农场：</w:t>
      </w:r>
    </w:p>
    <w:p w14:paraId="10C83C84">
      <w:pPr>
        <w:keepNext w:val="0"/>
        <w:keepLines w:val="0"/>
        <w:pageBreakBefore w:val="0"/>
        <w:widowControl w:val="0"/>
        <w:kinsoku/>
        <w:wordWrap/>
        <w:overflowPunct/>
        <w:topLinePunct w:val="0"/>
        <w:autoSpaceDE/>
        <w:bidi w:val="0"/>
        <w:adjustRightInd/>
        <w:snapToGrid/>
        <w:spacing w:line="560" w:lineRule="exact"/>
        <w:ind w:firstLine="640" w:firstLineChars="200"/>
        <w:jc w:val="left"/>
        <w:textAlignment w:val="auto"/>
        <w:rPr>
          <w:rFonts w:hint="default" w:ascii="Times New Roman" w:hAnsi="Times New Roman" w:eastAsia="..ì." w:cs="Times New Roman"/>
          <w:color w:val="auto"/>
          <w:highlight w:val="none"/>
        </w:rPr>
      </w:pPr>
      <w:r>
        <w:rPr>
          <w:rFonts w:hint="default" w:ascii="Times New Roman" w:hAnsi="Times New Roman" w:eastAsia="仿宋_GB2312" w:cs="Times New Roman"/>
          <w:color w:val="auto"/>
          <w:sz w:val="32"/>
          <w:szCs w:val="32"/>
          <w:highlight w:val="none"/>
        </w:rPr>
        <w:t>现将《</w:t>
      </w:r>
      <w:r>
        <w:rPr>
          <w:rFonts w:hint="eastAsia" w:ascii="Times New Roman" w:hAnsi="Times New Roman" w:eastAsia="仿宋_GB2312" w:cs="Times New Roman"/>
          <w:color w:val="auto"/>
          <w:sz w:val="32"/>
          <w:szCs w:val="32"/>
          <w:highlight w:val="none"/>
          <w:lang w:eastAsia="zh-CN"/>
        </w:rPr>
        <w:t>炎陵县</w:t>
      </w:r>
      <w:r>
        <w:rPr>
          <w:rFonts w:hint="default" w:ascii="Times New Roman" w:hAnsi="Times New Roman" w:eastAsia="仿宋_GB2312" w:cs="Times New Roman"/>
          <w:color w:val="auto"/>
          <w:sz w:val="32"/>
          <w:szCs w:val="32"/>
          <w:highlight w:val="none"/>
        </w:rPr>
        <w:t>社会救助家庭经济状况核算评估实施细则》印发给你们，请遵照执行。</w:t>
      </w:r>
    </w:p>
    <w:p w14:paraId="409FD733">
      <w:pPr>
        <w:pStyle w:val="19"/>
        <w:keepNext w:val="0"/>
        <w:keepLines w:val="0"/>
        <w:pageBreakBefore w:val="0"/>
        <w:widowControl w:val="0"/>
        <w:kinsoku/>
        <w:wordWrap/>
        <w:overflowPunct/>
        <w:topLinePunct w:val="0"/>
        <w:autoSpaceDE/>
        <w:bidi w:val="0"/>
        <w:adjustRightInd/>
        <w:snapToGrid/>
        <w:spacing w:line="560" w:lineRule="exact"/>
        <w:ind w:left="0" w:firstLine="6080" w:firstLineChars="1900"/>
        <w:textAlignment w:val="auto"/>
        <w:rPr>
          <w:rFonts w:hint="eastAsia" w:ascii="Times New Roman" w:eastAsia="仿宋_GB2312" w:cs="Times New Roman"/>
          <w:b w:val="0"/>
          <w:bCs w:val="0"/>
          <w:color w:val="auto"/>
          <w:kern w:val="2"/>
          <w:sz w:val="32"/>
          <w:szCs w:val="32"/>
          <w:highlight w:val="none"/>
          <w:lang w:val="en-US" w:eastAsia="zh-CN" w:bidi="ar-SA"/>
        </w:rPr>
      </w:pPr>
    </w:p>
    <w:p w14:paraId="4E5B30EE">
      <w:pPr>
        <w:pStyle w:val="19"/>
        <w:keepNext w:val="0"/>
        <w:keepLines w:val="0"/>
        <w:pageBreakBefore w:val="0"/>
        <w:widowControl w:val="0"/>
        <w:kinsoku/>
        <w:wordWrap/>
        <w:overflowPunct/>
        <w:topLinePunct w:val="0"/>
        <w:autoSpaceDE/>
        <w:bidi w:val="0"/>
        <w:adjustRightInd/>
        <w:snapToGrid/>
        <w:spacing w:line="560" w:lineRule="exact"/>
        <w:ind w:left="0" w:firstLine="6080" w:firstLineChars="1900"/>
        <w:textAlignment w:val="auto"/>
        <w:rPr>
          <w:rFonts w:hint="eastAsia" w:ascii="Times New Roman" w:eastAsia="仿宋_GB2312" w:cs="Times New Roman"/>
          <w:b w:val="0"/>
          <w:bCs w:val="0"/>
          <w:color w:val="auto"/>
          <w:kern w:val="2"/>
          <w:sz w:val="32"/>
          <w:szCs w:val="32"/>
          <w:highlight w:val="none"/>
          <w:lang w:val="en-US" w:eastAsia="zh-CN" w:bidi="ar-SA"/>
        </w:rPr>
      </w:pPr>
    </w:p>
    <w:p w14:paraId="7C25625C">
      <w:pPr>
        <w:pStyle w:val="19"/>
        <w:keepNext w:val="0"/>
        <w:keepLines w:val="0"/>
        <w:pageBreakBefore w:val="0"/>
        <w:widowControl w:val="0"/>
        <w:kinsoku/>
        <w:wordWrap/>
        <w:overflowPunct/>
        <w:topLinePunct w:val="0"/>
        <w:autoSpaceDE/>
        <w:bidi w:val="0"/>
        <w:adjustRightInd/>
        <w:snapToGrid/>
        <w:spacing w:line="560" w:lineRule="exact"/>
        <w:ind w:left="0" w:firstLine="6080" w:firstLineChars="19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eastAsia="仿宋_GB2312" w:cs="Times New Roman"/>
          <w:b w:val="0"/>
          <w:bCs w:val="0"/>
          <w:color w:val="auto"/>
          <w:kern w:val="2"/>
          <w:sz w:val="32"/>
          <w:szCs w:val="32"/>
          <w:highlight w:val="none"/>
          <w:lang w:val="en-US" w:eastAsia="zh-CN" w:bidi="ar-SA"/>
        </w:rPr>
        <w:t>炎陵县</w:t>
      </w:r>
      <w:r>
        <w:rPr>
          <w:rFonts w:hint="default" w:ascii="Times New Roman" w:hAnsi="Times New Roman" w:eastAsia="仿宋_GB2312" w:cs="Times New Roman"/>
          <w:b w:val="0"/>
          <w:bCs w:val="0"/>
          <w:color w:val="auto"/>
          <w:kern w:val="2"/>
          <w:sz w:val="32"/>
          <w:szCs w:val="32"/>
          <w:highlight w:val="none"/>
          <w:lang w:val="en-US" w:eastAsia="zh-CN" w:bidi="ar-SA"/>
        </w:rPr>
        <w:t>民政局</w:t>
      </w:r>
    </w:p>
    <w:p w14:paraId="6B809E29">
      <w:pPr>
        <w:keepNext w:val="0"/>
        <w:keepLines w:val="0"/>
        <w:pageBreakBefore w:val="0"/>
        <w:widowControl w:val="0"/>
        <w:kinsoku/>
        <w:wordWrap/>
        <w:overflowPunct/>
        <w:topLinePunct w:val="0"/>
        <w:autoSpaceDE/>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sectPr>
          <w:headerReference r:id="rId4" w:type="first"/>
          <w:headerReference r:id="rId3" w:type="default"/>
          <w:footerReference r:id="rId5" w:type="default"/>
          <w:pgSz w:w="11905" w:h="16838"/>
          <w:pgMar w:top="2098" w:right="1417" w:bottom="1984" w:left="1417" w:header="851" w:footer="992" w:gutter="0"/>
          <w:pgNumType w:fmt="decimal"/>
          <w:cols w:space="720" w:num="1"/>
          <w:titlePg/>
          <w:rtlGutter w:val="0"/>
          <w:docGrid w:linePitch="312" w:charSpace="0"/>
        </w:sectPr>
      </w:pPr>
      <w:r>
        <w:rPr>
          <w:rFonts w:hint="default" w:ascii="Times New Roman" w:hAnsi="Times New Roman" w:eastAsia="仿宋_GB2312" w:cs="Times New Roman"/>
          <w:color w:val="auto"/>
          <w:kern w:val="2"/>
          <w:sz w:val="32"/>
          <w:szCs w:val="32"/>
          <w:highlight w:val="none"/>
          <w:lang w:val="en-US" w:eastAsia="zh-CN" w:bidi="ar-SA"/>
        </w:rPr>
        <w:t>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w:t>
      </w:r>
      <w:r>
        <w:rPr>
          <w:rFonts w:hint="eastAsia" w:ascii="仿宋_GB2312" w:hAnsi="仿宋_GB2312" w:eastAsia="仿宋_GB2312" w:cs="仿宋_GB2312"/>
          <w:color w:val="auto"/>
          <w:kern w:val="2"/>
          <w:sz w:val="32"/>
          <w:szCs w:val="32"/>
          <w:highlight w:val="none"/>
          <w:lang w:val="en-US" w:eastAsia="zh-CN" w:bidi="ar-SA"/>
        </w:rPr>
        <w:t>2025年12月2日</w:t>
      </w:r>
    </w:p>
    <w:p w14:paraId="24B4B3B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val="en" w:eastAsia="zh-CN"/>
        </w:rPr>
        <w:t>炎陵县</w:t>
      </w:r>
      <w:r>
        <w:rPr>
          <w:rFonts w:hint="default" w:ascii="方正小标宋简体" w:hAnsi="方正小标宋简体" w:eastAsia="方正小标宋简体" w:cs="方正小标宋简体"/>
          <w:b w:val="0"/>
          <w:bCs w:val="0"/>
          <w:color w:val="auto"/>
          <w:spacing w:val="0"/>
          <w:sz w:val="44"/>
          <w:szCs w:val="44"/>
          <w:highlight w:val="none"/>
          <w:lang w:val="en" w:eastAsia="zh-CN"/>
        </w:rPr>
        <w:t>社会救助</w:t>
      </w:r>
      <w:r>
        <w:rPr>
          <w:rFonts w:hint="eastAsia" w:ascii="方正小标宋简体" w:hAnsi="方正小标宋简体" w:eastAsia="方正小标宋简体" w:cs="方正小标宋简体"/>
          <w:b w:val="0"/>
          <w:bCs w:val="0"/>
          <w:color w:val="auto"/>
          <w:spacing w:val="0"/>
          <w:sz w:val="44"/>
          <w:szCs w:val="44"/>
          <w:highlight w:val="none"/>
          <w:lang w:eastAsia="zh-CN"/>
        </w:rPr>
        <w:t>家庭经济状况核算评估</w:t>
      </w:r>
    </w:p>
    <w:p w14:paraId="304FE3F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eastAsia="zh-CN"/>
        </w:rPr>
        <w:t>实施细则</w:t>
      </w:r>
    </w:p>
    <w:p w14:paraId="4E3C9C2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highlight w:val="none"/>
          <w:lang w:eastAsia="zh-CN"/>
        </w:rPr>
      </w:pPr>
    </w:p>
    <w:p w14:paraId="4136059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第一章</w:t>
      </w:r>
      <w:r>
        <w:rPr>
          <w:rFonts w:hint="eastAsia" w:ascii="黑体" w:hAnsi="黑体" w:eastAsia="黑体" w:cs="黑体"/>
          <w:color w:val="auto"/>
          <w:sz w:val="32"/>
          <w:szCs w:val="32"/>
          <w:highlight w:val="none"/>
          <w:lang w:val="en-US" w:eastAsia="zh-CN"/>
        </w:rPr>
        <w:t xml:space="preserve"> 总则</w:t>
      </w:r>
    </w:p>
    <w:p w14:paraId="6862AD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第一条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为加强社会救助规范管理，准确核实社会救助家庭经济状况，全面推进救助对象精准认定，根据《社会救助暂行办法》（国务院令第649号）、</w:t>
      </w:r>
      <w:r>
        <w:rPr>
          <w:rFonts w:hint="eastAsia" w:ascii="仿宋_GB2312" w:hAnsi="仿宋_GB2312" w:eastAsia="仿宋_GB2312" w:cs="仿宋_GB2312"/>
          <w:color w:val="auto"/>
          <w:sz w:val="32"/>
          <w:szCs w:val="32"/>
          <w:highlight w:val="none"/>
          <w:lang w:val="en-US" w:eastAsia="zh-CN"/>
        </w:rPr>
        <w:t>省民政厅等五部门《关于印发&lt;湖南省社会救助家庭经济状况核算评估办法&gt;的通知》（湘民发〔2019〕31号）、省民政厅、省乡村振兴局《关于贯彻落实〈关于进一步做好最低生活保障等社会救助兜底保障工作的通知〉的通知》（湘民发〔2023〕32号）、</w:t>
      </w:r>
      <w:r>
        <w:rPr>
          <w:rFonts w:hint="eastAsia" w:ascii="仿宋_GB2312" w:hAnsi="仿宋_GB2312" w:eastAsia="仿宋_GB2312" w:cs="仿宋_GB2312"/>
          <w:color w:val="auto"/>
          <w:sz w:val="32"/>
          <w:szCs w:val="32"/>
          <w:highlight w:val="none"/>
        </w:rPr>
        <w:t>《株洲市社会救助家庭经济状况核算评估实施细则》（株民发〔202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号）等文件精神，结合我</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实际，制定本细则。</w:t>
      </w:r>
    </w:p>
    <w:p w14:paraId="188D48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第二条  </w:t>
      </w:r>
      <w:r>
        <w:rPr>
          <w:rFonts w:hint="eastAsia" w:ascii="仿宋_GB2312" w:hAnsi="仿宋_GB2312" w:eastAsia="仿宋_GB2312" w:cs="仿宋_GB2312"/>
          <w:color w:val="auto"/>
          <w:sz w:val="32"/>
          <w:szCs w:val="32"/>
          <w:highlight w:val="none"/>
          <w:lang w:val="en-US" w:eastAsia="zh-CN"/>
        </w:rPr>
        <w:t>本细则适用于最低生活保障、特困人员供养、低保边缘家庭、临时救助、刚性支出困难家庭等低收入家庭认定相关社会救助工作。</w:t>
      </w:r>
    </w:p>
    <w:p w14:paraId="52EA72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第三条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本细则坚持以下基本原则：</w:t>
      </w:r>
    </w:p>
    <w:p w14:paraId="23C196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（一）坚持诚信申报。</w:t>
      </w:r>
    </w:p>
    <w:p w14:paraId="14D48C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（二）坚持计算与评估家庭收入相结合。</w:t>
      </w:r>
    </w:p>
    <w:p w14:paraId="673B99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（三）坚持生产生活要素评价与劳动生活能力评价相结合。</w:t>
      </w:r>
    </w:p>
    <w:p w14:paraId="4104A3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bCs/>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
        </w:rPr>
        <w:t>（四）坚持公平、公正、公开。</w:t>
      </w:r>
    </w:p>
    <w:p w14:paraId="05C8E77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第四条</w:t>
      </w:r>
      <w:r>
        <w:rPr>
          <w:rFonts w:hint="eastAsia" w:ascii="仿宋_GB2312" w:hAnsi="仿宋_GB2312" w:eastAsia="仿宋_GB2312" w:cs="仿宋_GB2312"/>
          <w:color w:val="auto"/>
          <w:sz w:val="32"/>
          <w:szCs w:val="32"/>
          <w:highlight w:val="none"/>
          <w:lang w:val="en-US" w:eastAsia="zh-CN"/>
        </w:rPr>
        <w:t xml:space="preserve">  县级民政部门，经社会救助申请家庭成员书面或电子授权，可以对家庭成员的收入和财产状况进行查询。相关部门和机构应当予以配合。</w:t>
      </w:r>
    </w:p>
    <w:p w14:paraId="09B2D21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highlight w:val="none"/>
          <w:lang w:eastAsia="zh-CN"/>
        </w:rPr>
      </w:pPr>
    </w:p>
    <w:p w14:paraId="4FE30CB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color w:val="auto"/>
          <w:sz w:val="32"/>
          <w:szCs w:val="32"/>
          <w:highlight w:val="none"/>
          <w:lang w:eastAsia="zh-CN"/>
        </w:rPr>
      </w:pPr>
      <w:r>
        <w:rPr>
          <w:rFonts w:hint="eastAsia" w:ascii="黑体" w:hAnsi="黑体" w:eastAsia="黑体" w:cs="黑体"/>
          <w:color w:val="auto"/>
          <w:sz w:val="32"/>
          <w:szCs w:val="32"/>
          <w:highlight w:val="none"/>
          <w:lang w:eastAsia="zh-CN"/>
        </w:rPr>
        <w:t>第二章</w:t>
      </w:r>
      <w:r>
        <w:rPr>
          <w:rFonts w:hint="eastAsia" w:ascii="黑体" w:hAnsi="黑体" w:eastAsia="黑体" w:cs="黑体"/>
          <w:color w:val="auto"/>
          <w:sz w:val="32"/>
          <w:szCs w:val="32"/>
          <w:highlight w:val="none"/>
          <w:lang w:val="en-US" w:eastAsia="zh-CN"/>
        </w:rPr>
        <w:t xml:space="preserve"> 组织机构与职责</w:t>
      </w:r>
    </w:p>
    <w:p w14:paraId="10091FB6">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第五条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县级民政部门</w:t>
      </w:r>
      <w:r>
        <w:rPr>
          <w:rFonts w:hint="eastAsia" w:ascii="仿宋_GB2312" w:hAnsi="仿宋_GB2312" w:eastAsia="仿宋_GB2312" w:cs="仿宋_GB2312"/>
          <w:bCs/>
          <w:color w:val="auto"/>
          <w:sz w:val="32"/>
          <w:szCs w:val="32"/>
          <w:highlight w:val="none"/>
        </w:rPr>
        <w:t>成立社会救助家庭经济状况核算评估领导小组，</w:t>
      </w:r>
      <w:r>
        <w:rPr>
          <w:rFonts w:hint="eastAsia" w:ascii="仿宋_GB2312" w:hAnsi="仿宋_GB2312" w:eastAsia="仿宋_GB2312" w:cs="仿宋_GB2312"/>
          <w:bCs/>
          <w:color w:val="auto"/>
          <w:sz w:val="32"/>
          <w:szCs w:val="32"/>
          <w:highlight w:val="none"/>
          <w:lang w:eastAsia="zh-CN"/>
        </w:rPr>
        <w:t>由民政部门主要领导</w:t>
      </w:r>
      <w:r>
        <w:rPr>
          <w:rFonts w:hint="eastAsia" w:ascii="仿宋_GB2312" w:hAnsi="仿宋_GB2312" w:eastAsia="仿宋_GB2312" w:cs="仿宋_GB2312"/>
          <w:bCs/>
          <w:color w:val="auto"/>
          <w:sz w:val="32"/>
          <w:szCs w:val="32"/>
          <w:highlight w:val="none"/>
        </w:rPr>
        <w:t>任组长，分管</w:t>
      </w:r>
      <w:r>
        <w:rPr>
          <w:rFonts w:hint="eastAsia" w:ascii="仿宋_GB2312" w:hAnsi="仿宋_GB2312" w:eastAsia="仿宋_GB2312" w:cs="仿宋_GB2312"/>
          <w:bCs/>
          <w:color w:val="auto"/>
          <w:sz w:val="32"/>
          <w:szCs w:val="32"/>
          <w:highlight w:val="none"/>
          <w:lang w:eastAsia="zh-CN"/>
        </w:rPr>
        <w:t>社会救助工作领导</w:t>
      </w:r>
      <w:r>
        <w:rPr>
          <w:rFonts w:hint="eastAsia" w:ascii="仿宋_GB2312" w:hAnsi="仿宋_GB2312" w:eastAsia="仿宋_GB2312" w:cs="仿宋_GB2312"/>
          <w:bCs/>
          <w:color w:val="auto"/>
          <w:sz w:val="32"/>
          <w:szCs w:val="32"/>
          <w:highlight w:val="none"/>
        </w:rPr>
        <w:t>任副组长，社会救助股工作人员为成员</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rPr>
        <w:t>负责指导</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）开展社会救助家庭经济状况核算评估工作。</w:t>
      </w:r>
    </w:p>
    <w:p w14:paraId="66529835">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第六条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lang w:val="en-US" w:eastAsia="zh-CN"/>
        </w:rPr>
        <w:t>各</w:t>
      </w:r>
      <w:r>
        <w:rPr>
          <w:rFonts w:hint="eastAsia" w:ascii="仿宋_GB2312" w:hAnsi="仿宋_GB2312" w:eastAsia="仿宋_GB2312" w:cs="仿宋_GB2312"/>
          <w:bCs/>
          <w:color w:val="auto"/>
          <w:sz w:val="32"/>
          <w:szCs w:val="32"/>
          <w:highlight w:val="none"/>
          <w:lang w:eastAsia="zh-CN"/>
        </w:rPr>
        <w:t>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应设立社会救助家庭经济状况核算评估</w:t>
      </w:r>
      <w:r>
        <w:rPr>
          <w:rFonts w:hint="eastAsia" w:ascii="仿宋_GB2312" w:hAnsi="仿宋_GB2312" w:eastAsia="仿宋_GB2312" w:cs="仿宋_GB2312"/>
          <w:color w:val="auto"/>
          <w:sz w:val="32"/>
          <w:szCs w:val="32"/>
          <w:highlight w:val="none"/>
          <w:lang w:eastAsia="zh-CN"/>
        </w:rPr>
        <w:t>工作专班</w:t>
      </w:r>
      <w:r>
        <w:rPr>
          <w:rFonts w:hint="eastAsia" w:ascii="仿宋_GB2312" w:hAnsi="仿宋_GB2312" w:eastAsia="仿宋_GB2312" w:cs="仿宋_GB2312"/>
          <w:color w:val="auto"/>
          <w:sz w:val="32"/>
          <w:szCs w:val="32"/>
          <w:highlight w:val="none"/>
        </w:rPr>
        <w:t>，负责辖区内社会救助申请家庭经济状况核算工作，解决实际评估</w:t>
      </w:r>
      <w:r>
        <w:rPr>
          <w:rFonts w:hint="eastAsia" w:ascii="仿宋_GB2312" w:hAnsi="仿宋_GB2312" w:eastAsia="仿宋_GB2312" w:cs="仿宋_GB2312"/>
          <w:color w:val="auto"/>
          <w:sz w:val="32"/>
          <w:szCs w:val="32"/>
          <w:highlight w:val="none"/>
          <w:lang w:eastAsia="zh-CN"/>
        </w:rPr>
        <w:t>计算</w:t>
      </w:r>
      <w:r>
        <w:rPr>
          <w:rFonts w:hint="eastAsia" w:ascii="仿宋_GB2312" w:hAnsi="仿宋_GB2312" w:eastAsia="仿宋_GB2312" w:cs="仿宋_GB2312"/>
          <w:color w:val="auto"/>
          <w:sz w:val="32"/>
          <w:szCs w:val="32"/>
          <w:highlight w:val="none"/>
        </w:rPr>
        <w:t>工作中遇到的问题。</w:t>
      </w:r>
    </w:p>
    <w:p w14:paraId="5FBAFB49">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第七条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各村（居）民委员会应当主动参与社会救助申请家庭经济状况核算评估项目的内容和标准制定、宣传工作，配合</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做好社会救助申请家庭经济状况核算评估工作中的受理、调查、咨询、信访接待等工作。</w:t>
      </w:r>
    </w:p>
    <w:p w14:paraId="415D54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p>
    <w:p w14:paraId="4052FD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color w:val="auto"/>
          <w:sz w:val="32"/>
          <w:szCs w:val="32"/>
          <w:highlight w:val="none"/>
          <w:lang w:eastAsia="zh-CN"/>
        </w:rPr>
      </w:pPr>
      <w:r>
        <w:rPr>
          <w:rFonts w:hint="eastAsia" w:ascii="黑体" w:hAnsi="黑体" w:eastAsia="黑体" w:cs="黑体"/>
          <w:color w:val="auto"/>
          <w:sz w:val="32"/>
          <w:szCs w:val="32"/>
          <w:highlight w:val="none"/>
          <w:lang w:eastAsia="zh-CN"/>
        </w:rPr>
        <w:t>第三章</w:t>
      </w:r>
      <w:r>
        <w:rPr>
          <w:rFonts w:hint="eastAsia" w:ascii="黑体" w:hAnsi="黑体" w:eastAsia="黑体" w:cs="黑体"/>
          <w:color w:val="auto"/>
          <w:sz w:val="32"/>
          <w:szCs w:val="32"/>
          <w:highlight w:val="none"/>
          <w:lang w:val="en-US" w:eastAsia="zh-CN"/>
        </w:rPr>
        <w:t xml:space="preserve"> 评估范围</w:t>
      </w:r>
    </w:p>
    <w:p w14:paraId="1D4891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第八条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社会救助家庭经济状况核算评估的范围包括：申请人及共同生活家庭成员拥有的全部家庭收入和家庭财产，对申请或已享受最低生活保障的家庭进行经济状况核算时应充分考虑家庭成员因患重病、就学、就业成本等增加的刚性支出因素。</w:t>
      </w:r>
    </w:p>
    <w:p w14:paraId="3BD69E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第九条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对新申请社会救助家庭，以受理申请当月之前12个月为时间范围；对已享受社会救助家庭，以社会救助机构确定年审复核当月之前连续12个月为时间范围，对家庭全部收入进行核算，在审批复核过程中任意时间节点核对的家庭成员名下的任何财产，均认定为其家庭财产。</w:t>
      </w:r>
    </w:p>
    <w:p w14:paraId="102D59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p>
    <w:p w14:paraId="453B2AA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color w:val="auto"/>
          <w:sz w:val="32"/>
          <w:szCs w:val="32"/>
          <w:highlight w:val="none"/>
          <w:lang w:eastAsia="zh-CN"/>
        </w:rPr>
      </w:pPr>
      <w:r>
        <w:rPr>
          <w:rFonts w:hint="eastAsia" w:ascii="黑体" w:hAnsi="黑体" w:eastAsia="黑体" w:cs="黑体"/>
          <w:color w:val="auto"/>
          <w:sz w:val="32"/>
          <w:szCs w:val="32"/>
          <w:highlight w:val="none"/>
          <w:lang w:eastAsia="zh-CN"/>
        </w:rPr>
        <w:t>第四章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申请救助家庭成员认定</w:t>
      </w:r>
    </w:p>
    <w:p w14:paraId="35D78E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第十条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本细则所称的共同生活的家庭成员包括：</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（一）配偶。</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（二）未成年子女。</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（三）已成年但无独立生活能力的子女（包括在校接受本科及以下学历教育的成年子女）。</w:t>
      </w:r>
    </w:p>
    <w:p w14:paraId="16D16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（四）其他具有法定赡养（抚养、扶养）义务关系并长期共同生活的成员。</w:t>
      </w:r>
    </w:p>
    <w:p w14:paraId="6C6EC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（五）县级民政部门认定的其他共同生活人员。</w:t>
      </w:r>
    </w:p>
    <w:p w14:paraId="08370B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第十一条  </w:t>
      </w:r>
      <w:r>
        <w:rPr>
          <w:rFonts w:hint="eastAsia" w:ascii="仿宋_GB2312" w:hAnsi="仿宋_GB2312" w:eastAsia="仿宋_GB2312" w:cs="仿宋_GB2312"/>
          <w:color w:val="auto"/>
          <w:sz w:val="32"/>
          <w:szCs w:val="32"/>
          <w:highlight w:val="none"/>
          <w:lang w:val="en-US" w:eastAsia="zh-CN"/>
        </w:rPr>
        <w:t>下列人员不计入共同生活的家庭成员：</w:t>
      </w:r>
    </w:p>
    <w:p w14:paraId="36E9E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（一）连续3年及以上脱离家庭独立生活的宗教人士。</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（二）</w:t>
      </w:r>
      <w:r>
        <w:rPr>
          <w:rFonts w:hint="eastAsia" w:ascii="仿宋_GB2312" w:hAnsi="仿宋_GB2312" w:eastAsia="仿宋_GB2312" w:cs="仿宋_GB2312"/>
          <w:color w:val="auto"/>
          <w:sz w:val="32"/>
          <w:szCs w:val="32"/>
          <w:highlight w:val="none"/>
        </w:rPr>
        <w:t>在监狱内服刑或在戒毒所强制隔离戒毒的人员</w:t>
      </w:r>
      <w:r>
        <w:rPr>
          <w:rFonts w:hint="eastAsia" w:ascii="仿宋_GB2312" w:hAnsi="仿宋_GB2312" w:eastAsia="仿宋_GB2312" w:cs="仿宋_GB2312"/>
          <w:color w:val="auto"/>
          <w:sz w:val="32"/>
          <w:szCs w:val="32"/>
          <w:highlight w:val="none"/>
          <w:lang w:val="en-US" w:eastAsia="zh-CN"/>
        </w:rPr>
        <w:t>。</w:t>
      </w:r>
    </w:p>
    <w:p w14:paraId="1C2382F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（三）现役军人中的义务兵。</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（四）人民法院宣告失踪、死亡人员。</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（五）已出嫁的女儿或入赘儿子，户籍未迁出的</w:t>
      </w:r>
      <w:r>
        <w:rPr>
          <w:rFonts w:hint="eastAsia" w:ascii="仿宋_GB2312" w:hAnsi="仿宋_GB2312" w:eastAsia="仿宋_GB2312" w:cs="仿宋_GB2312"/>
          <w:color w:val="auto"/>
          <w:sz w:val="32"/>
          <w:szCs w:val="32"/>
          <w:highlight w:val="none"/>
          <w:lang w:eastAsia="zh-CN"/>
        </w:rPr>
        <w:t>（实际长期共同生活的除外）。</w:t>
      </w:r>
    </w:p>
    <w:p w14:paraId="1C7FBDF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（六）夫妻已办理离婚手续，一方户籍未迁出的</w:t>
      </w:r>
      <w:r>
        <w:rPr>
          <w:rFonts w:hint="eastAsia" w:ascii="仿宋_GB2312" w:hAnsi="仿宋_GB2312" w:eastAsia="仿宋_GB2312" w:cs="仿宋_GB2312"/>
          <w:color w:val="auto"/>
          <w:sz w:val="32"/>
          <w:szCs w:val="32"/>
          <w:highlight w:val="none"/>
          <w:lang w:eastAsia="zh-CN"/>
        </w:rPr>
        <w:t>。</w:t>
      </w:r>
    </w:p>
    <w:p w14:paraId="701D144E">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（七）属于投靠亲友挂靠户籍的</w:t>
      </w:r>
      <w:r>
        <w:rPr>
          <w:rFonts w:hint="eastAsia" w:ascii="仿宋_GB2312" w:hAnsi="仿宋_GB2312" w:eastAsia="仿宋_GB2312" w:cs="仿宋_GB2312"/>
          <w:color w:val="auto"/>
          <w:sz w:val="32"/>
          <w:szCs w:val="32"/>
          <w:highlight w:val="none"/>
          <w:lang w:eastAsia="zh-CN"/>
        </w:rPr>
        <w:t>。</w:t>
      </w:r>
    </w:p>
    <w:p w14:paraId="7235E7B5">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（八）多子女家庭中的已组建家庭的子女</w:t>
      </w:r>
      <w:r>
        <w:rPr>
          <w:rFonts w:hint="eastAsia" w:ascii="仿宋_GB2312" w:hAnsi="仿宋_GB2312" w:eastAsia="仿宋_GB2312" w:cs="仿宋_GB2312"/>
          <w:color w:val="auto"/>
          <w:sz w:val="32"/>
          <w:szCs w:val="32"/>
          <w:highlight w:val="none"/>
          <w:lang w:eastAsia="zh-CN"/>
        </w:rPr>
        <w:t>（实际长期共同生活的除外）。</w:t>
      </w:r>
    </w:p>
    <w:p w14:paraId="6CFD289C">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（九）县级</w:t>
      </w:r>
      <w:r>
        <w:rPr>
          <w:rFonts w:hint="eastAsia" w:ascii="仿宋_GB2312" w:hAnsi="仿宋_GB2312" w:eastAsia="仿宋_GB2312" w:cs="仿宋_GB2312"/>
          <w:color w:val="auto"/>
          <w:sz w:val="32"/>
          <w:szCs w:val="32"/>
          <w:highlight w:val="none"/>
          <w:lang w:val="en-US" w:eastAsia="zh-CN"/>
        </w:rPr>
        <w:t>民政部门依据相关办法和程序认定的其他人员。</w:t>
      </w:r>
    </w:p>
    <w:p w14:paraId="6E95AED7">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持有炎陵县户籍的居民，其</w:t>
      </w:r>
      <w:r>
        <w:rPr>
          <w:rFonts w:hint="eastAsia" w:ascii="仿宋_GB2312" w:hAnsi="仿宋_GB2312" w:eastAsia="仿宋_GB2312" w:cs="仿宋_GB2312"/>
          <w:color w:val="auto"/>
          <w:sz w:val="32"/>
          <w:szCs w:val="32"/>
          <w:highlight w:val="none"/>
        </w:rPr>
        <w:t>共同生活的家庭成员人均</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rPr>
        <w:t>收入低于当地最低生活保障标准，且符合当地最低生活保障家庭财产状况规定的家庭，给予最低生活保障。</w:t>
      </w:r>
    </w:p>
    <w:p w14:paraId="02C9C494">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持有炎陵县户籍的居民，其</w:t>
      </w:r>
      <w:r>
        <w:rPr>
          <w:rFonts w:hint="eastAsia" w:ascii="仿宋_GB2312" w:hAnsi="仿宋_GB2312" w:eastAsia="仿宋_GB2312" w:cs="仿宋_GB2312"/>
          <w:color w:val="auto"/>
          <w:sz w:val="32"/>
          <w:szCs w:val="32"/>
          <w:highlight w:val="none"/>
        </w:rPr>
        <w:t>共同生活的家庭成员人均</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rPr>
        <w:t>收入</w:t>
      </w:r>
      <w:r>
        <w:rPr>
          <w:rFonts w:hint="eastAsia" w:ascii="仿宋_GB2312" w:hAnsi="仿宋_GB2312" w:eastAsia="仿宋_GB2312" w:cs="仿宋_GB2312"/>
          <w:color w:val="auto"/>
          <w:sz w:val="32"/>
          <w:szCs w:val="32"/>
          <w:highlight w:val="none"/>
          <w:lang w:eastAsia="zh-CN"/>
        </w:rPr>
        <w:t>低于</w:t>
      </w:r>
      <w:r>
        <w:rPr>
          <w:rFonts w:hint="eastAsia" w:ascii="仿宋_GB2312" w:hAnsi="仿宋_GB2312" w:eastAsia="仿宋_GB2312" w:cs="仿宋_GB2312"/>
          <w:color w:val="auto"/>
          <w:sz w:val="32"/>
          <w:szCs w:val="32"/>
          <w:highlight w:val="none"/>
        </w:rPr>
        <w:t>当地最低生活保障标准</w:t>
      </w:r>
      <w:r>
        <w:rPr>
          <w:rFonts w:hint="eastAsia" w:ascii="仿宋_GB2312" w:hAnsi="仿宋_GB2312" w:eastAsia="仿宋_GB2312" w:cs="仿宋_GB2312"/>
          <w:color w:val="auto"/>
          <w:sz w:val="32"/>
          <w:szCs w:val="32"/>
          <w:highlight w:val="none"/>
          <w:lang w:val="en-US" w:eastAsia="zh-CN"/>
        </w:rPr>
        <w:t>1.5倍</w:t>
      </w:r>
      <w:r>
        <w:rPr>
          <w:rFonts w:hint="eastAsia" w:ascii="仿宋_GB2312" w:hAnsi="仿宋_GB2312" w:eastAsia="仿宋_GB2312" w:cs="仿宋_GB2312"/>
          <w:color w:val="auto"/>
          <w:sz w:val="32"/>
          <w:szCs w:val="32"/>
          <w:highlight w:val="none"/>
        </w:rPr>
        <w:t>，且符合当地最低生活保障</w:t>
      </w:r>
      <w:r>
        <w:rPr>
          <w:rFonts w:hint="eastAsia" w:ascii="仿宋_GB2312" w:hAnsi="仿宋_GB2312" w:eastAsia="仿宋_GB2312" w:cs="仿宋_GB2312"/>
          <w:color w:val="auto"/>
          <w:sz w:val="32"/>
          <w:szCs w:val="32"/>
          <w:highlight w:val="none"/>
          <w:lang w:eastAsia="zh-CN"/>
        </w:rPr>
        <w:t>边缘</w:t>
      </w:r>
      <w:r>
        <w:rPr>
          <w:rFonts w:hint="eastAsia" w:ascii="仿宋_GB2312" w:hAnsi="仿宋_GB2312" w:eastAsia="仿宋_GB2312" w:cs="仿宋_GB2312"/>
          <w:color w:val="auto"/>
          <w:sz w:val="32"/>
          <w:szCs w:val="32"/>
          <w:highlight w:val="none"/>
        </w:rPr>
        <w:t>家庭财产状况规定的家庭，</w:t>
      </w:r>
      <w:r>
        <w:rPr>
          <w:rFonts w:hint="eastAsia" w:ascii="仿宋_GB2312" w:hAnsi="仿宋_GB2312" w:eastAsia="仿宋_GB2312" w:cs="仿宋_GB2312"/>
          <w:color w:val="auto"/>
          <w:sz w:val="32"/>
          <w:szCs w:val="32"/>
          <w:highlight w:val="none"/>
          <w:lang w:eastAsia="zh-CN"/>
        </w:rPr>
        <w:t>认定为</w:t>
      </w:r>
      <w:r>
        <w:rPr>
          <w:rFonts w:hint="eastAsia" w:ascii="仿宋_GB2312" w:hAnsi="仿宋_GB2312" w:eastAsia="仿宋_GB2312" w:cs="仿宋_GB2312"/>
          <w:color w:val="auto"/>
          <w:sz w:val="32"/>
          <w:szCs w:val="32"/>
          <w:highlight w:val="none"/>
        </w:rPr>
        <w:t>最低生活保障</w:t>
      </w:r>
      <w:r>
        <w:rPr>
          <w:rFonts w:hint="eastAsia" w:ascii="仿宋_GB2312" w:hAnsi="仿宋_GB2312" w:eastAsia="仿宋_GB2312" w:cs="仿宋_GB2312"/>
          <w:color w:val="auto"/>
          <w:sz w:val="32"/>
          <w:szCs w:val="32"/>
          <w:highlight w:val="none"/>
          <w:lang w:eastAsia="zh-CN"/>
        </w:rPr>
        <w:t>边缘家庭</w:t>
      </w:r>
      <w:r>
        <w:rPr>
          <w:rFonts w:hint="eastAsia" w:ascii="仿宋_GB2312" w:hAnsi="仿宋_GB2312" w:eastAsia="仿宋_GB2312" w:cs="仿宋_GB2312"/>
          <w:color w:val="auto"/>
          <w:sz w:val="32"/>
          <w:szCs w:val="32"/>
          <w:highlight w:val="none"/>
        </w:rPr>
        <w:t>。</w:t>
      </w:r>
    </w:p>
    <w:p w14:paraId="11925BAE">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eastAsia="zh-CN"/>
        </w:rPr>
        <w:t>对象</w:t>
      </w:r>
      <w:r>
        <w:rPr>
          <w:rFonts w:hint="eastAsia" w:ascii="仿宋_GB2312" w:hAnsi="仿宋_GB2312" w:eastAsia="仿宋_GB2312" w:cs="仿宋_GB2312"/>
          <w:color w:val="auto"/>
          <w:sz w:val="32"/>
          <w:szCs w:val="32"/>
          <w:highlight w:val="none"/>
        </w:rPr>
        <w:t>经审核符合整户纳入条件的，不得以任何理由仅将个别或者部分家庭成员纳入低保</w:t>
      </w:r>
      <w:r>
        <w:rPr>
          <w:rFonts w:hint="eastAsia" w:ascii="仿宋_GB2312" w:hAnsi="仿宋_GB2312" w:eastAsia="仿宋_GB2312" w:cs="仿宋_GB2312"/>
          <w:color w:val="auto"/>
          <w:sz w:val="32"/>
          <w:szCs w:val="32"/>
          <w:highlight w:val="none"/>
          <w:lang w:eastAsia="zh-CN"/>
        </w:rPr>
        <w:t>或低保边缘家庭救助</w:t>
      </w:r>
      <w:r>
        <w:rPr>
          <w:rFonts w:hint="eastAsia" w:ascii="仿宋_GB2312" w:hAnsi="仿宋_GB2312" w:eastAsia="仿宋_GB2312" w:cs="仿宋_GB2312"/>
          <w:color w:val="auto"/>
          <w:sz w:val="32"/>
          <w:szCs w:val="32"/>
          <w:highlight w:val="none"/>
        </w:rPr>
        <w:t>范围。</w:t>
      </w:r>
    </w:p>
    <w:p w14:paraId="0D31EB21">
      <w:pPr>
        <w:keepNext w:val="0"/>
        <w:keepLines w:val="0"/>
        <w:pageBreakBefore w:val="0"/>
        <w:kinsoku/>
        <w:wordWrap/>
        <w:overflowPunct/>
        <w:topLinePunct w:val="0"/>
        <w:autoSpaceDE/>
        <w:autoSpaceDN w:val="0"/>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申请最低生活保障</w:t>
      </w:r>
      <w:r>
        <w:rPr>
          <w:rFonts w:hint="eastAsia" w:ascii="仿宋_GB2312" w:hAnsi="仿宋_GB2312" w:eastAsia="仿宋_GB2312" w:cs="仿宋_GB2312"/>
          <w:color w:val="auto"/>
          <w:sz w:val="32"/>
          <w:szCs w:val="32"/>
          <w:highlight w:val="none"/>
          <w:lang w:eastAsia="zh-CN"/>
        </w:rPr>
        <w:t>或最低</w:t>
      </w:r>
      <w:r>
        <w:rPr>
          <w:rFonts w:hint="eastAsia" w:ascii="仿宋_GB2312" w:hAnsi="仿宋_GB2312" w:eastAsia="仿宋_GB2312" w:cs="仿宋_GB2312"/>
          <w:color w:val="auto"/>
          <w:sz w:val="32"/>
          <w:szCs w:val="32"/>
          <w:highlight w:val="none"/>
        </w:rPr>
        <w:t>生活保障</w:t>
      </w:r>
      <w:r>
        <w:rPr>
          <w:rFonts w:hint="eastAsia" w:ascii="仿宋_GB2312" w:hAnsi="仿宋_GB2312" w:eastAsia="仿宋_GB2312" w:cs="仿宋_GB2312"/>
          <w:color w:val="auto"/>
          <w:sz w:val="32"/>
          <w:szCs w:val="32"/>
          <w:highlight w:val="none"/>
          <w:lang w:eastAsia="zh-CN"/>
        </w:rPr>
        <w:t>边缘家庭</w:t>
      </w:r>
      <w:r>
        <w:rPr>
          <w:rFonts w:hint="eastAsia" w:ascii="仿宋_GB2312" w:hAnsi="仿宋_GB2312" w:eastAsia="仿宋_GB2312" w:cs="仿宋_GB2312"/>
          <w:color w:val="auto"/>
          <w:sz w:val="32"/>
          <w:szCs w:val="32"/>
          <w:highlight w:val="none"/>
        </w:rPr>
        <w:t>是以家庭为单位，由申请家庭确定一名共同生活的家庭成员作为申请人，向户籍所在地</w:t>
      </w:r>
      <w:r>
        <w:rPr>
          <w:rFonts w:hint="eastAsia" w:ascii="仿宋_GB2312" w:hAnsi="仿宋_GB2312" w:eastAsia="仿宋_GB2312" w:cs="仿宋_GB2312"/>
          <w:color w:val="auto"/>
          <w:sz w:val="32"/>
          <w:szCs w:val="32"/>
          <w:highlight w:val="none"/>
          <w:lang w:eastAsia="zh-CN"/>
        </w:rPr>
        <w:t>乡镇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人民政府</w:t>
      </w:r>
      <w:r>
        <w:rPr>
          <w:rFonts w:hint="eastAsia" w:ascii="仿宋_GB2312" w:hAnsi="仿宋_GB2312" w:eastAsia="仿宋_GB2312" w:cs="仿宋_GB2312"/>
          <w:color w:val="auto"/>
          <w:sz w:val="32"/>
          <w:szCs w:val="32"/>
          <w:highlight w:val="none"/>
        </w:rPr>
        <w:t>提出书面申请</w:t>
      </w:r>
      <w:r>
        <w:rPr>
          <w:rFonts w:hint="eastAsia" w:ascii="仿宋_GB2312" w:hAnsi="仿宋_GB2312" w:eastAsia="仿宋_GB2312" w:cs="仿宋_GB2312"/>
          <w:color w:val="auto"/>
          <w:sz w:val="32"/>
          <w:szCs w:val="32"/>
          <w:highlight w:val="none"/>
          <w:lang w:eastAsia="zh-CN"/>
        </w:rPr>
        <w:t>。持有炎陵县户籍的申请对象户籍所在地与长期居住地不一致的，原则上向长期居住地乡镇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人民政府提出申请，户籍所在地乡镇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人民政府应当积极配合做好经济状况调查相关工作</w:t>
      </w:r>
      <w:r>
        <w:rPr>
          <w:rFonts w:hint="eastAsia" w:ascii="仿宋_GB2312" w:hAnsi="仿宋_GB2312" w:eastAsia="仿宋_GB2312" w:cs="仿宋_GB2312"/>
          <w:color w:val="auto"/>
          <w:sz w:val="32"/>
          <w:szCs w:val="32"/>
          <w:highlight w:val="none"/>
        </w:rPr>
        <w:t>。</w:t>
      </w:r>
    </w:p>
    <w:p w14:paraId="75D632C3">
      <w:pPr>
        <w:keepNext w:val="0"/>
        <w:keepLines w:val="0"/>
        <w:pageBreakBefore w:val="0"/>
        <w:widowControl w:val="0"/>
        <w:kinsoku/>
        <w:wordWrap/>
        <w:overflowPunct/>
        <w:topLinePunct w:val="0"/>
        <w:autoSpaceDE/>
        <w:bidi w:val="0"/>
        <w:adjustRightInd/>
        <w:snapToGrid/>
        <w:spacing w:beforeAutospacing="0" w:line="560" w:lineRule="exact"/>
        <w:ind w:left="0" w:leftChars="0" w:right="0"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出嫁方及子女在婚姻存续期内随男方进行申报，入赘方及子女在婚姻存续期内随女方进行申报；其中户籍类别不同，家庭成员户口不在一起的家庭，在当地生活5年（含）以上的，原则上以家庭长期居住地的户籍类别提出申请。</w:t>
      </w:r>
    </w:p>
    <w:p w14:paraId="642DC665">
      <w:pPr>
        <w:keepNext w:val="0"/>
        <w:keepLines w:val="0"/>
        <w:pageBreakBefore w:val="0"/>
        <w:kinsoku/>
        <w:wordWrap/>
        <w:overflowPunct/>
        <w:topLinePunct w:val="0"/>
        <w:autoSpaceDE/>
        <w:autoSpaceDN w:val="0"/>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在进行家庭经济状况核算过程中必须以申请人及共同生活家庭成员为基础进行核算，户籍人口与实际共同生活的家庭成员不一致的，以实际共同生活的家庭成员进行纳入。</w:t>
      </w:r>
    </w:p>
    <w:p w14:paraId="2BFF77E0">
      <w:pPr>
        <w:keepNext w:val="0"/>
        <w:keepLines w:val="0"/>
        <w:pageBreakBefore w:val="0"/>
        <w:kinsoku/>
        <w:wordWrap/>
        <w:overflowPunct/>
        <w:topLinePunct w:val="0"/>
        <w:autoSpaceDE/>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第十八条  </w:t>
      </w:r>
      <w:r>
        <w:rPr>
          <w:rFonts w:hint="eastAsia" w:ascii="仿宋_GB2312" w:hAnsi="仿宋_GB2312" w:eastAsia="仿宋_GB2312" w:cs="仿宋_GB2312"/>
          <w:color w:val="auto"/>
          <w:sz w:val="32"/>
          <w:szCs w:val="32"/>
          <w:highlight w:val="none"/>
        </w:rPr>
        <w:t>符合下列情形之一的人员，可以单独提出申请</w:t>
      </w:r>
      <w:r>
        <w:rPr>
          <w:rFonts w:hint="eastAsia" w:ascii="仿宋_GB2312" w:hAnsi="仿宋_GB2312" w:eastAsia="仿宋_GB2312" w:cs="仿宋_GB2312"/>
          <w:color w:val="auto"/>
          <w:sz w:val="32"/>
          <w:szCs w:val="32"/>
          <w:highlight w:val="none"/>
          <w:lang w:eastAsia="zh-CN"/>
        </w:rPr>
        <w:t>：</w:t>
      </w:r>
    </w:p>
    <w:p w14:paraId="525617D3">
      <w:pPr>
        <w:pStyle w:val="6"/>
        <w:keepNext w:val="0"/>
        <w:keepLines w:val="0"/>
        <w:pageBreakBefore w:val="0"/>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（一）最低生活保障边缘家庭中符合下列情形之一的人员：①持有中华人民共和国残疾人证的一级、二级重度残疾人</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三级智力、精神残疾人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②患有当地有关部门认定的重特大疾病的人员；③患有当地有关部门认定的慢特病、罕见病，且需要长期服药的人员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④</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16周岁未成年人；⑤本科（含）以下在校学生；⑥70周岁（含）以上老年人</w:t>
      </w:r>
      <w:r>
        <w:rPr>
          <w:rFonts w:hint="eastAsia" w:ascii="仿宋_GB2312" w:hAnsi="仿宋_GB2312" w:eastAsia="仿宋_GB2312" w:cs="仿宋_GB2312"/>
          <w:color w:val="auto"/>
          <w:sz w:val="32"/>
          <w:szCs w:val="32"/>
          <w:highlight w:val="none"/>
          <w:lang w:eastAsia="zh-CN"/>
        </w:rPr>
        <w:t>。</w:t>
      </w:r>
    </w:p>
    <w:p w14:paraId="0628901A">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（二）脱离家庭、在宗教场所居住三年以上（含三年）的生活困难的宗教教职人员</w:t>
      </w:r>
      <w:r>
        <w:rPr>
          <w:rFonts w:hint="eastAsia" w:ascii="仿宋_GB2312" w:hAnsi="仿宋_GB2312" w:eastAsia="仿宋_GB2312" w:cs="仿宋_GB2312"/>
          <w:color w:val="auto"/>
          <w:sz w:val="32"/>
          <w:szCs w:val="32"/>
          <w:highlight w:val="none"/>
          <w:lang w:eastAsia="zh-CN"/>
        </w:rPr>
        <w:t>。</w:t>
      </w:r>
    </w:p>
    <w:p w14:paraId="69A5B617">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成年</w:t>
      </w:r>
      <w:r>
        <w:rPr>
          <w:rFonts w:hint="eastAsia" w:ascii="仿宋_GB2312" w:hAnsi="仿宋_GB2312" w:eastAsia="仿宋_GB2312" w:cs="仿宋_GB2312"/>
          <w:b w:val="0"/>
          <w:bCs w:val="0"/>
          <w:color w:val="auto"/>
          <w:sz w:val="32"/>
          <w:szCs w:val="32"/>
          <w:highlight w:val="none"/>
          <w:lang w:eastAsia="zh-CN"/>
        </w:rPr>
        <w:t>无业</w:t>
      </w:r>
      <w:r>
        <w:rPr>
          <w:rFonts w:hint="eastAsia" w:ascii="仿宋_GB2312" w:hAnsi="仿宋_GB2312" w:eastAsia="仿宋_GB2312" w:cs="仿宋_GB2312"/>
          <w:b w:val="0"/>
          <w:bCs w:val="0"/>
          <w:color w:val="auto"/>
          <w:sz w:val="32"/>
          <w:szCs w:val="32"/>
          <w:highlight w:val="none"/>
        </w:rPr>
        <w:t>重度残疾人</w:t>
      </w:r>
      <w:r>
        <w:rPr>
          <w:rFonts w:hint="eastAsia" w:ascii="仿宋_GB2312" w:hAnsi="仿宋_GB2312" w:eastAsia="仿宋_GB2312" w:cs="仿宋_GB2312"/>
          <w:color w:val="auto"/>
          <w:sz w:val="32"/>
          <w:szCs w:val="32"/>
          <w:highlight w:val="none"/>
          <w:lang w:eastAsia="zh-CN"/>
        </w:rPr>
        <w:t>可参照“单人户”纳入低保</w:t>
      </w:r>
      <w:r>
        <w:rPr>
          <w:rFonts w:hint="eastAsia" w:ascii="仿宋_GB2312" w:hAnsi="仿宋_GB2312" w:eastAsia="仿宋_GB2312" w:cs="仿宋_GB2312"/>
          <w:b w:val="0"/>
          <w:bCs w:val="0"/>
          <w:i w:val="0"/>
          <w:iCs w:val="0"/>
          <w:caps w:val="0"/>
          <w:color w:val="auto"/>
          <w:spacing w:val="0"/>
          <w:sz w:val="32"/>
          <w:szCs w:val="32"/>
          <w:highlight w:val="none"/>
          <w:lang w:val="en-US" w:eastAsia="zh-CN"/>
        </w:rPr>
        <w:t>。</w:t>
      </w:r>
    </w:p>
    <w:p w14:paraId="70B703D0">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民政部门认定的其他特殊困难人员。</w:t>
      </w:r>
    </w:p>
    <w:p w14:paraId="0D7F4DA5">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以上单独提出申请的救助对象</w:t>
      </w:r>
      <w:r>
        <w:rPr>
          <w:rFonts w:hint="eastAsia" w:ascii="仿宋_GB2312" w:hAnsi="仿宋_GB2312" w:eastAsia="仿宋_GB2312" w:cs="仿宋_GB2312"/>
          <w:b w:val="0"/>
          <w:bCs w:val="0"/>
          <w:color w:val="auto"/>
          <w:sz w:val="32"/>
          <w:szCs w:val="32"/>
          <w:highlight w:val="none"/>
        </w:rPr>
        <w:t>纳入低保后的</w:t>
      </w:r>
      <w:r>
        <w:rPr>
          <w:rFonts w:hint="eastAsia" w:ascii="仿宋_GB2312" w:hAnsi="仿宋_GB2312" w:eastAsia="仿宋_GB2312" w:cs="仿宋_GB2312"/>
          <w:b w:val="0"/>
          <w:bCs w:val="0"/>
          <w:color w:val="auto"/>
          <w:sz w:val="32"/>
          <w:szCs w:val="32"/>
          <w:highlight w:val="none"/>
          <w:lang w:eastAsia="zh-CN"/>
        </w:rPr>
        <w:t>救助</w:t>
      </w:r>
      <w:r>
        <w:rPr>
          <w:rFonts w:hint="eastAsia" w:ascii="仿宋_GB2312" w:hAnsi="仿宋_GB2312" w:eastAsia="仿宋_GB2312" w:cs="仿宋_GB2312"/>
          <w:b w:val="0"/>
          <w:bCs w:val="0"/>
          <w:color w:val="auto"/>
          <w:sz w:val="32"/>
          <w:szCs w:val="32"/>
          <w:highlight w:val="none"/>
        </w:rPr>
        <w:t>水平，按</w:t>
      </w:r>
      <w:r>
        <w:rPr>
          <w:rFonts w:hint="eastAsia" w:ascii="仿宋_GB2312" w:hAnsi="仿宋_GB2312" w:eastAsia="仿宋_GB2312" w:cs="仿宋_GB2312"/>
          <w:b w:val="0"/>
          <w:bCs w:val="0"/>
          <w:color w:val="auto"/>
          <w:sz w:val="32"/>
          <w:szCs w:val="32"/>
          <w:highlight w:val="none"/>
          <w:lang w:eastAsia="zh-CN"/>
        </w:rPr>
        <w:t>不低于当地</w:t>
      </w:r>
      <w:r>
        <w:rPr>
          <w:rFonts w:hint="eastAsia" w:ascii="仿宋_GB2312" w:hAnsi="仿宋_GB2312" w:eastAsia="仿宋_GB2312" w:cs="仿宋_GB2312"/>
          <w:b w:val="0"/>
          <w:bCs w:val="0"/>
          <w:color w:val="auto"/>
          <w:sz w:val="32"/>
          <w:szCs w:val="32"/>
          <w:highlight w:val="none"/>
        </w:rPr>
        <w:t>低保标准的</w:t>
      </w:r>
      <w:r>
        <w:rPr>
          <w:rFonts w:hint="eastAsia" w:ascii="仿宋_GB2312" w:hAnsi="仿宋_GB2312" w:eastAsia="仿宋_GB2312" w:cs="仿宋_GB2312"/>
          <w:b w:val="0"/>
          <w:bCs w:val="0"/>
          <w:color w:val="auto"/>
          <w:sz w:val="32"/>
          <w:szCs w:val="32"/>
          <w:highlight w:val="none"/>
          <w:lang w:val="en-US" w:eastAsia="zh-CN"/>
        </w:rPr>
        <w:t>50%</w:t>
      </w:r>
      <w:r>
        <w:rPr>
          <w:rFonts w:hint="eastAsia" w:ascii="仿宋_GB2312" w:hAnsi="仿宋_GB2312" w:eastAsia="仿宋_GB2312" w:cs="仿宋_GB2312"/>
          <w:b w:val="0"/>
          <w:bCs w:val="0"/>
          <w:color w:val="auto"/>
          <w:sz w:val="32"/>
          <w:szCs w:val="32"/>
          <w:highlight w:val="none"/>
        </w:rPr>
        <w:t>确定。</w:t>
      </w:r>
      <w:r>
        <w:rPr>
          <w:rFonts w:hint="eastAsia" w:ascii="仿宋_GB2312" w:hAnsi="仿宋_GB2312" w:eastAsia="仿宋_GB2312" w:cs="仿宋_GB2312"/>
          <w:b w:val="0"/>
          <w:bCs w:val="0"/>
          <w:color w:val="auto"/>
          <w:sz w:val="32"/>
          <w:szCs w:val="32"/>
          <w:highlight w:val="none"/>
          <w:lang w:eastAsia="zh-CN"/>
        </w:rPr>
        <w:t>依靠兄弟姐妹或者</w:t>
      </w:r>
      <w:r>
        <w:rPr>
          <w:rFonts w:hint="eastAsia" w:ascii="仿宋_GB2312" w:hAnsi="仿宋_GB2312" w:eastAsia="仿宋_GB2312" w:cs="仿宋_GB2312"/>
          <w:b w:val="0"/>
          <w:bCs w:val="0"/>
          <w:color w:val="auto"/>
          <w:sz w:val="32"/>
          <w:szCs w:val="32"/>
          <w:highlight w:val="none"/>
          <w:lang w:val="en-US" w:eastAsia="zh-CN"/>
        </w:rPr>
        <w:t>60周岁及以上老年人供养的</w:t>
      </w:r>
      <w:r>
        <w:rPr>
          <w:rFonts w:hint="eastAsia" w:ascii="仿宋_GB2312" w:hAnsi="仿宋_GB2312" w:eastAsia="仿宋_GB2312" w:cs="仿宋_GB2312"/>
          <w:b w:val="0"/>
          <w:bCs w:val="0"/>
          <w:color w:val="auto"/>
          <w:sz w:val="32"/>
          <w:szCs w:val="32"/>
          <w:highlight w:val="none"/>
          <w:lang w:eastAsia="zh-CN"/>
        </w:rPr>
        <w:t>成年无业</w:t>
      </w:r>
      <w:r>
        <w:rPr>
          <w:rFonts w:hint="eastAsia" w:ascii="仿宋_GB2312" w:hAnsi="仿宋_GB2312" w:eastAsia="仿宋_GB2312" w:cs="仿宋_GB2312"/>
          <w:b w:val="0"/>
          <w:bCs w:val="0"/>
          <w:color w:val="auto"/>
          <w:sz w:val="32"/>
          <w:szCs w:val="32"/>
          <w:highlight w:val="none"/>
        </w:rPr>
        <w:t>重度残疾人</w:t>
      </w:r>
      <w:r>
        <w:rPr>
          <w:rFonts w:hint="eastAsia" w:ascii="仿宋_GB2312" w:hAnsi="仿宋_GB2312" w:eastAsia="仿宋_GB2312" w:cs="仿宋_GB2312"/>
          <w:b w:val="0"/>
          <w:bCs w:val="0"/>
          <w:color w:val="auto"/>
          <w:sz w:val="32"/>
          <w:szCs w:val="32"/>
          <w:highlight w:val="none"/>
          <w:lang w:eastAsia="zh-CN"/>
        </w:rPr>
        <w:t>纳入低保后的救助水平据实核算（供养费可视情予以豁免）。</w:t>
      </w:r>
    </w:p>
    <w:p w14:paraId="7ED94B3A">
      <w:pPr>
        <w:keepNext w:val="0"/>
        <w:keepLines w:val="0"/>
        <w:pageBreakBefore w:val="0"/>
        <w:kinsoku/>
        <w:wordWrap/>
        <w:overflowPunct/>
        <w:topLinePunct w:val="0"/>
        <w:autoSpaceDE/>
        <w:autoSpaceDN w:val="0"/>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家庭成员新增或核减后，应当</w:t>
      </w:r>
      <w:r>
        <w:rPr>
          <w:rFonts w:hint="eastAsia" w:ascii="仿宋_GB2312" w:hAnsi="仿宋_GB2312" w:eastAsia="仿宋_GB2312" w:cs="仿宋_GB2312"/>
          <w:color w:val="auto"/>
          <w:sz w:val="32"/>
          <w:szCs w:val="32"/>
          <w:highlight w:val="none"/>
          <w:lang w:eastAsia="zh-CN"/>
        </w:rPr>
        <w:t>及时</w:t>
      </w:r>
      <w:r>
        <w:rPr>
          <w:rFonts w:hint="eastAsia" w:ascii="仿宋_GB2312" w:hAnsi="仿宋_GB2312" w:eastAsia="仿宋_GB2312" w:cs="仿宋_GB2312"/>
          <w:color w:val="auto"/>
          <w:sz w:val="32"/>
          <w:szCs w:val="32"/>
          <w:highlight w:val="none"/>
        </w:rPr>
        <w:t>对其家庭经济状况进行重新核算，并完成低保金增发、减发、停发等相关手续。</w:t>
      </w:r>
    </w:p>
    <w:p w14:paraId="6A263B42">
      <w:pPr>
        <w:keepNext w:val="0"/>
        <w:keepLines w:val="0"/>
        <w:pageBreakBefore w:val="0"/>
        <w:kinsoku/>
        <w:wordWrap/>
        <w:overflowPunct/>
        <w:topLinePunct w:val="0"/>
        <w:autoSpaceDE/>
        <w:autoSpaceDN w:val="0"/>
        <w:bidi w:val="0"/>
        <w:adjustRightInd/>
        <w:snapToGrid/>
        <w:spacing w:line="560" w:lineRule="exact"/>
        <w:ind w:firstLine="643"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十条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在进行家庭经济状况核算过程中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）应当提供申请人及共同生活家庭成员和所有赡养、抚养、扶养义务人近</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个月以来的经济状况核对报告。</w:t>
      </w:r>
    </w:p>
    <w:p w14:paraId="6171D0C7">
      <w:pPr>
        <w:keepNext w:val="0"/>
        <w:keepLines w:val="0"/>
        <w:pageBreakBefore w:val="0"/>
        <w:kinsoku/>
        <w:wordWrap/>
        <w:overflowPunct/>
        <w:topLinePunct w:val="0"/>
        <w:autoSpaceDE/>
        <w:autoSpaceDN w:val="0"/>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二十一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对于已经受理的最低生活保障家庭申请，共同生活的家庭成员与最低生活保障经办人员或者村（居）民委员会成员有近亲属关系的，</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）应当单独登记备案。</w:t>
      </w:r>
    </w:p>
    <w:p w14:paraId="34D2C5BC">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最低生活保障经办人员指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负责或具体办理最低生活保障受理、家庭经济状况调查、审核确认等事项的民政部门及</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）工作人员。</w:t>
      </w:r>
    </w:p>
    <w:p w14:paraId="610CE665">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近亲属指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配偶、父母、子女、兄弟姐妹、祖父母、外祖父母、孙子女、外孙子女。</w:t>
      </w:r>
    </w:p>
    <w:p w14:paraId="6DC559A8">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黑体" w:hAnsi="黑体" w:eastAsia="黑体" w:cs="黑体"/>
          <w:bCs/>
          <w:color w:val="auto"/>
          <w:sz w:val="32"/>
          <w:szCs w:val="32"/>
          <w:highlight w:val="none"/>
        </w:rPr>
      </w:pPr>
    </w:p>
    <w:p w14:paraId="5CA3769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eastAsia="zh-CN"/>
        </w:rPr>
        <w:t>第五章</w:t>
      </w:r>
      <w:r>
        <w:rPr>
          <w:rFonts w:hint="eastAsia" w:ascii="黑体" w:hAnsi="黑体" w:eastAsia="黑体" w:cs="黑体"/>
          <w:bCs/>
          <w:color w:val="auto"/>
          <w:sz w:val="32"/>
          <w:szCs w:val="32"/>
          <w:highlight w:val="none"/>
          <w:lang w:val="en-US" w:eastAsia="zh-CN"/>
        </w:rPr>
        <w:t xml:space="preserve"> 项目与标准的确定</w:t>
      </w:r>
    </w:p>
    <w:p w14:paraId="30CDE6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第二十二条</w:t>
      </w:r>
      <w:r>
        <w:rPr>
          <w:rFonts w:hint="eastAsia" w:ascii="仿宋_GB2312" w:hAnsi="仿宋_GB2312" w:eastAsia="仿宋_GB2312" w:cs="仿宋_GB2312"/>
          <w:color w:val="auto"/>
          <w:sz w:val="32"/>
          <w:szCs w:val="32"/>
          <w:highlight w:val="none"/>
          <w:lang w:val="en-US" w:eastAsia="zh-CN"/>
        </w:rPr>
        <w:t xml:space="preserve">  家庭财产及经济状况核算评估项目的内容：</w:t>
      </w:r>
    </w:p>
    <w:p w14:paraId="2C8FF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家庭财产。</w:t>
      </w:r>
      <w:r>
        <w:rPr>
          <w:rFonts w:hint="eastAsia" w:ascii="仿宋_GB2312" w:hAnsi="仿宋_GB2312" w:eastAsia="仿宋_GB2312" w:cs="仿宋_GB2312"/>
          <w:color w:val="auto"/>
          <w:sz w:val="32"/>
          <w:szCs w:val="32"/>
          <w:highlight w:val="none"/>
        </w:rPr>
        <w:t>指共同生活的家庭成员拥有的全部货币财产和实物财产。货币财产主要包括现金、银行存款、有价证券、理财产品、债权、商业保险、期货、住房公积金、个人名下注册资金等实际可支配的资金及家庭其他可以支配的资金；实物财产主要包括不动产（房产、土地等）、车辆、船舶、机械（工程机械、车床）和大中型农机具等其他有较大价值的财产。</w:t>
      </w:r>
    </w:p>
    <w:p w14:paraId="165026A3">
      <w:pPr>
        <w:keepNext w:val="0"/>
        <w:keepLines w:val="0"/>
        <w:pageBreakBefore w:val="0"/>
        <w:kinsoku/>
        <w:wordWrap/>
        <w:overflowPunct/>
        <w:topLinePunct w:val="0"/>
        <w:autoSpaceDE/>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（二）家庭收入。</w:t>
      </w:r>
      <w:r>
        <w:rPr>
          <w:rFonts w:hint="eastAsia" w:ascii="仿宋_GB2312" w:hAnsi="仿宋_GB2312" w:eastAsia="仿宋_GB2312" w:cs="仿宋_GB2312"/>
          <w:color w:val="auto"/>
          <w:sz w:val="32"/>
          <w:szCs w:val="32"/>
          <w:highlight w:val="none"/>
        </w:rPr>
        <w:t>指申请或已享受社会救助的家庭</w:t>
      </w:r>
      <w:r>
        <w:rPr>
          <w:rFonts w:hint="eastAsia" w:ascii="仿宋_GB2312" w:hAnsi="仿宋_GB2312" w:eastAsia="仿宋_GB2312" w:cs="仿宋_GB2312"/>
          <w:color w:val="auto"/>
          <w:sz w:val="32"/>
          <w:szCs w:val="32"/>
          <w:highlight w:val="none"/>
          <w:lang w:val="en-US" w:eastAsia="zh-CN"/>
        </w:rPr>
        <w:t>12个月</w:t>
      </w:r>
      <w:r>
        <w:rPr>
          <w:rFonts w:hint="eastAsia" w:ascii="仿宋_GB2312" w:hAnsi="仿宋_GB2312" w:eastAsia="仿宋_GB2312" w:cs="仿宋_GB2312"/>
          <w:color w:val="auto"/>
          <w:sz w:val="32"/>
          <w:szCs w:val="32"/>
          <w:highlight w:val="none"/>
        </w:rPr>
        <w:t>内的全部可支配收入，即扣除家庭经营费用、生产性固定资产折旧、按规定缴纳的个人所得税和基本社会保障性支出后，家庭现金收入和实物收入之和。主要包括：</w:t>
      </w:r>
    </w:p>
    <w:p w14:paraId="14A496E2">
      <w:pPr>
        <w:keepNext w:val="0"/>
        <w:keepLines w:val="0"/>
        <w:pageBreakBefore w:val="0"/>
        <w:kinsoku/>
        <w:wordWrap/>
        <w:overflowPunct/>
        <w:topLinePunct w:val="0"/>
        <w:autoSpaceDE/>
        <w:bidi w:val="0"/>
        <w:adjustRightIn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工资性收入：</w:t>
      </w:r>
      <w:r>
        <w:rPr>
          <w:rFonts w:hint="eastAsia" w:ascii="仿宋_GB2312" w:hAnsi="仿宋_GB2312" w:eastAsia="仿宋_GB2312" w:cs="仿宋_GB2312"/>
          <w:color w:val="auto"/>
          <w:sz w:val="32"/>
          <w:szCs w:val="32"/>
          <w:highlight w:val="none"/>
        </w:rPr>
        <w:t>指就业人员通过各种途径得到的全部劳动报酬和各种福利</w:t>
      </w:r>
      <w:r>
        <w:rPr>
          <w:rFonts w:hint="eastAsia" w:ascii="仿宋_GB2312" w:hAnsi="仿宋_GB2312" w:eastAsia="仿宋_GB2312" w:cs="仿宋_GB2312"/>
          <w:color w:val="auto"/>
          <w:sz w:val="32"/>
          <w:szCs w:val="32"/>
          <w:highlight w:val="none"/>
          <w:lang w:eastAsia="zh-CN"/>
        </w:rPr>
        <w:t>，包括受雇于单位或者个人、从事各种自由职业、兼职和零星劳动所得，</w:t>
      </w:r>
      <w:r>
        <w:rPr>
          <w:rFonts w:hint="eastAsia" w:ascii="仿宋_GB2312" w:hAnsi="仿宋_GB2312" w:eastAsia="仿宋_GB2312" w:cs="仿宋_GB2312"/>
          <w:color w:val="auto"/>
          <w:sz w:val="32"/>
          <w:szCs w:val="32"/>
          <w:highlight w:val="none"/>
        </w:rPr>
        <w:t>并扣除缴纳的个人所得税及个人按规定缴纳的社会保障支出后的净收入。包括工资、薪金、奖金、分红、津贴、补贴以及与任职或者受雇有关的其他所得等。</w:t>
      </w:r>
    </w:p>
    <w:p w14:paraId="31A5A42A">
      <w:pPr>
        <w:keepNext w:val="0"/>
        <w:keepLines w:val="0"/>
        <w:pageBreakBefore w:val="0"/>
        <w:kinsoku/>
        <w:wordWrap/>
        <w:overflowPunct/>
        <w:topLinePunct w:val="0"/>
        <w:autoSpaceDE/>
        <w:bidi w:val="0"/>
        <w:adjustRightIn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经营净收入：</w:t>
      </w:r>
      <w:r>
        <w:rPr>
          <w:rFonts w:hint="eastAsia" w:ascii="仿宋_GB2312" w:hAnsi="仿宋_GB2312" w:eastAsia="仿宋_GB2312" w:cs="仿宋_GB2312"/>
          <w:color w:val="auto"/>
          <w:sz w:val="32"/>
          <w:szCs w:val="32"/>
          <w:highlight w:val="none"/>
        </w:rPr>
        <w:t>指从事生产经营活动获得的全部经营收入并扣除经营费用、生产性固定资产折旧和生产税之后得到的净收入。包括从事种植、养殖、采集及加工等农林牧渔业的生产收入，从事工业、建筑业、手工业、交通运输业、批发和零售贸易业、文教卫生业和社会服务业等经营收入。</w:t>
      </w:r>
    </w:p>
    <w:p w14:paraId="53323E2D">
      <w:pPr>
        <w:keepNext w:val="0"/>
        <w:keepLines w:val="0"/>
        <w:pageBreakBefore w:val="0"/>
        <w:kinsoku/>
        <w:wordWrap/>
        <w:overflowPunct/>
        <w:topLinePunct w:val="0"/>
        <w:autoSpaceDE/>
        <w:bidi w:val="0"/>
        <w:adjustRightIn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财产净收入：</w:t>
      </w:r>
      <w:r>
        <w:rPr>
          <w:rFonts w:hint="eastAsia" w:ascii="仿宋_GB2312" w:hAnsi="仿宋_GB2312" w:eastAsia="仿宋_GB2312" w:cs="仿宋_GB2312"/>
          <w:color w:val="auto"/>
          <w:sz w:val="32"/>
          <w:szCs w:val="32"/>
          <w:highlight w:val="none"/>
        </w:rPr>
        <w:t>指家庭成员所拥有的金融资产、住房等非金融资产和自然资源交由其他机构、单位或个人使用而获得的回报并扣除相关费用之后得到的净收入。包括土地和房屋出租收入、储蓄存款利息、有价证券红利、投资股息红利、集体财产收入分红、其他投资收入、知识产权收入、财产变卖收入、集体经济组织分配所得、土地承包经营权流转所得、征地拆迁安置补偿所得以及经县级民政部门认定的其他财产性收入。</w:t>
      </w:r>
    </w:p>
    <w:p w14:paraId="65F23121">
      <w:pPr>
        <w:keepNext w:val="0"/>
        <w:keepLines w:val="0"/>
        <w:pageBreakBefore w:val="0"/>
        <w:kinsoku/>
        <w:wordWrap/>
        <w:overflowPunct/>
        <w:topLinePunct w:val="0"/>
        <w:autoSpaceDE/>
        <w:bidi w:val="0"/>
        <w:adjustRightIn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转移净收入：</w:t>
      </w:r>
      <w:r>
        <w:rPr>
          <w:rFonts w:hint="eastAsia" w:ascii="仿宋_GB2312" w:hAnsi="仿宋_GB2312" w:eastAsia="仿宋_GB2312" w:cs="仿宋_GB2312"/>
          <w:color w:val="auto"/>
          <w:sz w:val="32"/>
          <w:szCs w:val="32"/>
          <w:highlight w:val="none"/>
        </w:rPr>
        <w:t>指国家、单位、社会团体对居民的各种经常性转移支付和居民之间的经常性转移净收入。包括离退休金、养老金、统筹外养老待遇、遗属补助、失业保险金、保险索赔、捐赠收入、遗产收入、赡（抚、扶）养收入、一次性安置费和经济补偿金、粮食直补和各种政府补贴、彩票收益</w:t>
      </w:r>
      <w:r>
        <w:rPr>
          <w:rFonts w:hint="eastAsia" w:ascii="仿宋_GB2312" w:hAnsi="仿宋_GB2312" w:eastAsia="仿宋_GB2312" w:cs="仿宋_GB2312"/>
          <w:color w:val="auto"/>
          <w:sz w:val="32"/>
          <w:szCs w:val="32"/>
          <w:highlight w:val="none"/>
          <w:lang w:eastAsia="zh-CN"/>
        </w:rPr>
        <w:t>及其他偶然所得</w:t>
      </w:r>
      <w:r>
        <w:rPr>
          <w:rFonts w:hint="eastAsia" w:ascii="仿宋_GB2312" w:hAnsi="仿宋_GB2312" w:eastAsia="仿宋_GB2312" w:cs="仿宋_GB2312"/>
          <w:color w:val="auto"/>
          <w:sz w:val="32"/>
          <w:szCs w:val="32"/>
          <w:highlight w:val="none"/>
        </w:rPr>
        <w:t>等。</w:t>
      </w:r>
    </w:p>
    <w:p w14:paraId="406D58EB">
      <w:pPr>
        <w:keepNext w:val="0"/>
        <w:keepLines w:val="0"/>
        <w:pageBreakBefore w:val="0"/>
        <w:kinsoku/>
        <w:wordWrap/>
        <w:overflowPunct/>
        <w:topLinePunct w:val="0"/>
        <w:autoSpaceDE/>
        <w:bidi w:val="0"/>
        <w:adjustRightIn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5.其他收入：</w:t>
      </w:r>
      <w:r>
        <w:rPr>
          <w:rFonts w:hint="eastAsia" w:ascii="仿宋_GB2312" w:hAnsi="仿宋_GB2312" w:eastAsia="仿宋_GB2312" w:cs="仿宋_GB2312"/>
          <w:color w:val="auto"/>
          <w:sz w:val="32"/>
          <w:szCs w:val="32"/>
          <w:highlight w:val="none"/>
          <w:lang w:val="en-US" w:eastAsia="zh-CN"/>
        </w:rPr>
        <w:t>指经</w:t>
      </w:r>
      <w:r>
        <w:rPr>
          <w:rFonts w:hint="eastAsia" w:ascii="仿宋_GB2312" w:hAnsi="仿宋_GB2312" w:eastAsia="仿宋_GB2312" w:cs="仿宋_GB2312"/>
          <w:color w:val="auto"/>
          <w:sz w:val="32"/>
          <w:szCs w:val="32"/>
          <w:highlight w:val="none"/>
        </w:rPr>
        <w:t>县级民政部门认定的其他应当计入家庭收入的项目。</w:t>
      </w:r>
    </w:p>
    <w:p w14:paraId="480DA1D5">
      <w:pPr>
        <w:keepNext w:val="0"/>
        <w:keepLines w:val="0"/>
        <w:pageBreakBefore w:val="0"/>
        <w:kinsoku/>
        <w:wordWrap/>
        <w:overflowPunct/>
        <w:topLinePunct w:val="0"/>
        <w:autoSpaceDE/>
        <w:bidi w:val="0"/>
        <w:adjustRightIn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第二十三条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下列项目不计入家庭收入</w:t>
      </w:r>
      <w:r>
        <w:rPr>
          <w:rFonts w:hint="eastAsia" w:ascii="仿宋_GB2312" w:hAnsi="仿宋_GB2312" w:eastAsia="仿宋_GB2312" w:cs="仿宋_GB2312"/>
          <w:color w:val="auto"/>
          <w:sz w:val="32"/>
          <w:szCs w:val="32"/>
          <w:highlight w:val="none"/>
          <w:lang w:eastAsia="zh-CN"/>
        </w:rPr>
        <w:t>：</w:t>
      </w:r>
    </w:p>
    <w:p w14:paraId="0B2E7F0E">
      <w:pPr>
        <w:keepNext w:val="0"/>
        <w:keepLines w:val="0"/>
        <w:pageBreakBefore w:val="0"/>
        <w:kinsoku/>
        <w:wordWrap/>
        <w:overflowPunct/>
        <w:topLinePunct w:val="0"/>
        <w:autoSpaceDE/>
        <w:bidi w:val="0"/>
        <w:adjustRightInd/>
        <w:spacing w:line="560" w:lineRule="exact"/>
        <w:ind w:firstLine="57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（一）政府对为国家、社会和人民做出特殊贡献的个人给予的奖励金和特殊津贴，建国前入党未享受离退休待遇的老党员生活补贴，见义勇为奖励金。</w:t>
      </w:r>
    </w:p>
    <w:p w14:paraId="0D7841C1">
      <w:pPr>
        <w:keepNext w:val="0"/>
        <w:keepLines w:val="0"/>
        <w:pageBreakBefore w:val="0"/>
        <w:kinsoku/>
        <w:wordWrap/>
        <w:overflowPunct/>
        <w:topLinePunct w:val="0"/>
        <w:autoSpaceDE/>
        <w:bidi w:val="0"/>
        <w:adjustRightInd/>
        <w:spacing w:line="560" w:lineRule="exact"/>
        <w:ind w:firstLine="57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（二）现役军人家庭优待金、优抚对象所享受的优抚待遇、自主就业退役士兵地方一次性经济补助、退役士兵一次性自谋职业补助金。</w:t>
      </w:r>
    </w:p>
    <w:p w14:paraId="243AA6A8">
      <w:pPr>
        <w:keepNext w:val="0"/>
        <w:keepLines w:val="0"/>
        <w:pageBreakBefore w:val="0"/>
        <w:kinsoku/>
        <w:wordWrap/>
        <w:overflowPunct/>
        <w:topLinePunct w:val="0"/>
        <w:autoSpaceDE/>
        <w:bidi w:val="0"/>
        <w:adjustRightInd/>
        <w:spacing w:line="560" w:lineRule="exact"/>
        <w:ind w:firstLine="57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（三）政府、社会和学校给予在校贫困学生的助学金、奖学金、生活补助、伙食补助等。</w:t>
      </w:r>
    </w:p>
    <w:p w14:paraId="2442E39E">
      <w:pPr>
        <w:keepNext w:val="0"/>
        <w:keepLines w:val="0"/>
        <w:pageBreakBefore w:val="0"/>
        <w:shd w:val="clear" w:color="auto" w:fill="FFFFFF"/>
        <w:kinsoku/>
        <w:wordWrap/>
        <w:overflowPunct/>
        <w:topLinePunct w:val="0"/>
        <w:autoSpaceDE/>
        <w:bidi w:val="0"/>
        <w:adjustRightIn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（四）政府给予的灾害生活救助、医疗救助、住房修复或重建的临时性救助金。</w:t>
      </w:r>
    </w:p>
    <w:p w14:paraId="1B902FF6">
      <w:pPr>
        <w:keepNext w:val="0"/>
        <w:keepLines w:val="0"/>
        <w:pageBreakBefore w:val="0"/>
        <w:kinsoku/>
        <w:wordWrap/>
        <w:overflowPunct/>
        <w:topLinePunct w:val="0"/>
        <w:autoSpaceDE/>
        <w:bidi w:val="0"/>
        <w:adjustRightInd/>
        <w:spacing w:line="560" w:lineRule="exact"/>
        <w:ind w:firstLine="57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（五）社会组织和个人给予的医疗、住房修复或重建等社会捐赠款（捐赠款用于全部医疗、住房修复开支后，所剩余的捐赠款除外）。</w:t>
      </w:r>
    </w:p>
    <w:p w14:paraId="7122A49D">
      <w:pPr>
        <w:keepNext w:val="0"/>
        <w:keepLines w:val="0"/>
        <w:pageBreakBefore w:val="0"/>
        <w:kinsoku/>
        <w:wordWrap/>
        <w:overflowPunct/>
        <w:topLinePunct w:val="0"/>
        <w:autoSpaceDE/>
        <w:bidi w:val="0"/>
        <w:adjustRightInd/>
        <w:spacing w:line="560" w:lineRule="exact"/>
        <w:ind w:firstLine="576"/>
        <w:textAlignment w:val="auto"/>
        <w:rPr>
          <w:rFonts w:hint="eastAsia"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pacing w:val="-5"/>
          <w:sz w:val="32"/>
          <w:szCs w:val="32"/>
          <w:highlight w:val="none"/>
        </w:rPr>
        <w:t>（六）因工（公）负伤人员的工伤医疗费、护理费、一次性伤残补助金、残疾人辅助器具费，因工（公）死亡人员的丧葬补助费、一次性抚恤费、人身伤害赔偿金中除生活补助费以外的部分。</w:t>
      </w:r>
    </w:p>
    <w:p w14:paraId="7EB3E8AF">
      <w:pPr>
        <w:keepNext w:val="0"/>
        <w:keepLines w:val="0"/>
        <w:pageBreakBefore w:val="0"/>
        <w:kinsoku/>
        <w:wordWrap/>
        <w:overflowPunct/>
        <w:topLinePunct w:val="0"/>
        <w:autoSpaceDE/>
        <w:bidi w:val="0"/>
        <w:adjustRightInd/>
        <w:spacing w:line="560" w:lineRule="exact"/>
        <w:ind w:firstLine="57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（七）征地拆迁安置补偿所得中按照规定用于购买（或重建）自住房屋（含必要的搬迁、装修、购置普通家具家电）等实际支出的部分。</w:t>
      </w:r>
    </w:p>
    <w:p w14:paraId="0D0CAAB2">
      <w:pPr>
        <w:keepNext w:val="0"/>
        <w:keepLines w:val="0"/>
        <w:pageBreakBefore w:val="0"/>
        <w:kinsoku/>
        <w:wordWrap/>
        <w:overflowPunct/>
        <w:topLinePunct w:val="0"/>
        <w:autoSpaceDE/>
        <w:bidi w:val="0"/>
        <w:adjustRightInd/>
        <w:spacing w:line="560" w:lineRule="exact"/>
        <w:ind w:firstLine="57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（八）政府发放的高龄老人津贴、价格临时补贴、节日补助、一次性生活补助金、计划生育奖励扶助救助金、困难残疾人的生活补贴、重度残疾人的护理补贴等。</w:t>
      </w:r>
    </w:p>
    <w:p w14:paraId="5473B327">
      <w:pPr>
        <w:keepNext w:val="0"/>
        <w:keepLines w:val="0"/>
        <w:pageBreakBefore w:val="0"/>
        <w:kinsoku/>
        <w:wordWrap/>
        <w:overflowPunct/>
        <w:topLinePunct w:val="0"/>
        <w:autoSpaceDE/>
        <w:bidi w:val="0"/>
        <w:adjustRightInd/>
        <w:spacing w:line="560" w:lineRule="exact"/>
        <w:ind w:firstLine="57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（九）城乡居民基本养老保险基础养老金。</w:t>
      </w:r>
    </w:p>
    <w:p w14:paraId="730A20D5">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（十）经县</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人民政府民政部门认定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其他不应当计入家庭收入的项目。</w:t>
      </w:r>
    </w:p>
    <w:p w14:paraId="0C35498A">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 xml:space="preserve">第二十四条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下列情形可认定为符合低保边缘家庭财产状况规定：</w:t>
      </w:r>
    </w:p>
    <w:p w14:paraId="426C1CF9">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bidi="ar-SA"/>
        </w:rPr>
        <w:t>（一）</w:t>
      </w:r>
      <w:r>
        <w:rPr>
          <w:rFonts w:hint="eastAsia" w:ascii="仿宋_GB2312" w:hAnsi="仿宋_GB2312" w:eastAsia="仿宋_GB2312" w:cs="仿宋_GB2312"/>
          <w:b w:val="0"/>
          <w:bCs w:val="0"/>
          <w:color w:val="auto"/>
          <w:sz w:val="32"/>
          <w:szCs w:val="32"/>
          <w:highlight w:val="none"/>
          <w:lang w:eastAsia="zh-CN"/>
        </w:rPr>
        <w:t>有</w:t>
      </w:r>
      <w:r>
        <w:rPr>
          <w:rFonts w:hint="eastAsia" w:ascii="仿宋_GB2312" w:hAnsi="仿宋_GB2312" w:eastAsia="仿宋_GB2312" w:cs="仿宋_GB2312"/>
          <w:b w:val="0"/>
          <w:bCs w:val="0"/>
          <w:color w:val="auto"/>
          <w:sz w:val="32"/>
          <w:szCs w:val="32"/>
          <w:highlight w:val="none"/>
          <w:lang w:val="en-US" w:eastAsia="zh-CN"/>
        </w:rPr>
        <w:t>一台</w:t>
      </w:r>
      <w:r>
        <w:rPr>
          <w:rFonts w:hint="eastAsia" w:ascii="仿宋_GB2312" w:hAnsi="仿宋_GB2312" w:eastAsia="仿宋_GB2312" w:cs="仿宋_GB2312"/>
          <w:b w:val="0"/>
          <w:bCs w:val="0"/>
          <w:color w:val="auto"/>
          <w:sz w:val="32"/>
          <w:szCs w:val="32"/>
          <w:highlight w:val="none"/>
          <w:lang w:eastAsia="zh-CN"/>
        </w:rPr>
        <w:t>现评估价值5万元以下，且用于家庭谋生或者接送重病重残人员治疗康复车辆的家庭。</w:t>
      </w:r>
    </w:p>
    <w:p w14:paraId="6F50EDA3">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（二）有</w:t>
      </w:r>
      <w:r>
        <w:rPr>
          <w:rFonts w:hint="eastAsia" w:ascii="仿宋_GB2312" w:hAnsi="仿宋_GB2312" w:eastAsia="仿宋_GB2312" w:cs="仿宋_GB2312"/>
          <w:b w:val="0"/>
          <w:bCs w:val="0"/>
          <w:color w:val="auto"/>
          <w:sz w:val="32"/>
          <w:szCs w:val="32"/>
          <w:highlight w:val="none"/>
          <w:lang w:val="en-US" w:eastAsia="zh-CN"/>
        </w:rPr>
        <w:t>一套</w:t>
      </w:r>
      <w:r>
        <w:rPr>
          <w:rFonts w:hint="eastAsia" w:ascii="仿宋_GB2312" w:hAnsi="仿宋_GB2312" w:eastAsia="仿宋_GB2312" w:cs="仿宋_GB2312"/>
          <w:b w:val="0"/>
          <w:bCs w:val="0"/>
          <w:color w:val="auto"/>
          <w:sz w:val="32"/>
          <w:szCs w:val="32"/>
          <w:highlight w:val="none"/>
          <w:lang w:eastAsia="zh-CN"/>
        </w:rPr>
        <w:t>现评估价值</w:t>
      </w:r>
      <w:r>
        <w:rPr>
          <w:rFonts w:hint="eastAsia" w:ascii="仿宋_GB2312" w:hAnsi="仿宋_GB2312" w:eastAsia="仿宋_GB2312" w:cs="仿宋_GB2312"/>
          <w:b w:val="0"/>
          <w:bCs w:val="0"/>
          <w:color w:val="auto"/>
          <w:sz w:val="32"/>
          <w:szCs w:val="32"/>
          <w:highlight w:val="none"/>
          <w:lang w:val="en-US" w:eastAsia="zh-CN"/>
        </w:rPr>
        <w:t>60</w:t>
      </w:r>
      <w:r>
        <w:rPr>
          <w:rFonts w:hint="eastAsia" w:ascii="仿宋_GB2312" w:hAnsi="仿宋_GB2312" w:eastAsia="仿宋_GB2312" w:cs="仿宋_GB2312"/>
          <w:b w:val="0"/>
          <w:bCs w:val="0"/>
          <w:color w:val="auto"/>
          <w:sz w:val="32"/>
          <w:szCs w:val="32"/>
          <w:highlight w:val="none"/>
          <w:lang w:eastAsia="zh-CN"/>
        </w:rPr>
        <w:t>万元以下商品房产</w:t>
      </w:r>
      <w:r>
        <w:rPr>
          <w:rFonts w:hint="eastAsia" w:ascii="仿宋_GB2312" w:hAnsi="仿宋_GB2312" w:eastAsia="仿宋_GB2312" w:cs="仿宋_GB2312"/>
          <w:b w:val="0"/>
          <w:bCs w:val="0"/>
          <w:color w:val="auto"/>
          <w:sz w:val="32"/>
          <w:szCs w:val="32"/>
          <w:highlight w:val="none"/>
          <w:lang w:val="en-US" w:eastAsia="zh-CN"/>
        </w:rPr>
        <w:t>的家庭。</w:t>
      </w:r>
    </w:p>
    <w:p w14:paraId="78245019">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）有</w:t>
      </w:r>
      <w:r>
        <w:rPr>
          <w:rFonts w:hint="eastAsia" w:ascii="仿宋_GB2312" w:hAnsi="仿宋_GB2312" w:eastAsia="仿宋_GB2312" w:cs="仿宋_GB2312"/>
          <w:b w:val="0"/>
          <w:bCs w:val="0"/>
          <w:color w:val="auto"/>
          <w:sz w:val="32"/>
          <w:szCs w:val="32"/>
          <w:highlight w:val="none"/>
          <w:lang w:val="en-US" w:eastAsia="zh-CN"/>
        </w:rPr>
        <w:t>一个</w:t>
      </w:r>
      <w:r>
        <w:rPr>
          <w:rFonts w:hint="eastAsia" w:ascii="仿宋_GB2312" w:hAnsi="仿宋_GB2312" w:eastAsia="仿宋_GB2312" w:cs="仿宋_GB2312"/>
          <w:b w:val="0"/>
          <w:bCs w:val="0"/>
          <w:color w:val="auto"/>
          <w:sz w:val="32"/>
          <w:szCs w:val="32"/>
          <w:highlight w:val="none"/>
          <w:lang w:eastAsia="zh-CN"/>
        </w:rPr>
        <w:t>现评估价值</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lang w:eastAsia="zh-CN"/>
        </w:rPr>
        <w:t>万元以下</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eastAsia="zh-CN"/>
        </w:rPr>
        <w:t>工商登记且用于家庭谋生的小商铺、小卖部的家庭。</w:t>
      </w:r>
    </w:p>
    <w:p w14:paraId="1C1F51FE">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）子女中有</w:t>
      </w:r>
      <w:r>
        <w:rPr>
          <w:rFonts w:hint="eastAsia" w:ascii="仿宋_GB2312" w:hAnsi="仿宋_GB2312" w:eastAsia="仿宋_GB2312" w:cs="仿宋_GB2312"/>
          <w:b w:val="0"/>
          <w:bCs w:val="0"/>
          <w:color w:val="auto"/>
          <w:sz w:val="32"/>
          <w:szCs w:val="32"/>
          <w:highlight w:val="none"/>
          <w:lang w:val="en-US" w:eastAsia="zh-CN"/>
        </w:rPr>
        <w:t>1人</w:t>
      </w:r>
      <w:r>
        <w:rPr>
          <w:rFonts w:hint="eastAsia" w:ascii="仿宋_GB2312" w:hAnsi="仿宋_GB2312" w:eastAsia="仿宋_GB2312" w:cs="仿宋_GB2312"/>
          <w:b w:val="0"/>
          <w:bCs w:val="0"/>
          <w:color w:val="auto"/>
          <w:sz w:val="32"/>
          <w:szCs w:val="32"/>
          <w:highlight w:val="none"/>
          <w:lang w:eastAsia="zh-CN"/>
        </w:rPr>
        <w:t>就读民办学校，接受本科及以下全日制学历教育，教育费用</w:t>
      </w:r>
      <w:r>
        <w:rPr>
          <w:rFonts w:hint="eastAsia" w:ascii="仿宋_GB2312" w:hAnsi="仿宋_GB2312" w:eastAsia="仿宋_GB2312" w:cs="仿宋_GB2312"/>
          <w:b w:val="0"/>
          <w:bCs w:val="0"/>
          <w:color w:val="auto"/>
          <w:sz w:val="32"/>
          <w:szCs w:val="32"/>
          <w:highlight w:val="none"/>
          <w:lang w:val="en-US" w:eastAsia="zh-CN"/>
        </w:rPr>
        <w:t>在30000元/年以下的</w:t>
      </w:r>
      <w:r>
        <w:rPr>
          <w:rFonts w:hint="eastAsia" w:ascii="仿宋_GB2312" w:hAnsi="仿宋_GB2312" w:eastAsia="仿宋_GB2312" w:cs="仿宋_GB2312"/>
          <w:b w:val="0"/>
          <w:bCs w:val="0"/>
          <w:color w:val="auto"/>
          <w:sz w:val="32"/>
          <w:szCs w:val="32"/>
          <w:highlight w:val="none"/>
          <w:lang w:eastAsia="zh-CN"/>
        </w:rPr>
        <w:t>家庭。</w:t>
      </w:r>
    </w:p>
    <w:p w14:paraId="7E41895E">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eastAsia="zh-CN"/>
        </w:rPr>
        <w:t>）其他低保边缘家庭财产状况规定按照低保家庭财产状况规定落实。</w:t>
      </w:r>
    </w:p>
    <w:p w14:paraId="6A76B87B">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rPr>
        <w:t>二十</w:t>
      </w: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有下列情形之一的，可认定为</w:t>
      </w:r>
      <w:r>
        <w:rPr>
          <w:rFonts w:hint="eastAsia" w:ascii="仿宋_GB2312" w:hAnsi="仿宋_GB2312" w:eastAsia="仿宋_GB2312" w:cs="仿宋_GB2312"/>
          <w:color w:val="auto"/>
          <w:sz w:val="32"/>
          <w:szCs w:val="32"/>
          <w:highlight w:val="none"/>
          <w:lang w:eastAsia="zh-CN"/>
        </w:rPr>
        <w:t>不符合低保家庭</w:t>
      </w:r>
      <w:r>
        <w:rPr>
          <w:rFonts w:hint="eastAsia" w:ascii="仿宋_GB2312" w:hAnsi="仿宋_GB2312" w:eastAsia="仿宋_GB2312" w:cs="仿宋_GB2312"/>
          <w:color w:val="auto"/>
          <w:sz w:val="32"/>
          <w:szCs w:val="32"/>
          <w:highlight w:val="none"/>
        </w:rPr>
        <w:t>财产状况规定</w:t>
      </w:r>
      <w:r>
        <w:rPr>
          <w:rFonts w:hint="eastAsia" w:ascii="仿宋_GB2312" w:hAnsi="仿宋_GB2312" w:eastAsia="仿宋_GB2312" w:cs="仿宋_GB2312"/>
          <w:color w:val="auto"/>
          <w:sz w:val="32"/>
          <w:szCs w:val="32"/>
          <w:highlight w:val="none"/>
          <w:lang w:eastAsia="zh-CN"/>
        </w:rPr>
        <w:t>或行为</w:t>
      </w:r>
      <w:r>
        <w:rPr>
          <w:rFonts w:hint="eastAsia" w:ascii="仿宋_GB2312" w:hAnsi="仿宋_GB2312" w:eastAsia="仿宋_GB2312" w:cs="仿宋_GB2312"/>
          <w:color w:val="auto"/>
          <w:sz w:val="32"/>
          <w:szCs w:val="32"/>
          <w:highlight w:val="none"/>
        </w:rPr>
        <w:t>，不得批准享受低保待遇：</w:t>
      </w:r>
    </w:p>
    <w:p w14:paraId="22E5E572">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）有法定赡（抚、扶）养义务人，且有经济能力的人员因不履行义务，造成被赡（抚、扶）养对象生活困难的人员及其家庭</w:t>
      </w:r>
      <w:r>
        <w:rPr>
          <w:rFonts w:hint="eastAsia" w:ascii="仿宋_GB2312" w:hAnsi="仿宋_GB2312" w:eastAsia="仿宋_GB2312" w:cs="仿宋_GB2312"/>
          <w:b w:val="0"/>
          <w:bCs w:val="0"/>
          <w:color w:val="auto"/>
          <w:sz w:val="32"/>
          <w:szCs w:val="32"/>
          <w:highlight w:val="none"/>
          <w:lang w:eastAsia="zh-CN"/>
        </w:rPr>
        <w:t>。</w:t>
      </w:r>
    </w:p>
    <w:p w14:paraId="49DDCAE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）家庭金融资产人均金额</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市值</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2人及2人以下家庭，人均超过上年度当地居民人均消费支出的1.2倍；3人及3人以上家庭，人均超过上年度当地居民人均消费支出</w:t>
      </w:r>
      <w:r>
        <w:rPr>
          <w:rFonts w:hint="eastAsia" w:ascii="仿宋_GB2312" w:hAnsi="仿宋_GB2312" w:eastAsia="仿宋_GB2312" w:cs="仿宋_GB2312"/>
          <w:b w:val="0"/>
          <w:bCs w:val="0"/>
          <w:color w:val="auto"/>
          <w:sz w:val="32"/>
          <w:szCs w:val="32"/>
          <w:highlight w:val="none"/>
          <w:lang w:eastAsia="zh-CN"/>
        </w:rPr>
        <w:t>。</w:t>
      </w:r>
    </w:p>
    <w:p w14:paraId="00721570">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提出申请前和享受低保待遇期间拥有非生活必需的机动车、船舶或大型农机具的（</w:t>
      </w:r>
      <w:r>
        <w:rPr>
          <w:rFonts w:hint="eastAsia" w:ascii="仿宋_GB2312" w:hAnsi="仿宋_GB2312" w:eastAsia="仿宋_GB2312" w:cs="仿宋_GB2312"/>
          <w:b w:val="0"/>
          <w:bCs w:val="0"/>
          <w:color w:val="auto"/>
          <w:sz w:val="32"/>
          <w:szCs w:val="32"/>
          <w:highlight w:val="none"/>
          <w:lang w:eastAsia="zh-CN"/>
        </w:rPr>
        <w:t>现评估价值低于</w:t>
      </w:r>
      <w:r>
        <w:rPr>
          <w:rFonts w:hint="eastAsia" w:ascii="仿宋_GB2312" w:hAnsi="仿宋_GB2312" w:eastAsia="仿宋_GB2312" w:cs="仿宋_GB2312"/>
          <w:b w:val="0"/>
          <w:bCs w:val="0"/>
          <w:color w:val="auto"/>
          <w:sz w:val="32"/>
          <w:szCs w:val="32"/>
          <w:highlight w:val="none"/>
          <w:lang w:val="en-US" w:eastAsia="zh-CN"/>
        </w:rPr>
        <w:t>5万元用于家庭谋生、治疗康复的除外</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p>
    <w:p w14:paraId="25B32E8F">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）家庭在申请社会救助前12个月内或享受社会救助期间非征地拆迁等原因购置房产或宅基地、</w:t>
      </w:r>
      <w:r>
        <w:rPr>
          <w:rFonts w:hint="eastAsia" w:ascii="仿宋_GB2312" w:hAnsi="仿宋_GB2312" w:eastAsia="仿宋_GB2312" w:cs="仿宋_GB2312"/>
          <w:b w:val="0"/>
          <w:bCs w:val="0"/>
          <w:color w:val="auto"/>
          <w:sz w:val="32"/>
          <w:szCs w:val="32"/>
          <w:highlight w:val="none"/>
          <w:lang w:eastAsia="zh-CN"/>
        </w:rPr>
        <w:t>建新房、</w:t>
      </w:r>
      <w:r>
        <w:rPr>
          <w:rFonts w:hint="eastAsia" w:ascii="仿宋_GB2312" w:hAnsi="仿宋_GB2312" w:eastAsia="仿宋_GB2312" w:cs="仿宋_GB2312"/>
          <w:b w:val="0"/>
          <w:bCs w:val="0"/>
          <w:color w:val="auto"/>
          <w:sz w:val="32"/>
          <w:szCs w:val="32"/>
          <w:highlight w:val="none"/>
        </w:rPr>
        <w:t>豪华装修住房的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突发重病大病或者急难事故除外</w:t>
      </w:r>
      <w:r>
        <w:rPr>
          <w:rFonts w:hint="eastAsia" w:ascii="仿宋_GB2312" w:hAnsi="仿宋_GB2312" w:eastAsia="仿宋_GB2312" w:cs="仿宋_GB2312"/>
          <w:b w:val="0"/>
          <w:bCs w:val="0"/>
          <w:color w:val="auto"/>
          <w:sz w:val="32"/>
          <w:szCs w:val="32"/>
          <w:highlight w:val="none"/>
          <w:lang w:eastAsia="zh-CN"/>
        </w:rPr>
        <w:t>）。</w:t>
      </w:r>
    </w:p>
    <w:p w14:paraId="5668E78F">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五</w:t>
      </w:r>
      <w:r>
        <w:rPr>
          <w:rFonts w:hint="eastAsia" w:ascii="仿宋_GB2312" w:hAnsi="仿宋_GB2312" w:eastAsia="仿宋_GB2312" w:cs="仿宋_GB2312"/>
          <w:b w:val="0"/>
          <w:bCs w:val="0"/>
          <w:color w:val="auto"/>
          <w:sz w:val="32"/>
          <w:szCs w:val="32"/>
          <w:highlight w:val="none"/>
        </w:rPr>
        <w:t>）家庭拥有非住宅类房屋，且非兼做家庭唯一居住场所的</w:t>
      </w:r>
      <w:r>
        <w:rPr>
          <w:rFonts w:hint="eastAsia" w:ascii="仿宋_GB2312" w:hAnsi="仿宋_GB2312" w:eastAsia="仿宋_GB2312" w:cs="仿宋_GB2312"/>
          <w:b w:val="0"/>
          <w:bCs w:val="0"/>
          <w:color w:val="auto"/>
          <w:sz w:val="32"/>
          <w:szCs w:val="32"/>
          <w:highlight w:val="none"/>
          <w:lang w:eastAsia="zh-CN"/>
        </w:rPr>
        <w:t>。</w:t>
      </w:r>
    </w:p>
    <w:p w14:paraId="10C4CDEA">
      <w:pPr>
        <w:keepNext w:val="0"/>
        <w:keepLines w:val="0"/>
        <w:pageBreakBefore w:val="0"/>
        <w:tabs>
          <w:tab w:val="left" w:pos="2520"/>
        </w:tabs>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六</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家庭拥有两套及以上房产的</w:t>
      </w:r>
      <w:r>
        <w:rPr>
          <w:rFonts w:hint="eastAsia" w:ascii="仿宋_GB2312" w:hAnsi="仿宋_GB2312" w:eastAsia="仿宋_GB2312" w:cs="仿宋_GB2312"/>
          <w:b w:val="0"/>
          <w:bCs w:val="0"/>
          <w:color w:val="auto"/>
          <w:sz w:val="32"/>
          <w:szCs w:val="32"/>
          <w:highlight w:val="none"/>
        </w:rPr>
        <w:t>（含</w:t>
      </w:r>
      <w:r>
        <w:rPr>
          <w:rFonts w:hint="eastAsia" w:ascii="仿宋_GB2312" w:hAnsi="仿宋_GB2312" w:eastAsia="仿宋_GB2312" w:cs="仿宋_GB2312"/>
          <w:b w:val="0"/>
          <w:bCs w:val="0"/>
          <w:color w:val="auto"/>
          <w:sz w:val="32"/>
          <w:szCs w:val="32"/>
          <w:highlight w:val="none"/>
          <w:lang w:eastAsia="zh-CN"/>
        </w:rPr>
        <w:t>两</w:t>
      </w:r>
      <w:r>
        <w:rPr>
          <w:rFonts w:hint="eastAsia" w:ascii="仿宋_GB2312" w:hAnsi="仿宋_GB2312" w:eastAsia="仿宋_GB2312" w:cs="仿宋_GB2312"/>
          <w:b w:val="0"/>
          <w:bCs w:val="0"/>
          <w:color w:val="auto"/>
          <w:sz w:val="32"/>
          <w:szCs w:val="32"/>
          <w:highlight w:val="none"/>
        </w:rPr>
        <w:t>套，危房、</w:t>
      </w:r>
      <w:r>
        <w:rPr>
          <w:rFonts w:hint="eastAsia" w:ascii="仿宋_GB2312" w:hAnsi="仿宋_GB2312" w:eastAsia="仿宋_GB2312" w:cs="仿宋_GB2312"/>
          <w:b w:val="0"/>
          <w:bCs w:val="0"/>
          <w:color w:val="auto"/>
          <w:sz w:val="32"/>
          <w:szCs w:val="32"/>
          <w:highlight w:val="none"/>
          <w:lang w:val="en-US" w:eastAsia="zh-CN"/>
        </w:rPr>
        <w:t xml:space="preserve">父辈留下祖屋且不作出租的除外）。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p>
    <w:p w14:paraId="7939DE11">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七</w:t>
      </w:r>
      <w:r>
        <w:rPr>
          <w:rFonts w:hint="eastAsia" w:ascii="仿宋_GB2312" w:hAnsi="仿宋_GB2312" w:eastAsia="仿宋_GB2312" w:cs="仿宋_GB2312"/>
          <w:b w:val="0"/>
          <w:bCs w:val="0"/>
          <w:color w:val="auto"/>
          <w:sz w:val="32"/>
          <w:szCs w:val="32"/>
          <w:highlight w:val="none"/>
        </w:rPr>
        <w:t>）提出申请前</w:t>
      </w:r>
      <w:r>
        <w:rPr>
          <w:rFonts w:hint="eastAsia" w:ascii="仿宋_GB2312" w:hAnsi="仿宋_GB2312" w:eastAsia="仿宋_GB2312" w:cs="仿宋_GB2312"/>
          <w:b w:val="0"/>
          <w:bCs w:val="0"/>
          <w:color w:val="auto"/>
          <w:sz w:val="32"/>
          <w:szCs w:val="32"/>
          <w:highlight w:val="none"/>
          <w:lang w:val="en-US" w:eastAsia="zh-CN"/>
        </w:rPr>
        <w:t>12个月</w:t>
      </w:r>
      <w:r>
        <w:rPr>
          <w:rFonts w:hint="eastAsia" w:ascii="仿宋_GB2312" w:hAnsi="仿宋_GB2312" w:eastAsia="仿宋_GB2312" w:cs="仿宋_GB2312"/>
          <w:b w:val="0"/>
          <w:bCs w:val="0"/>
          <w:color w:val="auto"/>
          <w:sz w:val="32"/>
          <w:szCs w:val="32"/>
          <w:highlight w:val="none"/>
        </w:rPr>
        <w:t>内或享受低保待遇期间家庭成员有安排子女出国留学或就读</w:t>
      </w:r>
      <w:r>
        <w:rPr>
          <w:rFonts w:hint="eastAsia" w:ascii="仿宋_GB2312" w:hAnsi="仿宋_GB2312" w:eastAsia="仿宋_GB2312" w:cs="仿宋_GB2312"/>
          <w:b w:val="0"/>
          <w:bCs w:val="0"/>
          <w:color w:val="auto"/>
          <w:sz w:val="32"/>
          <w:szCs w:val="32"/>
          <w:highlight w:val="none"/>
          <w:lang w:eastAsia="zh-CN"/>
        </w:rPr>
        <w:t>民办</w:t>
      </w:r>
      <w:r>
        <w:rPr>
          <w:rFonts w:hint="eastAsia" w:ascii="仿宋_GB2312" w:hAnsi="仿宋_GB2312" w:eastAsia="仿宋_GB2312" w:cs="仿宋_GB2312"/>
          <w:b w:val="0"/>
          <w:bCs w:val="0"/>
          <w:color w:val="auto"/>
          <w:sz w:val="32"/>
          <w:szCs w:val="32"/>
          <w:highlight w:val="none"/>
        </w:rPr>
        <w:t>高收费学校</w:t>
      </w:r>
      <w:r>
        <w:rPr>
          <w:rFonts w:hint="eastAsia" w:ascii="仿宋_GB2312" w:hAnsi="仿宋_GB2312" w:eastAsia="仿宋_GB2312" w:cs="仿宋_GB2312"/>
          <w:b w:val="0"/>
          <w:bCs w:val="0"/>
          <w:color w:val="auto"/>
          <w:sz w:val="32"/>
          <w:szCs w:val="32"/>
          <w:highlight w:val="none"/>
          <w:lang w:eastAsia="zh-CN"/>
        </w:rPr>
        <w:t>或</w:t>
      </w:r>
      <w:r>
        <w:rPr>
          <w:rFonts w:hint="eastAsia" w:ascii="仿宋_GB2312" w:hAnsi="仿宋_GB2312" w:eastAsia="仿宋_GB2312" w:cs="仿宋_GB2312"/>
          <w:b w:val="0"/>
          <w:bCs w:val="0"/>
          <w:color w:val="auto"/>
          <w:sz w:val="32"/>
          <w:szCs w:val="32"/>
          <w:highlight w:val="none"/>
        </w:rPr>
        <w:t>家庭成员自费出国旅游等，家庭日常生活消费支出明显高于低收入家庭标准的</w:t>
      </w:r>
      <w:r>
        <w:rPr>
          <w:rFonts w:hint="eastAsia" w:ascii="仿宋_GB2312" w:hAnsi="仿宋_GB2312" w:eastAsia="仿宋_GB2312" w:cs="仿宋_GB2312"/>
          <w:b w:val="0"/>
          <w:bCs w:val="0"/>
          <w:color w:val="auto"/>
          <w:sz w:val="32"/>
          <w:szCs w:val="32"/>
          <w:highlight w:val="none"/>
          <w:lang w:eastAsia="zh-CN"/>
        </w:rPr>
        <w:t>。</w:t>
      </w:r>
    </w:p>
    <w:p w14:paraId="600F904E">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八</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家庭成员有</w:t>
      </w:r>
      <w:r>
        <w:rPr>
          <w:rFonts w:hint="eastAsia" w:ascii="仿宋_GB2312" w:hAnsi="仿宋_GB2312" w:eastAsia="仿宋_GB2312" w:cs="仿宋_GB2312"/>
          <w:b w:val="0"/>
          <w:bCs w:val="0"/>
          <w:color w:val="auto"/>
          <w:sz w:val="32"/>
          <w:szCs w:val="32"/>
          <w:highlight w:val="none"/>
        </w:rPr>
        <w:t>证券买卖或投资行为的</w:t>
      </w:r>
      <w:r>
        <w:rPr>
          <w:rFonts w:hint="eastAsia" w:ascii="仿宋_GB2312" w:hAnsi="仿宋_GB2312" w:eastAsia="仿宋_GB2312" w:cs="仿宋_GB2312"/>
          <w:b w:val="0"/>
          <w:bCs w:val="0"/>
          <w:color w:val="auto"/>
          <w:sz w:val="32"/>
          <w:szCs w:val="32"/>
          <w:highlight w:val="none"/>
          <w:lang w:eastAsia="zh-CN"/>
        </w:rPr>
        <w:t>。</w:t>
      </w:r>
    </w:p>
    <w:p w14:paraId="4DFC8458">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九</w:t>
      </w:r>
      <w:r>
        <w:rPr>
          <w:rFonts w:hint="eastAsia" w:ascii="仿宋_GB2312" w:hAnsi="仿宋_GB2312" w:eastAsia="仿宋_GB2312" w:cs="仿宋_GB2312"/>
          <w:b w:val="0"/>
          <w:bCs w:val="0"/>
          <w:color w:val="auto"/>
          <w:sz w:val="32"/>
          <w:szCs w:val="32"/>
          <w:highlight w:val="none"/>
        </w:rPr>
        <w:t>）失业家庭成员在劳动年龄内有劳动能力而不进行失业登记，或经就业服务机构3次介绍就业无正当理由拒绝就业，或就业后无正当理由放弃就业的</w:t>
      </w:r>
      <w:r>
        <w:rPr>
          <w:rFonts w:hint="eastAsia" w:ascii="仿宋_GB2312" w:hAnsi="仿宋_GB2312" w:eastAsia="仿宋_GB2312" w:cs="仿宋_GB2312"/>
          <w:b w:val="0"/>
          <w:bCs w:val="0"/>
          <w:color w:val="auto"/>
          <w:sz w:val="32"/>
          <w:szCs w:val="32"/>
          <w:highlight w:val="none"/>
          <w:lang w:eastAsia="zh-CN"/>
        </w:rPr>
        <w:t>。</w:t>
      </w:r>
    </w:p>
    <w:p w14:paraId="3253A5A5">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eastAsia="仿宋_GB2312" w:cs="仿宋_GB2312"/>
          <w:b w:val="0"/>
          <w:bCs w:val="0"/>
          <w:color w:val="auto"/>
          <w:sz w:val="32"/>
          <w:szCs w:val="32"/>
          <w:highlight w:val="none"/>
        </w:rPr>
        <w:t>）因赌博、吸毒行为造成家庭生活困难且拒不改正的</w:t>
      </w:r>
      <w:r>
        <w:rPr>
          <w:rFonts w:hint="eastAsia" w:ascii="仿宋_GB2312" w:hAnsi="仿宋_GB2312" w:eastAsia="仿宋_GB2312" w:cs="仿宋_GB2312"/>
          <w:b w:val="0"/>
          <w:bCs w:val="0"/>
          <w:color w:val="auto"/>
          <w:sz w:val="32"/>
          <w:szCs w:val="32"/>
          <w:highlight w:val="none"/>
          <w:lang w:eastAsia="zh-CN"/>
        </w:rPr>
        <w:t>。</w:t>
      </w:r>
    </w:p>
    <w:p w14:paraId="5473B256">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十一</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抛</w:t>
      </w:r>
      <w:r>
        <w:rPr>
          <w:rFonts w:hint="eastAsia" w:ascii="仿宋_GB2312" w:hAnsi="仿宋_GB2312" w:eastAsia="仿宋_GB2312" w:cs="仿宋_GB2312"/>
          <w:b w:val="0"/>
          <w:bCs w:val="0"/>
          <w:color w:val="auto"/>
          <w:sz w:val="32"/>
          <w:szCs w:val="32"/>
          <w:highlight w:val="none"/>
        </w:rPr>
        <w:t>荒责任田（土）的。</w:t>
      </w:r>
    </w:p>
    <w:p w14:paraId="4D86950A">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）未按规定提出申请、签署授权书，未提供有关证明、证件，或证明、证件提供不齐全，或不配合工作人员进行调查的</w:t>
      </w:r>
      <w:r>
        <w:rPr>
          <w:rFonts w:hint="eastAsia" w:ascii="仿宋_GB2312" w:hAnsi="仿宋_GB2312" w:eastAsia="仿宋_GB2312" w:cs="仿宋_GB2312"/>
          <w:b w:val="0"/>
          <w:bCs w:val="0"/>
          <w:color w:val="auto"/>
          <w:sz w:val="32"/>
          <w:szCs w:val="32"/>
          <w:highlight w:val="none"/>
          <w:lang w:eastAsia="zh-CN"/>
        </w:rPr>
        <w:t>。</w:t>
      </w:r>
    </w:p>
    <w:p w14:paraId="54F8036A">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）雇佣他人从事经营性活动的</w:t>
      </w:r>
      <w:r>
        <w:rPr>
          <w:rFonts w:hint="eastAsia" w:ascii="仿宋_GB2312" w:hAnsi="仿宋_GB2312" w:eastAsia="仿宋_GB2312" w:cs="仿宋_GB2312"/>
          <w:b w:val="0"/>
          <w:bCs w:val="0"/>
          <w:color w:val="auto"/>
          <w:sz w:val="32"/>
          <w:szCs w:val="32"/>
          <w:highlight w:val="none"/>
          <w:lang w:eastAsia="zh-CN"/>
        </w:rPr>
        <w:t>。</w:t>
      </w:r>
    </w:p>
    <w:p w14:paraId="4D9D232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）不如实提供家庭情况，故意隐瞒真实收入、财产和人</w:t>
      </w:r>
      <w:r>
        <w:rPr>
          <w:rFonts w:hint="eastAsia" w:ascii="仿宋_GB2312" w:hAnsi="仿宋_GB2312" w:eastAsia="仿宋_GB2312" w:cs="仿宋_GB2312"/>
          <w:b w:val="0"/>
          <w:bCs w:val="0"/>
          <w:color w:val="auto"/>
          <w:sz w:val="32"/>
          <w:szCs w:val="32"/>
          <w:highlight w:val="none"/>
          <w:lang w:eastAsia="zh-CN"/>
        </w:rPr>
        <w:t>员</w:t>
      </w:r>
      <w:r>
        <w:rPr>
          <w:rFonts w:hint="eastAsia" w:ascii="仿宋_GB2312" w:hAnsi="仿宋_GB2312" w:eastAsia="仿宋_GB2312" w:cs="仿宋_GB2312"/>
          <w:b w:val="0"/>
          <w:bCs w:val="0"/>
          <w:color w:val="auto"/>
          <w:sz w:val="32"/>
          <w:szCs w:val="32"/>
          <w:highlight w:val="none"/>
        </w:rPr>
        <w:t>变动情况，或提供虚假申请材料、虚假证明、虚假住所的</w:t>
      </w:r>
      <w:r>
        <w:rPr>
          <w:rFonts w:hint="eastAsia" w:ascii="仿宋_GB2312" w:hAnsi="仿宋_GB2312" w:eastAsia="仿宋_GB2312" w:cs="仿宋_GB2312"/>
          <w:b w:val="0"/>
          <w:bCs w:val="0"/>
          <w:color w:val="auto"/>
          <w:sz w:val="32"/>
          <w:szCs w:val="32"/>
          <w:highlight w:val="none"/>
          <w:lang w:eastAsia="zh-CN"/>
        </w:rPr>
        <w:t>。</w:t>
      </w:r>
    </w:p>
    <w:p w14:paraId="728A31D4">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五</w:t>
      </w:r>
      <w:r>
        <w:rPr>
          <w:rFonts w:hint="eastAsia" w:ascii="仿宋_GB2312" w:hAnsi="仿宋_GB2312" w:eastAsia="仿宋_GB2312" w:cs="仿宋_GB2312"/>
          <w:b w:val="0"/>
          <w:bCs w:val="0"/>
          <w:color w:val="auto"/>
          <w:sz w:val="32"/>
          <w:szCs w:val="32"/>
          <w:highlight w:val="none"/>
        </w:rPr>
        <w:t>）有出借身份证进行企业登记注册、购买房屋、购买车辆等行为已不符合最低生活保障家庭财产要求，未变更登记或过户的，按本人所拥有财产认定</w:t>
      </w:r>
      <w:r>
        <w:rPr>
          <w:rFonts w:hint="eastAsia" w:ascii="仿宋_GB2312" w:hAnsi="仿宋_GB2312" w:eastAsia="仿宋_GB2312" w:cs="仿宋_GB2312"/>
          <w:b w:val="0"/>
          <w:bCs w:val="0"/>
          <w:color w:val="auto"/>
          <w:sz w:val="32"/>
          <w:szCs w:val="32"/>
          <w:highlight w:val="none"/>
          <w:lang w:eastAsia="zh-CN"/>
        </w:rPr>
        <w:t>。</w:t>
      </w:r>
    </w:p>
    <w:p w14:paraId="748D8429">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六</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县级</w:t>
      </w:r>
      <w:r>
        <w:rPr>
          <w:rFonts w:hint="eastAsia" w:ascii="仿宋_GB2312" w:hAnsi="仿宋_GB2312" w:eastAsia="仿宋_GB2312" w:cs="仿宋_GB2312"/>
          <w:b w:val="0"/>
          <w:bCs w:val="0"/>
          <w:color w:val="auto"/>
          <w:sz w:val="32"/>
          <w:szCs w:val="32"/>
          <w:highlight w:val="none"/>
        </w:rPr>
        <w:t>民政部门认定其他不予保障的情形。</w:t>
      </w:r>
    </w:p>
    <w:p w14:paraId="5E12DC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Cs/>
          <w:color w:val="auto"/>
          <w:sz w:val="32"/>
          <w:szCs w:val="32"/>
          <w:highlight w:val="none"/>
          <w:lang w:eastAsia="zh-CN"/>
        </w:rPr>
      </w:pPr>
    </w:p>
    <w:p w14:paraId="7C1728F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eastAsia="zh-CN"/>
        </w:rPr>
        <w:t>第六章</w:t>
      </w:r>
      <w:r>
        <w:rPr>
          <w:rFonts w:hint="eastAsia" w:ascii="黑体" w:hAnsi="黑体" w:eastAsia="黑体" w:cs="黑体"/>
          <w:bCs/>
          <w:color w:val="auto"/>
          <w:sz w:val="32"/>
          <w:szCs w:val="32"/>
          <w:highlight w:val="none"/>
          <w:lang w:val="en-US" w:eastAsia="zh-CN"/>
        </w:rPr>
        <w:t xml:space="preserve"> 核算评估的方法</w:t>
      </w:r>
    </w:p>
    <w:p w14:paraId="46F68C97">
      <w:pPr>
        <w:keepNext w:val="0"/>
        <w:keepLines w:val="0"/>
        <w:pageBreakBefore w:val="0"/>
        <w:kinsoku/>
        <w:wordWrap/>
        <w:overflowPunct/>
        <w:topLinePunct w:val="0"/>
        <w:autoSpaceDE/>
        <w:bidi w:val="0"/>
        <w:adjustRightIn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第二十六条</w:t>
      </w:r>
      <w:r>
        <w:rPr>
          <w:rFonts w:hint="eastAsia" w:ascii="仿宋_GB2312" w:hAnsi="仿宋_GB2312" w:eastAsia="仿宋_GB2312" w:cs="仿宋_GB2312"/>
          <w:color w:val="auto"/>
          <w:sz w:val="32"/>
          <w:szCs w:val="32"/>
          <w:highlight w:val="none"/>
        </w:rPr>
        <w:t xml:space="preserve"> 家庭收入核算评估方法</w:t>
      </w:r>
      <w:r>
        <w:rPr>
          <w:rFonts w:hint="eastAsia" w:ascii="仿宋_GB2312" w:hAnsi="仿宋_GB2312" w:eastAsia="仿宋_GB2312" w:cs="仿宋_GB2312"/>
          <w:color w:val="auto"/>
          <w:sz w:val="32"/>
          <w:szCs w:val="32"/>
          <w:highlight w:val="none"/>
          <w:lang w:eastAsia="zh-CN"/>
        </w:rPr>
        <w:t>：</w:t>
      </w:r>
    </w:p>
    <w:p w14:paraId="0E5A4E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最低生活保障</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家庭月人均收入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家庭共同生活成员12个月内的工资性收入+经营净收入+财产净收入+转移净收入+民政部门认定的其他收入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共同生活家庭人口数</w:t>
      </w:r>
      <w:r>
        <w:rPr>
          <w:rFonts w:hint="eastAsia" w:ascii="仿宋_GB2312" w:hAnsi="仿宋_GB2312" w:eastAsia="仿宋_GB2312" w:cs="仿宋_GB2312"/>
          <w:color w:val="auto"/>
          <w:sz w:val="32"/>
          <w:szCs w:val="32"/>
          <w:highlight w:val="none"/>
        </w:rPr>
        <w:t>÷12个月－</w:t>
      </w:r>
      <w:r>
        <w:rPr>
          <w:rFonts w:hint="eastAsia" w:ascii="仿宋_GB2312" w:hAnsi="仿宋_GB2312" w:eastAsia="仿宋_GB2312" w:cs="仿宋_GB2312"/>
          <w:color w:val="auto"/>
          <w:sz w:val="32"/>
          <w:szCs w:val="32"/>
          <w:highlight w:val="none"/>
          <w:lang w:eastAsia="zh-CN"/>
        </w:rPr>
        <w:t>应扣减</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月收入。家庭月人均收入</w:t>
      </w:r>
      <w:r>
        <w:rPr>
          <w:rFonts w:hint="eastAsia" w:ascii="仿宋_GB2312" w:hAnsi="仿宋_GB2312" w:eastAsia="仿宋_GB2312" w:cs="仿宋_GB2312"/>
          <w:color w:val="auto"/>
          <w:sz w:val="32"/>
          <w:szCs w:val="32"/>
          <w:highlight w:val="none"/>
        </w:rPr>
        <w:t>&lt;</w:t>
      </w:r>
      <w:r>
        <w:rPr>
          <w:rFonts w:hint="eastAsia" w:ascii="仿宋_GB2312" w:hAnsi="仿宋_GB2312" w:eastAsia="仿宋_GB2312" w:cs="仿宋_GB2312"/>
          <w:color w:val="auto"/>
          <w:sz w:val="32"/>
          <w:szCs w:val="32"/>
          <w:highlight w:val="none"/>
          <w:lang w:eastAsia="zh-CN"/>
        </w:rPr>
        <w:t>当地低保标准，即</w:t>
      </w:r>
      <w:r>
        <w:rPr>
          <w:rFonts w:hint="eastAsia" w:ascii="仿宋_GB2312" w:hAnsi="仿宋_GB2312" w:eastAsia="仿宋_GB2312" w:cs="仿宋_GB2312"/>
          <w:color w:val="auto"/>
          <w:sz w:val="32"/>
          <w:szCs w:val="32"/>
          <w:highlight w:val="none"/>
        </w:rPr>
        <w:t>符合最低生活保障条件</w:t>
      </w:r>
      <w:r>
        <w:rPr>
          <w:rFonts w:hint="eastAsia" w:ascii="仿宋_GB2312" w:hAnsi="仿宋_GB2312" w:eastAsia="仿宋_GB2312" w:cs="仿宋_GB2312"/>
          <w:color w:val="auto"/>
          <w:sz w:val="32"/>
          <w:szCs w:val="32"/>
          <w:highlight w:val="none"/>
          <w:lang w:eastAsia="zh-CN"/>
        </w:rPr>
        <w:t>；家庭月人均收入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当地低保标准，即</w:t>
      </w:r>
      <w:r>
        <w:rPr>
          <w:rFonts w:hint="eastAsia" w:ascii="仿宋_GB2312" w:hAnsi="仿宋_GB2312" w:eastAsia="仿宋_GB2312" w:cs="仿宋_GB2312"/>
          <w:color w:val="auto"/>
          <w:sz w:val="32"/>
          <w:szCs w:val="32"/>
          <w:highlight w:val="none"/>
        </w:rPr>
        <w:t>不符合最低生活保障条件</w:t>
      </w:r>
      <w:r>
        <w:rPr>
          <w:rFonts w:hint="eastAsia" w:ascii="仿宋_GB2312" w:hAnsi="仿宋_GB2312" w:eastAsia="仿宋_GB2312" w:cs="仿宋_GB2312"/>
          <w:color w:val="auto"/>
          <w:sz w:val="32"/>
          <w:szCs w:val="32"/>
          <w:highlight w:val="none"/>
          <w:lang w:eastAsia="zh-CN"/>
        </w:rPr>
        <w:t>。</w:t>
      </w:r>
    </w:p>
    <w:p w14:paraId="307BF7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最低生活保障</w:t>
      </w:r>
      <w:r>
        <w:rPr>
          <w:rFonts w:hint="eastAsia" w:ascii="仿宋_GB2312" w:hAnsi="仿宋_GB2312" w:eastAsia="仿宋_GB2312" w:cs="仿宋_GB2312"/>
          <w:b/>
          <w:bCs/>
          <w:color w:val="auto"/>
          <w:sz w:val="32"/>
          <w:szCs w:val="32"/>
          <w:highlight w:val="none"/>
        </w:rPr>
        <w:t>边缘家庭：</w:t>
      </w:r>
      <w:r>
        <w:rPr>
          <w:rFonts w:hint="eastAsia" w:ascii="仿宋_GB2312" w:hAnsi="仿宋_GB2312" w:eastAsia="仿宋_GB2312" w:cs="仿宋_GB2312"/>
          <w:color w:val="auto"/>
          <w:sz w:val="32"/>
          <w:szCs w:val="32"/>
          <w:highlight w:val="none"/>
          <w:lang w:eastAsia="zh-CN"/>
        </w:rPr>
        <w:t>家庭月人均收入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家庭共同生活成员12个月内的工资性收入+经营净收入+财产净收入+转移净收入+民政部门认定的其他收入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共同生活家庭人口数</w:t>
      </w:r>
      <w:r>
        <w:rPr>
          <w:rFonts w:hint="eastAsia" w:ascii="仿宋_GB2312" w:hAnsi="仿宋_GB2312" w:eastAsia="仿宋_GB2312" w:cs="仿宋_GB2312"/>
          <w:color w:val="auto"/>
          <w:sz w:val="32"/>
          <w:szCs w:val="32"/>
          <w:highlight w:val="none"/>
        </w:rPr>
        <w:t>÷12个月－</w:t>
      </w:r>
      <w:r>
        <w:rPr>
          <w:rFonts w:hint="eastAsia" w:ascii="仿宋_GB2312" w:hAnsi="仿宋_GB2312" w:eastAsia="仿宋_GB2312" w:cs="仿宋_GB2312"/>
          <w:color w:val="auto"/>
          <w:sz w:val="32"/>
          <w:szCs w:val="32"/>
          <w:highlight w:val="none"/>
          <w:lang w:eastAsia="zh-CN"/>
        </w:rPr>
        <w:t>应扣减</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月收入。家庭月人均收入</w:t>
      </w:r>
      <w:r>
        <w:rPr>
          <w:rFonts w:hint="eastAsia" w:ascii="仿宋_GB2312" w:hAnsi="仿宋_GB2312" w:eastAsia="仿宋_GB2312" w:cs="仿宋_GB2312"/>
          <w:color w:val="auto"/>
          <w:sz w:val="32"/>
          <w:szCs w:val="32"/>
          <w:highlight w:val="none"/>
        </w:rPr>
        <w:t>&lt;</w:t>
      </w:r>
      <w:r>
        <w:rPr>
          <w:rFonts w:hint="eastAsia" w:ascii="仿宋_GB2312" w:hAnsi="仿宋_GB2312" w:eastAsia="仿宋_GB2312" w:cs="仿宋_GB2312"/>
          <w:color w:val="auto"/>
          <w:sz w:val="32"/>
          <w:szCs w:val="32"/>
          <w:highlight w:val="none"/>
          <w:lang w:eastAsia="zh-CN"/>
        </w:rPr>
        <w:t>当地低保标准的</w:t>
      </w:r>
      <w:r>
        <w:rPr>
          <w:rFonts w:hint="eastAsia" w:ascii="仿宋_GB2312" w:hAnsi="仿宋_GB2312" w:eastAsia="仿宋_GB2312" w:cs="仿宋_GB2312"/>
          <w:color w:val="auto"/>
          <w:sz w:val="32"/>
          <w:szCs w:val="32"/>
          <w:highlight w:val="none"/>
          <w:lang w:val="en-US" w:eastAsia="zh-CN"/>
        </w:rPr>
        <w:t>1.5倍</w:t>
      </w:r>
      <w:r>
        <w:rPr>
          <w:rFonts w:hint="eastAsia" w:ascii="仿宋_GB2312" w:hAnsi="仿宋_GB2312" w:eastAsia="仿宋_GB2312" w:cs="仿宋_GB2312"/>
          <w:color w:val="auto"/>
          <w:sz w:val="32"/>
          <w:szCs w:val="32"/>
          <w:highlight w:val="none"/>
          <w:lang w:eastAsia="zh-CN"/>
        </w:rPr>
        <w:t>，即</w:t>
      </w:r>
      <w:r>
        <w:rPr>
          <w:rFonts w:hint="eastAsia" w:ascii="仿宋_GB2312" w:hAnsi="仿宋_GB2312" w:eastAsia="仿宋_GB2312" w:cs="仿宋_GB2312"/>
          <w:color w:val="auto"/>
          <w:sz w:val="32"/>
          <w:szCs w:val="32"/>
          <w:highlight w:val="none"/>
        </w:rPr>
        <w:t>符合最低生活保障</w:t>
      </w:r>
      <w:r>
        <w:rPr>
          <w:rFonts w:hint="eastAsia" w:ascii="仿宋_GB2312" w:hAnsi="仿宋_GB2312" w:eastAsia="仿宋_GB2312" w:cs="仿宋_GB2312"/>
          <w:color w:val="auto"/>
          <w:sz w:val="32"/>
          <w:szCs w:val="32"/>
          <w:highlight w:val="none"/>
          <w:lang w:eastAsia="zh-CN"/>
        </w:rPr>
        <w:t>边缘家庭</w:t>
      </w:r>
      <w:r>
        <w:rPr>
          <w:rFonts w:hint="eastAsia" w:ascii="仿宋_GB2312" w:hAnsi="仿宋_GB2312" w:eastAsia="仿宋_GB2312" w:cs="仿宋_GB2312"/>
          <w:color w:val="auto"/>
          <w:sz w:val="32"/>
          <w:szCs w:val="32"/>
          <w:highlight w:val="none"/>
        </w:rPr>
        <w:t>条件</w:t>
      </w:r>
      <w:r>
        <w:rPr>
          <w:rFonts w:hint="eastAsia" w:ascii="仿宋_GB2312" w:hAnsi="仿宋_GB2312" w:eastAsia="仿宋_GB2312" w:cs="仿宋_GB2312"/>
          <w:color w:val="auto"/>
          <w:sz w:val="32"/>
          <w:szCs w:val="32"/>
          <w:highlight w:val="none"/>
          <w:lang w:eastAsia="zh-CN"/>
        </w:rPr>
        <w:t>；家庭月人均收入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当地低保标准的</w:t>
      </w:r>
      <w:r>
        <w:rPr>
          <w:rFonts w:hint="eastAsia" w:ascii="仿宋_GB2312" w:hAnsi="仿宋_GB2312" w:eastAsia="仿宋_GB2312" w:cs="仿宋_GB2312"/>
          <w:color w:val="auto"/>
          <w:sz w:val="32"/>
          <w:szCs w:val="32"/>
          <w:highlight w:val="none"/>
          <w:lang w:val="en-US" w:eastAsia="zh-CN"/>
        </w:rPr>
        <w:t>1.5倍</w:t>
      </w:r>
      <w:r>
        <w:rPr>
          <w:rFonts w:hint="eastAsia" w:ascii="仿宋_GB2312" w:hAnsi="仿宋_GB2312" w:eastAsia="仿宋_GB2312" w:cs="仿宋_GB2312"/>
          <w:color w:val="auto"/>
          <w:sz w:val="32"/>
          <w:szCs w:val="32"/>
          <w:highlight w:val="none"/>
          <w:lang w:eastAsia="zh-CN"/>
        </w:rPr>
        <w:t>，即</w:t>
      </w:r>
      <w:r>
        <w:rPr>
          <w:rFonts w:hint="eastAsia" w:ascii="仿宋_GB2312" w:hAnsi="仿宋_GB2312" w:eastAsia="仿宋_GB2312" w:cs="仿宋_GB2312"/>
          <w:color w:val="auto"/>
          <w:sz w:val="32"/>
          <w:szCs w:val="32"/>
          <w:highlight w:val="none"/>
        </w:rPr>
        <w:t>不符合最低生活保障</w:t>
      </w:r>
      <w:r>
        <w:rPr>
          <w:rFonts w:hint="eastAsia" w:ascii="仿宋_GB2312" w:hAnsi="仿宋_GB2312" w:eastAsia="仿宋_GB2312" w:cs="仿宋_GB2312"/>
          <w:color w:val="auto"/>
          <w:sz w:val="32"/>
          <w:szCs w:val="32"/>
          <w:highlight w:val="none"/>
          <w:lang w:eastAsia="zh-CN"/>
        </w:rPr>
        <w:t>边缘家庭</w:t>
      </w:r>
      <w:r>
        <w:rPr>
          <w:rFonts w:hint="eastAsia" w:ascii="仿宋_GB2312" w:hAnsi="仿宋_GB2312" w:eastAsia="仿宋_GB2312" w:cs="仿宋_GB2312"/>
          <w:color w:val="auto"/>
          <w:sz w:val="32"/>
          <w:szCs w:val="32"/>
          <w:highlight w:val="none"/>
        </w:rPr>
        <w:t>条件</w:t>
      </w:r>
      <w:r>
        <w:rPr>
          <w:rFonts w:hint="eastAsia" w:ascii="仿宋_GB2312" w:hAnsi="仿宋_GB2312" w:eastAsia="仿宋_GB2312" w:cs="仿宋_GB2312"/>
          <w:color w:val="auto"/>
          <w:sz w:val="32"/>
          <w:szCs w:val="32"/>
          <w:highlight w:val="none"/>
          <w:lang w:eastAsia="zh-CN"/>
        </w:rPr>
        <w:t>。</w:t>
      </w:r>
    </w:p>
    <w:p w14:paraId="5EEE2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最低生活保障家庭的保障金额，按照审核确定的申请家庭人均月收入与当地最低生活保障标准的实际差额乘以共同生活的家庭成员人数计算发放。具体公式如下：</w:t>
      </w:r>
    </w:p>
    <w:p w14:paraId="4AF50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家庭月保障金=（最低生活保障标准－</w:t>
      </w:r>
      <w:r>
        <w:rPr>
          <w:rFonts w:hint="eastAsia" w:ascii="仿宋_GB2312" w:hAnsi="仿宋_GB2312" w:eastAsia="仿宋_GB2312" w:cs="仿宋_GB2312"/>
          <w:color w:val="auto"/>
          <w:sz w:val="32"/>
          <w:szCs w:val="32"/>
          <w:highlight w:val="none"/>
          <w:lang w:eastAsia="zh-CN"/>
        </w:rPr>
        <w:t>家庭月人均收入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×家庭共同生活成员人数。</w:t>
      </w:r>
    </w:p>
    <w:p w14:paraId="0D194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设立城镇居民、农村居民</w:t>
      </w:r>
      <w:r>
        <w:rPr>
          <w:rFonts w:hint="eastAsia" w:ascii="仿宋_GB2312" w:hAnsi="仿宋_GB2312" w:eastAsia="仿宋_GB2312" w:cs="仿宋_GB2312"/>
          <w:b w:val="0"/>
          <w:bCs w:val="0"/>
          <w:color w:val="auto"/>
          <w:sz w:val="32"/>
          <w:szCs w:val="32"/>
          <w:highlight w:val="none"/>
        </w:rPr>
        <w:t>家庭</w:t>
      </w:r>
      <w:r>
        <w:rPr>
          <w:rFonts w:hint="eastAsia" w:ascii="仿宋_GB2312" w:hAnsi="仿宋_GB2312" w:eastAsia="仿宋_GB2312" w:cs="仿宋_GB2312"/>
          <w:b w:val="0"/>
          <w:bCs w:val="0"/>
          <w:color w:val="auto"/>
          <w:sz w:val="32"/>
          <w:szCs w:val="32"/>
          <w:highlight w:val="none"/>
          <w:lang w:eastAsia="zh-CN"/>
        </w:rPr>
        <w:t>月</w:t>
      </w:r>
      <w:r>
        <w:rPr>
          <w:rFonts w:hint="eastAsia" w:ascii="仿宋_GB2312" w:hAnsi="仿宋_GB2312" w:eastAsia="仿宋_GB2312" w:cs="仿宋_GB2312"/>
          <w:b w:val="0"/>
          <w:bCs w:val="0"/>
          <w:color w:val="auto"/>
          <w:sz w:val="32"/>
          <w:szCs w:val="32"/>
          <w:highlight w:val="none"/>
        </w:rPr>
        <w:t>人均</w:t>
      </w:r>
      <w:r>
        <w:rPr>
          <w:rFonts w:hint="eastAsia" w:ascii="仿宋_GB2312" w:hAnsi="仿宋_GB2312" w:eastAsia="仿宋_GB2312" w:cs="仿宋_GB2312"/>
          <w:b w:val="0"/>
          <w:bCs w:val="0"/>
          <w:color w:val="auto"/>
          <w:sz w:val="32"/>
          <w:szCs w:val="32"/>
          <w:highlight w:val="none"/>
          <w:lang w:eastAsia="zh-CN"/>
        </w:rPr>
        <w:t>保障金额下限和上限档次，即城镇</w:t>
      </w:r>
      <w:r>
        <w:rPr>
          <w:rFonts w:hint="eastAsia" w:ascii="仿宋_GB2312" w:hAnsi="仿宋_GB2312" w:eastAsia="仿宋_GB2312" w:cs="仿宋_GB2312"/>
          <w:b w:val="0"/>
          <w:bCs w:val="0"/>
          <w:color w:val="auto"/>
          <w:sz w:val="32"/>
          <w:szCs w:val="32"/>
          <w:highlight w:val="none"/>
        </w:rPr>
        <w:t>家庭</w:t>
      </w:r>
      <w:r>
        <w:rPr>
          <w:rFonts w:hint="eastAsia" w:ascii="仿宋_GB2312" w:hAnsi="仿宋_GB2312" w:eastAsia="仿宋_GB2312" w:cs="仿宋_GB2312"/>
          <w:b w:val="0"/>
          <w:bCs w:val="0"/>
          <w:color w:val="auto"/>
          <w:sz w:val="32"/>
          <w:szCs w:val="32"/>
          <w:highlight w:val="none"/>
          <w:lang w:eastAsia="zh-CN"/>
        </w:rPr>
        <w:t>月</w:t>
      </w:r>
      <w:r>
        <w:rPr>
          <w:rFonts w:hint="eastAsia" w:ascii="仿宋_GB2312" w:hAnsi="仿宋_GB2312" w:eastAsia="仿宋_GB2312" w:cs="仿宋_GB2312"/>
          <w:b w:val="0"/>
          <w:bCs w:val="0"/>
          <w:color w:val="auto"/>
          <w:sz w:val="32"/>
          <w:szCs w:val="32"/>
          <w:highlight w:val="none"/>
        </w:rPr>
        <w:t>人均</w:t>
      </w:r>
      <w:r>
        <w:rPr>
          <w:rFonts w:hint="eastAsia" w:ascii="仿宋_GB2312" w:hAnsi="仿宋_GB2312" w:eastAsia="仿宋_GB2312" w:cs="仿宋_GB2312"/>
          <w:b w:val="0"/>
          <w:bCs w:val="0"/>
          <w:color w:val="auto"/>
          <w:sz w:val="32"/>
          <w:szCs w:val="32"/>
          <w:highlight w:val="none"/>
          <w:lang w:eastAsia="zh-CN"/>
        </w:rPr>
        <w:t>保障金额</w:t>
      </w:r>
      <w:r>
        <w:rPr>
          <w:rFonts w:hint="eastAsia" w:ascii="仿宋_GB2312" w:hAnsi="仿宋_GB2312" w:eastAsia="仿宋_GB2312" w:cs="仿宋_GB2312"/>
          <w:b w:val="0"/>
          <w:bCs w:val="0"/>
          <w:color w:val="auto"/>
          <w:sz w:val="32"/>
          <w:szCs w:val="32"/>
          <w:highlight w:val="none"/>
        </w:rPr>
        <w:t>&lt;</w:t>
      </w:r>
      <w:r>
        <w:rPr>
          <w:rFonts w:hint="eastAsia" w:ascii="仿宋_GB2312" w:hAnsi="仿宋_GB2312" w:eastAsia="仿宋_GB2312" w:cs="仿宋_GB2312"/>
          <w:b w:val="0"/>
          <w:bCs w:val="0"/>
          <w:color w:val="auto"/>
          <w:sz w:val="32"/>
          <w:szCs w:val="32"/>
          <w:highlight w:val="none"/>
          <w:lang w:val="en-US" w:eastAsia="zh-CN"/>
        </w:rPr>
        <w:t>400元/月时，按400元/月发放，</w:t>
      </w:r>
      <w:r>
        <w:rPr>
          <w:rFonts w:hint="eastAsia" w:ascii="仿宋_GB2312" w:hAnsi="仿宋_GB2312" w:eastAsia="仿宋_GB2312" w:cs="仿宋_GB2312"/>
          <w:b w:val="0"/>
          <w:bCs w:val="0"/>
          <w:color w:val="auto"/>
          <w:sz w:val="32"/>
          <w:szCs w:val="32"/>
          <w:highlight w:val="none"/>
          <w:lang w:eastAsia="zh-CN"/>
        </w:rPr>
        <w:t>农村</w:t>
      </w:r>
      <w:r>
        <w:rPr>
          <w:rFonts w:hint="eastAsia" w:ascii="仿宋_GB2312" w:hAnsi="仿宋_GB2312" w:eastAsia="仿宋_GB2312" w:cs="仿宋_GB2312"/>
          <w:b w:val="0"/>
          <w:bCs w:val="0"/>
          <w:color w:val="auto"/>
          <w:sz w:val="32"/>
          <w:szCs w:val="32"/>
          <w:highlight w:val="none"/>
        </w:rPr>
        <w:t>家庭</w:t>
      </w:r>
      <w:r>
        <w:rPr>
          <w:rFonts w:hint="eastAsia" w:ascii="仿宋_GB2312" w:hAnsi="仿宋_GB2312" w:eastAsia="仿宋_GB2312" w:cs="仿宋_GB2312"/>
          <w:b w:val="0"/>
          <w:bCs w:val="0"/>
          <w:color w:val="auto"/>
          <w:sz w:val="32"/>
          <w:szCs w:val="32"/>
          <w:highlight w:val="none"/>
          <w:lang w:eastAsia="zh-CN"/>
        </w:rPr>
        <w:t>月</w:t>
      </w:r>
      <w:r>
        <w:rPr>
          <w:rFonts w:hint="eastAsia" w:ascii="仿宋_GB2312" w:hAnsi="仿宋_GB2312" w:eastAsia="仿宋_GB2312" w:cs="仿宋_GB2312"/>
          <w:b w:val="0"/>
          <w:bCs w:val="0"/>
          <w:color w:val="auto"/>
          <w:sz w:val="32"/>
          <w:szCs w:val="32"/>
          <w:highlight w:val="none"/>
        </w:rPr>
        <w:t>人均</w:t>
      </w:r>
      <w:r>
        <w:rPr>
          <w:rFonts w:hint="eastAsia" w:ascii="仿宋_GB2312" w:hAnsi="仿宋_GB2312" w:eastAsia="仿宋_GB2312" w:cs="仿宋_GB2312"/>
          <w:b w:val="0"/>
          <w:bCs w:val="0"/>
          <w:color w:val="auto"/>
          <w:sz w:val="32"/>
          <w:szCs w:val="32"/>
          <w:highlight w:val="none"/>
          <w:lang w:eastAsia="zh-CN"/>
        </w:rPr>
        <w:t>保障金额</w:t>
      </w:r>
      <w:r>
        <w:rPr>
          <w:rFonts w:hint="eastAsia" w:ascii="仿宋_GB2312" w:hAnsi="仿宋_GB2312" w:eastAsia="仿宋_GB2312" w:cs="仿宋_GB2312"/>
          <w:b w:val="0"/>
          <w:bCs w:val="0"/>
          <w:color w:val="auto"/>
          <w:sz w:val="32"/>
          <w:szCs w:val="32"/>
          <w:highlight w:val="none"/>
        </w:rPr>
        <w:t>&lt;</w:t>
      </w:r>
      <w:r>
        <w:rPr>
          <w:rFonts w:hint="eastAsia" w:ascii="仿宋_GB2312" w:hAnsi="仿宋_GB2312" w:eastAsia="仿宋_GB2312" w:cs="仿宋_GB2312"/>
          <w:b w:val="0"/>
          <w:bCs w:val="0"/>
          <w:color w:val="auto"/>
          <w:sz w:val="32"/>
          <w:szCs w:val="32"/>
          <w:highlight w:val="none"/>
          <w:lang w:val="en-US" w:eastAsia="zh-CN"/>
        </w:rPr>
        <w:t>200元/月时，按200元/月发放（每年根据当地人均救助水平适当调整）；</w:t>
      </w:r>
      <w:r>
        <w:rPr>
          <w:rFonts w:hint="eastAsia" w:ascii="仿宋_GB2312" w:hAnsi="仿宋_GB2312" w:eastAsia="仿宋_GB2312" w:cs="仿宋_GB2312"/>
          <w:b w:val="0"/>
          <w:bCs w:val="0"/>
          <w:color w:val="auto"/>
          <w:sz w:val="32"/>
          <w:szCs w:val="32"/>
          <w:highlight w:val="none"/>
        </w:rPr>
        <w:t>家庭人均</w:t>
      </w:r>
      <w:r>
        <w:rPr>
          <w:rFonts w:hint="eastAsia" w:ascii="仿宋_GB2312" w:hAnsi="仿宋_GB2312" w:eastAsia="仿宋_GB2312" w:cs="仿宋_GB2312"/>
          <w:b w:val="0"/>
          <w:bCs w:val="0"/>
          <w:color w:val="auto"/>
          <w:sz w:val="32"/>
          <w:szCs w:val="32"/>
          <w:highlight w:val="none"/>
          <w:lang w:eastAsia="zh-CN"/>
        </w:rPr>
        <w:t>月保障</w:t>
      </w:r>
      <w:r>
        <w:rPr>
          <w:rFonts w:hint="eastAsia" w:ascii="仿宋_GB2312" w:hAnsi="仿宋_GB2312" w:eastAsia="仿宋_GB2312" w:cs="仿宋_GB2312"/>
          <w:b w:val="0"/>
          <w:bCs w:val="0"/>
          <w:color w:val="auto"/>
          <w:sz w:val="32"/>
          <w:szCs w:val="32"/>
          <w:highlight w:val="none"/>
        </w:rPr>
        <w:t>金额</w:t>
      </w:r>
      <w:r>
        <w:rPr>
          <w:rFonts w:hint="eastAsia" w:ascii="仿宋_GB2312" w:hAnsi="仿宋_GB2312" w:eastAsia="仿宋_GB2312" w:cs="仿宋_GB2312"/>
          <w:b w:val="0"/>
          <w:bCs w:val="0"/>
          <w:color w:val="auto"/>
          <w:sz w:val="32"/>
          <w:szCs w:val="32"/>
          <w:highlight w:val="none"/>
          <w:lang w:eastAsia="zh-CN"/>
        </w:rPr>
        <w:t>最高</w:t>
      </w:r>
      <w:r>
        <w:rPr>
          <w:rFonts w:hint="eastAsia" w:ascii="仿宋_GB2312" w:hAnsi="仿宋_GB2312" w:eastAsia="仿宋_GB2312" w:cs="仿宋_GB2312"/>
          <w:b w:val="0"/>
          <w:bCs w:val="0"/>
          <w:color w:val="auto"/>
          <w:sz w:val="32"/>
          <w:szCs w:val="32"/>
          <w:highlight w:val="none"/>
        </w:rPr>
        <w:t>不得超过当地</w:t>
      </w:r>
      <w:r>
        <w:rPr>
          <w:rFonts w:hint="eastAsia" w:ascii="仿宋_GB2312" w:hAnsi="仿宋_GB2312" w:eastAsia="仿宋_GB2312" w:cs="仿宋_GB2312"/>
          <w:b w:val="0"/>
          <w:bCs w:val="0"/>
          <w:color w:val="auto"/>
          <w:sz w:val="32"/>
          <w:szCs w:val="32"/>
          <w:highlight w:val="none"/>
          <w:lang w:eastAsia="zh-CN"/>
        </w:rPr>
        <w:t>最低生活保障</w:t>
      </w:r>
      <w:r>
        <w:rPr>
          <w:rFonts w:hint="eastAsia" w:ascii="仿宋_GB2312" w:hAnsi="仿宋_GB2312" w:eastAsia="仿宋_GB2312" w:cs="仿宋_GB2312"/>
          <w:b w:val="0"/>
          <w:bCs w:val="0"/>
          <w:color w:val="auto"/>
          <w:sz w:val="32"/>
          <w:szCs w:val="32"/>
          <w:highlight w:val="none"/>
        </w:rPr>
        <w:t>标准</w:t>
      </w:r>
      <w:r>
        <w:rPr>
          <w:rFonts w:hint="eastAsia" w:ascii="仿宋_GB2312" w:hAnsi="仿宋_GB2312" w:eastAsia="仿宋_GB2312" w:cs="仿宋_GB2312"/>
          <w:b w:val="0"/>
          <w:bCs w:val="0"/>
          <w:color w:val="auto"/>
          <w:sz w:val="32"/>
          <w:szCs w:val="32"/>
          <w:highlight w:val="none"/>
          <w:lang w:eastAsia="zh-CN"/>
        </w:rPr>
        <w:t>。</w:t>
      </w:r>
    </w:p>
    <w:p w14:paraId="30788626">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（一）工资性收入。根据工作岗位性质分为稳定就业人员和非稳定就业人员。</w:t>
      </w:r>
    </w:p>
    <w:p w14:paraId="1A4BD4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稳定就业人员：</w:t>
      </w:r>
      <w:r>
        <w:rPr>
          <w:rFonts w:hint="eastAsia" w:ascii="仿宋_GB2312" w:hAnsi="仿宋_GB2312" w:eastAsia="仿宋_GB2312" w:cs="仿宋_GB2312"/>
          <w:color w:val="auto"/>
          <w:sz w:val="32"/>
          <w:szCs w:val="32"/>
          <w:highlight w:val="none"/>
          <w:lang w:eastAsia="zh-CN"/>
        </w:rPr>
        <w:t>指有固定工作岗位且有稳定收入的对象。必须提供前12个月的工资银行发放流水；现金发放的需提供财务领取工资的签字表复印件，并加盖单位公章；单位用其他支付方式支付工资的必须提供相关凭证；以上核算评估的收入低于务工地最低工资标准的，按照务工地的最低工资标准认定。</w:t>
      </w:r>
    </w:p>
    <w:p w14:paraId="5D35C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稳定就业中的下列人员据实核算其个人工资性收入，但按照最高不超过</w:t>
      </w:r>
      <w:r>
        <w:rPr>
          <w:rFonts w:hint="eastAsia" w:ascii="仿宋_GB2312" w:hAnsi="仿宋_GB2312" w:eastAsia="仿宋_GB2312" w:cs="仿宋_GB2312"/>
          <w:color w:val="auto"/>
          <w:sz w:val="32"/>
          <w:szCs w:val="32"/>
          <w:highlight w:val="none"/>
          <w:lang w:val="en-US" w:eastAsia="zh-CN"/>
        </w:rPr>
        <w:t>50%纳入家庭收入核算：60-70周岁无离退休金、养老金和仅领取城乡居民养老金的老年人；患有当地有关部门认定的慢特病、罕见病，且需要长期服药的人员；持有中华人民共和国残疾人证的一至四级残疾人；在家照料护理重病重残成员（每户限1人）。</w:t>
      </w:r>
    </w:p>
    <w:p w14:paraId="5E2A43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非稳定就业人员：</w:t>
      </w:r>
      <w:r>
        <w:rPr>
          <w:rFonts w:hint="eastAsia" w:ascii="仿宋_GB2312" w:hAnsi="仿宋_GB2312" w:eastAsia="仿宋_GB2312" w:cs="仿宋_GB2312"/>
          <w:color w:val="auto"/>
          <w:sz w:val="32"/>
          <w:szCs w:val="32"/>
          <w:highlight w:val="none"/>
          <w:lang w:eastAsia="zh-CN"/>
        </w:rPr>
        <w:t>指灵活就业对象和无法核算具体收入的对象。参照务工地人社部门规定的最低工资标准结合个人劳动能力系数评估标准核算。以上核算评估的收入低于务工地最低工资标准的，按照务工地的最低工资标准认定，高于务工地最低工资标准的，以实际收入进行认定。</w:t>
      </w:r>
      <w:r>
        <w:rPr>
          <w:rFonts w:hint="eastAsia" w:ascii="仿宋_GB2312" w:hAnsi="仿宋_GB2312" w:eastAsia="仿宋_GB2312" w:cs="仿宋_GB2312"/>
          <w:color w:val="auto"/>
          <w:sz w:val="32"/>
          <w:szCs w:val="32"/>
          <w:highlight w:val="none"/>
        </w:rPr>
        <w:t>劳动力系数评估标准详见《</w:t>
      </w:r>
      <w:r>
        <w:rPr>
          <w:rFonts w:hint="eastAsia" w:ascii="仿宋_GB2312" w:hAnsi="仿宋_GB2312" w:eastAsia="仿宋_GB2312" w:cs="仿宋_GB2312"/>
          <w:color w:val="auto"/>
          <w:sz w:val="32"/>
          <w:szCs w:val="32"/>
          <w:highlight w:val="none"/>
          <w:lang w:eastAsia="zh-CN"/>
        </w:rPr>
        <w:t>炎陵县</w:t>
      </w:r>
      <w:r>
        <w:rPr>
          <w:rFonts w:hint="eastAsia" w:ascii="仿宋_GB2312" w:hAnsi="仿宋_GB2312" w:eastAsia="仿宋_GB2312" w:cs="仿宋_GB2312"/>
          <w:color w:val="auto"/>
          <w:sz w:val="32"/>
          <w:szCs w:val="32"/>
          <w:highlight w:val="none"/>
        </w:rPr>
        <w:t>社会救助家庭个人劳动能力系数评估标准表》（附件1）</w:t>
      </w:r>
      <w:r>
        <w:rPr>
          <w:rFonts w:hint="eastAsia" w:ascii="仿宋_GB2312" w:hAnsi="仿宋_GB2312" w:eastAsia="仿宋_GB2312" w:cs="仿宋_GB2312"/>
          <w:color w:val="auto"/>
          <w:sz w:val="32"/>
          <w:szCs w:val="32"/>
          <w:highlight w:val="none"/>
          <w:lang w:eastAsia="zh-CN"/>
        </w:rPr>
        <w:t>。</w:t>
      </w:r>
    </w:p>
    <w:p w14:paraId="5FC79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非稳定就业人员在结合劳动力系数核算工资性收入时，单亲家庭中子女在托在学的（义务教育），共同生活成员中</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名务工人员的收入，按照不高于其收入的</w:t>
      </w:r>
      <w:r>
        <w:rPr>
          <w:rFonts w:hint="eastAsia" w:ascii="仿宋_GB2312" w:hAnsi="仿宋_GB2312" w:eastAsia="仿宋_GB2312" w:cs="仿宋_GB2312"/>
          <w:color w:val="auto"/>
          <w:sz w:val="32"/>
          <w:szCs w:val="32"/>
          <w:highlight w:val="none"/>
          <w:lang w:val="en-US" w:eastAsia="zh-CN"/>
        </w:rPr>
        <w:t>50%计算；</w:t>
      </w:r>
      <w:r>
        <w:rPr>
          <w:rFonts w:hint="eastAsia" w:ascii="仿宋_GB2312" w:hAnsi="仿宋_GB2312" w:eastAsia="仿宋_GB2312" w:cs="仿宋_GB2312"/>
          <w:color w:val="auto"/>
          <w:sz w:val="32"/>
          <w:szCs w:val="32"/>
          <w:highlight w:val="none"/>
          <w:lang w:eastAsia="zh-CN"/>
        </w:rPr>
        <w:t>在家全时照料护理重病、重残的（每户限1人），照料护理期间照料护理人不计算收入。</w:t>
      </w:r>
    </w:p>
    <w:p w14:paraId="24EE2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城乡居民非稳定就业人员月收入=务工地人社部门规定的上年度月最低工资标准×炎陵县低收入家庭个人劳动能力系数。</w:t>
      </w:r>
    </w:p>
    <w:p w14:paraId="395D6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处于法定劳动年龄内，有劳动能力，无正当理由不就业人员，参照居住地非稳定就业人员核算。</w:t>
      </w:r>
    </w:p>
    <w:p w14:paraId="5EFF6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（二）经营性收入。</w:t>
      </w:r>
      <w:r>
        <w:rPr>
          <w:rFonts w:hint="eastAsia" w:ascii="仿宋_GB2312" w:hAnsi="仿宋_GB2312" w:eastAsia="仿宋_GB2312" w:cs="仿宋_GB2312"/>
          <w:bCs/>
          <w:color w:val="auto"/>
          <w:sz w:val="32"/>
          <w:szCs w:val="32"/>
          <w:highlight w:val="none"/>
          <w:lang w:eastAsia="zh-CN"/>
        </w:rPr>
        <w:t>根据家庭成员</w:t>
      </w:r>
      <w:r>
        <w:rPr>
          <w:rFonts w:hint="eastAsia" w:ascii="仿宋_GB2312" w:hAnsi="仿宋_GB2312" w:eastAsia="仿宋_GB2312" w:cs="仿宋_GB2312"/>
          <w:bCs/>
          <w:color w:val="auto"/>
          <w:sz w:val="32"/>
          <w:szCs w:val="32"/>
          <w:highlight w:val="none"/>
        </w:rPr>
        <w:t>从事生产、经营及有偿服务活动所得</w:t>
      </w:r>
      <w:r>
        <w:rPr>
          <w:rFonts w:hint="eastAsia" w:ascii="仿宋_GB2312" w:hAnsi="仿宋_GB2312" w:eastAsia="仿宋_GB2312" w:cs="仿宋_GB2312"/>
          <w:bCs/>
          <w:color w:val="auto"/>
          <w:sz w:val="32"/>
          <w:szCs w:val="32"/>
          <w:highlight w:val="none"/>
          <w:lang w:eastAsia="zh-CN"/>
        </w:rPr>
        <w:t>据实核算。</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lang w:eastAsia="zh-CN"/>
        </w:rPr>
        <w:t>农村家庭的土地、山林、水塘等生产资料，用于出租、流转的，其收益如实核算。</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从事生产经营活动</w:t>
      </w:r>
      <w:r>
        <w:rPr>
          <w:rFonts w:hint="eastAsia" w:ascii="仿宋_GB2312" w:hAnsi="仿宋_GB2312" w:eastAsia="仿宋_GB2312" w:cs="仿宋_GB2312"/>
          <w:b w:val="0"/>
          <w:bCs/>
          <w:color w:val="auto"/>
          <w:sz w:val="32"/>
          <w:szCs w:val="32"/>
          <w:highlight w:val="none"/>
          <w:lang w:eastAsia="zh-CN"/>
        </w:rPr>
        <w:t>有工商登记的</w:t>
      </w:r>
      <w:r>
        <w:rPr>
          <w:rFonts w:hint="eastAsia" w:ascii="仿宋_GB2312" w:hAnsi="仿宋_GB2312" w:eastAsia="仿宋_GB2312" w:cs="仿宋_GB2312"/>
          <w:b w:val="0"/>
          <w:bCs/>
          <w:color w:val="auto"/>
          <w:sz w:val="32"/>
          <w:szCs w:val="32"/>
          <w:highlight w:val="none"/>
        </w:rPr>
        <w:t>，能够出示有效收入凭证的，按凭证收入核算</w:t>
      </w:r>
      <w:r>
        <w:rPr>
          <w:rFonts w:hint="eastAsia" w:ascii="仿宋_GB2312" w:hAnsi="仿宋_GB2312" w:eastAsia="仿宋_GB2312" w:cs="仿宋_GB2312"/>
          <w:b w:val="0"/>
          <w:bCs/>
          <w:color w:val="auto"/>
          <w:sz w:val="32"/>
          <w:szCs w:val="32"/>
          <w:highlight w:val="none"/>
          <w:lang w:eastAsia="zh-CN"/>
        </w:rPr>
        <w:t>，无收入凭证的，以乡镇（场）根据实际经营情况出具的经营性收入额的</w:t>
      </w:r>
      <w:r>
        <w:rPr>
          <w:rFonts w:hint="eastAsia" w:ascii="仿宋_GB2312" w:hAnsi="仿宋_GB2312" w:eastAsia="仿宋_GB2312" w:cs="仿宋_GB2312"/>
          <w:b w:val="0"/>
          <w:bCs/>
          <w:color w:val="auto"/>
          <w:sz w:val="32"/>
          <w:szCs w:val="32"/>
          <w:highlight w:val="none"/>
          <w:lang w:val="en-US" w:eastAsia="zh-CN"/>
        </w:rPr>
        <w:t>10%-25%计算收入</w:t>
      </w:r>
      <w:r>
        <w:rPr>
          <w:rFonts w:hint="eastAsia" w:ascii="仿宋_GB2312" w:hAnsi="仿宋_GB2312" w:eastAsia="仿宋_GB2312" w:cs="仿宋_GB2312"/>
          <w:b w:val="0"/>
          <w:bCs/>
          <w:color w:val="auto"/>
          <w:sz w:val="32"/>
          <w:szCs w:val="32"/>
          <w:highlight w:val="none"/>
          <w:lang w:eastAsia="zh-CN"/>
        </w:rPr>
        <w:t>，低于当地最低工资标准的，按当年当地最低工资标准执行。</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大面积种植果树的以实际净收入核算。</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lang w:eastAsia="zh-CN"/>
        </w:rPr>
        <w:t>农村家庭生产资料、</w:t>
      </w:r>
      <w:r>
        <w:rPr>
          <w:rFonts w:hint="eastAsia" w:ascii="仿宋_GB2312" w:hAnsi="仿宋_GB2312" w:eastAsia="仿宋_GB2312" w:cs="仿宋_GB2312"/>
          <w:color w:val="auto"/>
          <w:sz w:val="32"/>
          <w:szCs w:val="32"/>
          <w:highlight w:val="none"/>
        </w:rPr>
        <w:t>日常养殖、蔬菜种植及小面积水塘养殖</w:t>
      </w:r>
      <w:r>
        <w:rPr>
          <w:rFonts w:hint="eastAsia" w:ascii="仿宋_GB2312" w:hAnsi="仿宋_GB2312" w:eastAsia="仿宋_GB2312" w:cs="仿宋_GB2312"/>
          <w:color w:val="auto"/>
          <w:sz w:val="32"/>
          <w:szCs w:val="32"/>
          <w:highlight w:val="none"/>
          <w:lang w:eastAsia="zh-CN"/>
        </w:rPr>
        <w:t>等用于自产自销的结合家庭实际情况</w:t>
      </w:r>
      <w:r>
        <w:rPr>
          <w:rFonts w:hint="eastAsia" w:ascii="仿宋_GB2312" w:hAnsi="仿宋_GB2312" w:eastAsia="仿宋_GB2312" w:cs="仿宋_GB2312"/>
          <w:color w:val="auto"/>
          <w:sz w:val="32"/>
          <w:szCs w:val="32"/>
          <w:highlight w:val="none"/>
        </w:rPr>
        <w:t>按以下公式进行核算。</w:t>
      </w:r>
    </w:p>
    <w:p w14:paraId="50F535D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计算公式：低保标准×家庭人数×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250EE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eastAsia="zh-CN"/>
        </w:rPr>
        <w:t>（三）财产性收入。</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财产租赁、转让等收入，参照双方签订的相关合法有效合同、协议认定；个人不能提供相关合同、协议或合同、协议价格明显偏低的，参照当地同类资产的实际价格核算。</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储蓄存款利息、资产管理产品收益、投资股息红利、有价证券红利、商业保险收益等按照金融机构出具的凭证核算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集体财产收入分红按集体出具的分配记录核算。</w:t>
      </w:r>
    </w:p>
    <w:p w14:paraId="6CE7B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（四）转移性收入。</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离退休金、基本养老金、统筹外养老待遇等固定打卡发放的，按退休金或养老待遇等领取存折（卡）计算。</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赠与收入、继承收入，由家庭成员诚信申报，根据赠与、继承的文件核算。</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商业保险理赔金按其所投保公司实际理赔凭证核算。</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赡（抚、扶）养费按调解书、判决书或协议书、承诺书确定的金额</w:t>
      </w:r>
      <w:r>
        <w:rPr>
          <w:rFonts w:hint="eastAsia" w:ascii="仿宋_GB2312" w:hAnsi="仿宋_GB2312" w:eastAsia="仿宋_GB2312" w:cs="仿宋_GB2312"/>
          <w:color w:val="auto"/>
          <w:sz w:val="32"/>
          <w:szCs w:val="32"/>
          <w:highlight w:val="none"/>
          <w:lang w:eastAsia="zh-CN"/>
        </w:rPr>
        <w:t>核算，无上述文书或协议金额明显偏低的，按赡（抚、扶）养人家庭经济状况核算。</w:t>
      </w:r>
    </w:p>
    <w:p w14:paraId="4303CA5F">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第二十七条</w:t>
      </w:r>
      <w:r>
        <w:rPr>
          <w:rFonts w:hint="eastAsia" w:ascii="仿宋_GB2312" w:hAnsi="仿宋_GB2312" w:eastAsia="仿宋_GB2312" w:cs="仿宋_GB2312"/>
          <w:color w:val="auto"/>
          <w:sz w:val="32"/>
          <w:szCs w:val="32"/>
          <w:highlight w:val="none"/>
        </w:rPr>
        <w:t xml:space="preserve"> 关于赡（抚、扶）养费计算方法</w:t>
      </w:r>
      <w:r>
        <w:rPr>
          <w:rFonts w:hint="eastAsia" w:ascii="仿宋_GB2312" w:hAnsi="仿宋_GB2312" w:eastAsia="仿宋_GB2312" w:cs="仿宋_GB2312"/>
          <w:color w:val="auto"/>
          <w:sz w:val="32"/>
          <w:szCs w:val="32"/>
          <w:highlight w:val="none"/>
          <w:lang w:eastAsia="zh-CN"/>
        </w:rPr>
        <w:t>：</w:t>
      </w:r>
    </w:p>
    <w:p w14:paraId="6F316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（一）赡养费计算：</w:t>
      </w:r>
      <w:r>
        <w:rPr>
          <w:rFonts w:hint="eastAsia" w:ascii="仿宋_GB2312" w:hAnsi="仿宋_GB2312" w:eastAsia="仿宋_GB2312" w:cs="仿宋_GB2312"/>
          <w:color w:val="auto"/>
          <w:sz w:val="32"/>
          <w:szCs w:val="32"/>
          <w:highlight w:val="none"/>
        </w:rPr>
        <w:t>家庭</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rPr>
        <w:t>人均收入高于</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rPr>
        <w:t>低保标准1.5倍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且有履行义务能力的子女，</w:t>
      </w:r>
      <w:r>
        <w:rPr>
          <w:rFonts w:hint="eastAsia" w:ascii="仿宋_GB2312" w:hAnsi="仿宋_GB2312" w:eastAsia="仿宋_GB2312" w:cs="仿宋_GB2312"/>
          <w:color w:val="auto"/>
          <w:sz w:val="32"/>
          <w:szCs w:val="32"/>
          <w:highlight w:val="none"/>
          <w:lang w:eastAsia="zh-CN"/>
        </w:rPr>
        <w:t>按以下公式计算赡养费</w:t>
      </w:r>
      <w:r>
        <w:rPr>
          <w:rFonts w:hint="eastAsia" w:ascii="仿宋_GB2312" w:hAnsi="仿宋_GB2312" w:eastAsia="仿宋_GB2312" w:cs="仿宋_GB2312"/>
          <w:color w:val="auto"/>
          <w:sz w:val="32"/>
          <w:szCs w:val="32"/>
          <w:highlight w:val="none"/>
        </w:rPr>
        <w:t>：</w:t>
      </w:r>
    </w:p>
    <w:p w14:paraId="1FEF9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付给被赡养人的</w:t>
      </w:r>
      <w:r>
        <w:rPr>
          <w:rFonts w:hint="eastAsia" w:ascii="仿宋_GB2312" w:hAnsi="仿宋_GB2312" w:eastAsia="仿宋_GB2312" w:cs="仿宋_GB2312"/>
          <w:color w:val="auto"/>
          <w:sz w:val="32"/>
          <w:szCs w:val="32"/>
          <w:highlight w:val="none"/>
          <w:lang w:eastAsia="zh-CN"/>
        </w:rPr>
        <w:t>月人均</w:t>
      </w:r>
      <w:r>
        <w:rPr>
          <w:rFonts w:hint="eastAsia" w:ascii="仿宋_GB2312" w:hAnsi="仿宋_GB2312" w:eastAsia="仿宋_GB2312" w:cs="仿宋_GB2312"/>
          <w:color w:val="auto"/>
          <w:sz w:val="32"/>
          <w:szCs w:val="32"/>
          <w:highlight w:val="none"/>
        </w:rPr>
        <w:t>赡养费</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法定赡养义务人</w:t>
      </w:r>
      <w:r>
        <w:rPr>
          <w:rFonts w:hint="eastAsia" w:ascii="仿宋_GB2312" w:hAnsi="仿宋_GB2312" w:eastAsia="仿宋_GB2312" w:cs="仿宋_GB2312"/>
          <w:color w:val="auto"/>
          <w:sz w:val="32"/>
          <w:szCs w:val="32"/>
          <w:highlight w:val="none"/>
          <w:lang w:eastAsia="zh-CN"/>
        </w:rPr>
        <w:t>家庭月人均</w:t>
      </w:r>
      <w:r>
        <w:rPr>
          <w:rFonts w:hint="eastAsia" w:ascii="仿宋_GB2312" w:hAnsi="仿宋_GB2312" w:eastAsia="仿宋_GB2312" w:cs="仿宋_GB2312"/>
          <w:color w:val="auto"/>
          <w:sz w:val="32"/>
          <w:szCs w:val="32"/>
          <w:highlight w:val="none"/>
        </w:rPr>
        <w:t>收入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lang w:eastAsia="zh-CN"/>
        </w:rPr>
        <w:t>倍月低保标准）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一定比例（比例控制在</w:t>
      </w:r>
      <w:r>
        <w:rPr>
          <w:rFonts w:hint="eastAsia" w:ascii="仿宋_GB2312" w:hAnsi="仿宋_GB2312" w:eastAsia="仿宋_GB2312" w:cs="仿宋_GB2312"/>
          <w:color w:val="auto"/>
          <w:sz w:val="32"/>
          <w:szCs w:val="32"/>
          <w:highlight w:val="none"/>
          <w:lang w:val="en-US" w:eastAsia="zh-CN"/>
        </w:rPr>
        <w:t>60%左右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义务人</w:t>
      </w:r>
      <w:r>
        <w:rPr>
          <w:rFonts w:hint="eastAsia" w:ascii="仿宋_GB2312" w:hAnsi="仿宋_GB2312" w:eastAsia="仿宋_GB2312" w:cs="仿宋_GB2312"/>
          <w:color w:val="auto"/>
          <w:sz w:val="32"/>
          <w:szCs w:val="32"/>
          <w:highlight w:val="none"/>
        </w:rPr>
        <w:t>应赡养</w:t>
      </w:r>
      <w:r>
        <w:rPr>
          <w:rFonts w:hint="eastAsia" w:ascii="仿宋_GB2312" w:hAnsi="仿宋_GB2312" w:eastAsia="仿宋_GB2312" w:cs="仿宋_GB2312"/>
          <w:color w:val="auto"/>
          <w:sz w:val="32"/>
          <w:szCs w:val="32"/>
          <w:highlight w:val="none"/>
          <w:lang w:eastAsia="zh-CN"/>
        </w:rPr>
        <w:t>老人</w:t>
      </w:r>
      <w:r>
        <w:rPr>
          <w:rFonts w:hint="eastAsia" w:ascii="仿宋_GB2312" w:hAnsi="仿宋_GB2312" w:eastAsia="仿宋_GB2312" w:cs="仿宋_GB2312"/>
          <w:color w:val="auto"/>
          <w:sz w:val="32"/>
          <w:szCs w:val="32"/>
          <w:highlight w:val="none"/>
        </w:rPr>
        <w:t>数</w:t>
      </w:r>
      <w:r>
        <w:rPr>
          <w:rFonts w:hint="eastAsia" w:ascii="仿宋_GB2312" w:hAnsi="仿宋_GB2312" w:eastAsia="仿宋_GB2312" w:cs="仿宋_GB2312"/>
          <w:color w:val="auto"/>
          <w:sz w:val="32"/>
          <w:szCs w:val="32"/>
          <w:highlight w:val="none"/>
          <w:lang w:eastAsia="zh-CN"/>
        </w:rPr>
        <w:t>。</w:t>
      </w:r>
    </w:p>
    <w:p w14:paraId="6026C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成年未婚且实际未共同生活的子女，按以下公式计算赡养费</w:t>
      </w:r>
      <w:r>
        <w:rPr>
          <w:rFonts w:hint="eastAsia" w:ascii="仿宋_GB2312" w:hAnsi="仿宋_GB2312" w:eastAsia="仿宋_GB2312" w:cs="仿宋_GB2312"/>
          <w:b w:val="0"/>
          <w:bCs w:val="0"/>
          <w:color w:val="auto"/>
          <w:sz w:val="32"/>
          <w:szCs w:val="32"/>
          <w:highlight w:val="none"/>
        </w:rPr>
        <w:t>：</w:t>
      </w:r>
    </w:p>
    <w:p w14:paraId="02411F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付给被赡养人的</w:t>
      </w:r>
      <w:r>
        <w:rPr>
          <w:rFonts w:hint="eastAsia" w:ascii="仿宋_GB2312" w:hAnsi="仿宋_GB2312" w:eastAsia="仿宋_GB2312" w:cs="仿宋_GB2312"/>
          <w:b w:val="0"/>
          <w:bCs w:val="0"/>
          <w:color w:val="auto"/>
          <w:sz w:val="32"/>
          <w:szCs w:val="32"/>
          <w:highlight w:val="none"/>
          <w:lang w:eastAsia="zh-CN"/>
        </w:rPr>
        <w:t>月人均</w:t>
      </w:r>
      <w:r>
        <w:rPr>
          <w:rFonts w:hint="eastAsia" w:ascii="仿宋_GB2312" w:hAnsi="仿宋_GB2312" w:eastAsia="仿宋_GB2312" w:cs="仿宋_GB2312"/>
          <w:b w:val="0"/>
          <w:bCs w:val="0"/>
          <w:color w:val="auto"/>
          <w:sz w:val="32"/>
          <w:szCs w:val="32"/>
          <w:highlight w:val="none"/>
        </w:rPr>
        <w:t>赡养费</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法定赡养义务人</w:t>
      </w:r>
      <w:r>
        <w:rPr>
          <w:rFonts w:hint="eastAsia" w:ascii="仿宋_GB2312" w:hAnsi="仿宋_GB2312" w:eastAsia="仿宋_GB2312" w:cs="仿宋_GB2312"/>
          <w:b w:val="0"/>
          <w:bCs w:val="0"/>
          <w:color w:val="auto"/>
          <w:sz w:val="32"/>
          <w:szCs w:val="32"/>
          <w:highlight w:val="none"/>
          <w:lang w:eastAsia="zh-CN"/>
        </w:rPr>
        <w:t>家庭月人均</w:t>
      </w:r>
      <w:r>
        <w:rPr>
          <w:rFonts w:hint="eastAsia" w:ascii="仿宋_GB2312" w:hAnsi="仿宋_GB2312" w:eastAsia="仿宋_GB2312" w:cs="仿宋_GB2312"/>
          <w:b w:val="0"/>
          <w:bCs w:val="0"/>
          <w:color w:val="auto"/>
          <w:sz w:val="32"/>
          <w:szCs w:val="32"/>
          <w:highlight w:val="none"/>
        </w:rPr>
        <w:t>收入</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1.5</w:t>
      </w:r>
      <w:r>
        <w:rPr>
          <w:rFonts w:hint="eastAsia" w:ascii="仿宋_GB2312" w:hAnsi="仿宋_GB2312" w:eastAsia="仿宋_GB2312" w:cs="仿宋_GB2312"/>
          <w:b w:val="0"/>
          <w:bCs w:val="0"/>
          <w:color w:val="auto"/>
          <w:sz w:val="32"/>
          <w:szCs w:val="32"/>
          <w:highlight w:val="none"/>
          <w:lang w:eastAsia="zh-CN"/>
        </w:rPr>
        <w:t>倍月低保标准）</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一定比例（比例控制在</w:t>
      </w:r>
      <w:r>
        <w:rPr>
          <w:rFonts w:hint="eastAsia" w:ascii="仿宋_GB2312" w:hAnsi="仿宋_GB2312" w:eastAsia="仿宋_GB2312" w:cs="仿宋_GB2312"/>
          <w:b w:val="0"/>
          <w:bCs w:val="0"/>
          <w:color w:val="auto"/>
          <w:sz w:val="32"/>
          <w:szCs w:val="32"/>
          <w:highlight w:val="none"/>
          <w:lang w:val="en-US" w:eastAsia="zh-CN"/>
        </w:rPr>
        <w:t>20%左右</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义务人</w:t>
      </w:r>
      <w:r>
        <w:rPr>
          <w:rFonts w:hint="eastAsia" w:ascii="仿宋_GB2312" w:hAnsi="仿宋_GB2312" w:eastAsia="仿宋_GB2312" w:cs="仿宋_GB2312"/>
          <w:b w:val="0"/>
          <w:bCs w:val="0"/>
          <w:color w:val="auto"/>
          <w:sz w:val="32"/>
          <w:szCs w:val="32"/>
          <w:highlight w:val="none"/>
        </w:rPr>
        <w:t>应赡养</w:t>
      </w:r>
      <w:r>
        <w:rPr>
          <w:rFonts w:hint="eastAsia" w:ascii="仿宋_GB2312" w:hAnsi="仿宋_GB2312" w:eastAsia="仿宋_GB2312" w:cs="仿宋_GB2312"/>
          <w:b w:val="0"/>
          <w:bCs w:val="0"/>
          <w:color w:val="auto"/>
          <w:sz w:val="32"/>
          <w:szCs w:val="32"/>
          <w:highlight w:val="none"/>
          <w:lang w:eastAsia="zh-CN"/>
        </w:rPr>
        <w:t>老人</w:t>
      </w:r>
      <w:r>
        <w:rPr>
          <w:rFonts w:hint="eastAsia" w:ascii="仿宋_GB2312" w:hAnsi="仿宋_GB2312" w:eastAsia="仿宋_GB2312" w:cs="仿宋_GB2312"/>
          <w:b w:val="0"/>
          <w:bCs w:val="0"/>
          <w:color w:val="auto"/>
          <w:sz w:val="32"/>
          <w:szCs w:val="32"/>
          <w:highlight w:val="none"/>
        </w:rPr>
        <w:t>数</w:t>
      </w:r>
      <w:r>
        <w:rPr>
          <w:rFonts w:hint="eastAsia" w:ascii="仿宋_GB2312" w:hAnsi="仿宋_GB2312" w:eastAsia="仿宋_GB2312" w:cs="仿宋_GB2312"/>
          <w:b w:val="0"/>
          <w:bCs w:val="0"/>
          <w:color w:val="auto"/>
          <w:sz w:val="32"/>
          <w:szCs w:val="32"/>
          <w:highlight w:val="none"/>
          <w:lang w:eastAsia="zh-CN"/>
        </w:rPr>
        <w:t>。</w:t>
      </w:r>
    </w:p>
    <w:p w14:paraId="0CDD1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（二）抚养费计算：</w:t>
      </w:r>
      <w:r>
        <w:rPr>
          <w:rFonts w:hint="eastAsia" w:ascii="仿宋_GB2312" w:hAnsi="仿宋_GB2312" w:eastAsia="仿宋_GB2312" w:cs="仿宋_GB2312"/>
          <w:color w:val="auto"/>
          <w:sz w:val="32"/>
          <w:szCs w:val="32"/>
          <w:highlight w:val="none"/>
        </w:rPr>
        <w:t>经法院判决离婚或协议离婚，有子女抚养费规定的，按照规定计算；无子女抚养费规定和自身无经济能力、主动放弃对方支付子女抚养费的，抚养费每名子女每月按低保标准50%的比例给付。抚养费的给付期限，一般至子女18周岁为止，但年满18周岁仍在接受全日制大专、本科学校就读的，</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继续计算抚养费。</w:t>
      </w:r>
    </w:p>
    <w:p w14:paraId="11075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（三）扶养费计算：夫妻之间原则上以收入的</w:t>
      </w:r>
      <w:r>
        <w:rPr>
          <w:rFonts w:hint="eastAsia" w:ascii="仿宋_GB2312" w:hAnsi="仿宋_GB2312" w:eastAsia="仿宋_GB2312" w:cs="仿宋_GB2312"/>
          <w:color w:val="auto"/>
          <w:sz w:val="32"/>
          <w:szCs w:val="32"/>
          <w:highlight w:val="none"/>
          <w:lang w:val="en-US" w:eastAsia="zh-CN"/>
        </w:rPr>
        <w:t>50%确定</w:t>
      </w:r>
      <w:r>
        <w:rPr>
          <w:rFonts w:hint="eastAsia" w:ascii="仿宋_GB2312" w:hAnsi="仿宋_GB2312" w:eastAsia="仿宋_GB2312" w:cs="仿宋_GB2312"/>
          <w:color w:val="auto"/>
          <w:sz w:val="32"/>
          <w:szCs w:val="32"/>
          <w:highlight w:val="none"/>
          <w:lang w:eastAsia="zh-CN"/>
        </w:rPr>
        <w:t>，兄弟姐妹之间的相互扶养责任按照实际给予的扶养费核算。</w:t>
      </w:r>
    </w:p>
    <w:p w14:paraId="7304DE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第二十八条</w:t>
      </w:r>
      <w:r>
        <w:rPr>
          <w:rFonts w:hint="eastAsia" w:ascii="仿宋_GB2312" w:hAnsi="仿宋_GB2312" w:eastAsia="仿宋_GB2312" w:cs="仿宋_GB2312"/>
          <w:color w:val="auto"/>
          <w:sz w:val="32"/>
          <w:szCs w:val="32"/>
          <w:highlight w:val="none"/>
        </w:rPr>
        <w:t xml:space="preserve"> 赡（抚、扶）养义务人符合下列情况的，且财产状况符合本细则规定的人员，可视为无赡（抚、扶）养能力，不核算赡（抚、扶）养费</w:t>
      </w:r>
      <w:r>
        <w:rPr>
          <w:rFonts w:hint="eastAsia" w:ascii="仿宋_GB2312" w:hAnsi="仿宋_GB2312" w:eastAsia="仿宋_GB2312" w:cs="仿宋_GB2312"/>
          <w:color w:val="auto"/>
          <w:sz w:val="32"/>
          <w:szCs w:val="32"/>
          <w:highlight w:val="none"/>
          <w:lang w:eastAsia="zh-CN"/>
        </w:rPr>
        <w:t>：</w:t>
      </w:r>
    </w:p>
    <w:p w14:paraId="1288E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长期共同生活的家庭成员中有重残或患重特大疾病</w:t>
      </w:r>
      <w:r>
        <w:rPr>
          <w:rFonts w:hint="eastAsia" w:ascii="仿宋_GB2312" w:hAnsi="仿宋_GB2312" w:eastAsia="仿宋_GB2312" w:cs="仿宋_GB2312"/>
          <w:color w:val="auto"/>
          <w:sz w:val="32"/>
          <w:szCs w:val="32"/>
          <w:highlight w:val="none"/>
          <w:u w:val="none"/>
          <w:lang w:eastAsia="zh-CN"/>
        </w:rPr>
        <w:t>且财产符合当地最低生活保障边缘家庭财产状况规定的</w:t>
      </w:r>
      <w:r>
        <w:rPr>
          <w:rFonts w:hint="eastAsia" w:ascii="仿宋_GB2312" w:hAnsi="仿宋_GB2312" w:eastAsia="仿宋_GB2312" w:cs="仿宋_GB2312"/>
          <w:color w:val="auto"/>
          <w:sz w:val="32"/>
          <w:szCs w:val="32"/>
          <w:highlight w:val="none"/>
          <w:lang w:eastAsia="zh-CN"/>
        </w:rPr>
        <w:t>（本文中重残指</w:t>
      </w:r>
      <w:r>
        <w:rPr>
          <w:rFonts w:hint="eastAsia" w:ascii="仿宋_GB2312" w:hAnsi="仿宋_GB2312" w:eastAsia="仿宋_GB2312" w:cs="仿宋_GB2312"/>
          <w:color w:val="auto"/>
          <w:sz w:val="32"/>
          <w:szCs w:val="32"/>
          <w:highlight w:val="none"/>
          <w:lang w:val="en-US" w:eastAsia="zh-CN"/>
        </w:rPr>
        <w:t>持有中华人民共和国残疾人证的一级、二级重度残疾人和三级智力残疾人、三级精神残疾人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
        </w:rPr>
        <w:t>低</w:t>
      </w:r>
      <w:r>
        <w:rPr>
          <w:rFonts w:hint="eastAsia" w:ascii="仿宋_GB2312" w:hAnsi="仿宋_GB2312" w:eastAsia="仿宋_GB2312" w:cs="仿宋_GB2312"/>
          <w:color w:val="auto"/>
          <w:sz w:val="32"/>
          <w:szCs w:val="32"/>
          <w:highlight w:val="none"/>
          <w:lang w:eastAsia="zh-CN"/>
        </w:rPr>
        <w:t>收入家庭成员</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正在服义务兵役制的；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连续三年以上（含三年）脱离家庭独立生活的宗教教职人员；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无民事行为能力、被宣告失踪或者在监狱服刑的；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正在强制戒毒或者自愿在戒毒所戒毒人员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）县级民政部门认定其他不予核算的情形。</w:t>
      </w:r>
    </w:p>
    <w:p w14:paraId="72E4907C">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eastAsia="zh-CN"/>
        </w:rPr>
        <w:t>九</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申请或已享受最低生活保障的家庭因</w:t>
      </w:r>
      <w:r>
        <w:rPr>
          <w:rFonts w:hint="eastAsia" w:ascii="仿宋_GB2312" w:hAnsi="仿宋_GB2312" w:eastAsia="仿宋_GB2312" w:cs="仿宋_GB2312"/>
          <w:color w:val="auto"/>
          <w:sz w:val="32"/>
          <w:szCs w:val="32"/>
          <w:highlight w:val="none"/>
          <w:lang w:eastAsia="zh-CN"/>
        </w:rPr>
        <w:t>医疗</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教育</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护理、</w:t>
      </w:r>
      <w:r>
        <w:rPr>
          <w:rFonts w:hint="eastAsia" w:ascii="仿宋_GB2312" w:hAnsi="仿宋_GB2312" w:eastAsia="仿宋_GB2312" w:cs="仿宋_GB2312"/>
          <w:color w:val="auto"/>
          <w:sz w:val="32"/>
          <w:szCs w:val="32"/>
          <w:highlight w:val="none"/>
        </w:rPr>
        <w:t>就业等增加的刚性支出，在核算家庭经济状况时</w:t>
      </w:r>
      <w:r>
        <w:rPr>
          <w:rFonts w:hint="eastAsia" w:ascii="仿宋_GB2312" w:hAnsi="仿宋_GB2312" w:eastAsia="仿宋_GB2312" w:cs="仿宋_GB2312"/>
          <w:color w:val="auto"/>
          <w:sz w:val="32"/>
          <w:szCs w:val="32"/>
          <w:highlight w:val="none"/>
          <w:lang w:eastAsia="zh-CN"/>
        </w:rPr>
        <w:t>应进行扣</w:t>
      </w:r>
      <w:r>
        <w:rPr>
          <w:rFonts w:hint="eastAsia" w:ascii="仿宋_GB2312" w:hAnsi="仿宋_GB2312" w:eastAsia="仿宋_GB2312" w:cs="仿宋_GB2312"/>
          <w:color w:val="auto"/>
          <w:sz w:val="32"/>
          <w:szCs w:val="32"/>
          <w:highlight w:val="none"/>
        </w:rPr>
        <w:t>减</w:t>
      </w:r>
      <w:r>
        <w:rPr>
          <w:rFonts w:hint="eastAsia" w:ascii="仿宋_GB2312" w:hAnsi="仿宋_GB2312" w:eastAsia="仿宋_GB2312" w:cs="仿宋_GB2312"/>
          <w:color w:val="auto"/>
          <w:sz w:val="32"/>
          <w:szCs w:val="32"/>
          <w:highlight w:val="none"/>
          <w:lang w:eastAsia="zh-CN"/>
        </w:rPr>
        <w:t>。</w:t>
      </w:r>
    </w:p>
    <w:p w14:paraId="02389F9E">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（一）医疗扣减：</w:t>
      </w:r>
      <w:r>
        <w:rPr>
          <w:rFonts w:hint="eastAsia" w:ascii="仿宋_GB2312" w:hAnsi="仿宋_GB2312" w:eastAsia="仿宋_GB2312" w:cs="仿宋_GB2312"/>
          <w:color w:val="auto"/>
          <w:sz w:val="32"/>
          <w:szCs w:val="32"/>
          <w:highlight w:val="none"/>
        </w:rPr>
        <w:t>自申请日起或复核当月起前12个月</w:t>
      </w:r>
      <w:r>
        <w:rPr>
          <w:rFonts w:hint="eastAsia" w:ascii="仿宋_GB2312" w:hAnsi="仿宋_GB2312" w:eastAsia="仿宋_GB2312" w:cs="仿宋_GB2312"/>
          <w:color w:val="auto"/>
          <w:sz w:val="32"/>
          <w:szCs w:val="32"/>
          <w:highlight w:val="none"/>
          <w:lang w:eastAsia="zh-CN"/>
        </w:rPr>
        <w:t>时间内，家庭所有成员</w:t>
      </w:r>
      <w:r>
        <w:rPr>
          <w:rFonts w:hint="eastAsia" w:ascii="仿宋_GB2312" w:hAnsi="仿宋_GB2312" w:eastAsia="仿宋_GB2312" w:cs="仿宋_GB2312"/>
          <w:color w:val="auto"/>
          <w:sz w:val="32"/>
          <w:szCs w:val="32"/>
          <w:highlight w:val="none"/>
        </w:rPr>
        <w:t>个人自</w:t>
      </w:r>
      <w:r>
        <w:rPr>
          <w:rFonts w:hint="eastAsia" w:ascii="仿宋_GB2312" w:hAnsi="仿宋_GB2312" w:eastAsia="仿宋_GB2312" w:cs="仿宋_GB2312"/>
          <w:color w:val="auto"/>
          <w:sz w:val="32"/>
          <w:szCs w:val="32"/>
          <w:highlight w:val="none"/>
          <w:lang w:eastAsia="zh-CN"/>
        </w:rPr>
        <w:t>付</w:t>
      </w:r>
      <w:r>
        <w:rPr>
          <w:rFonts w:hint="eastAsia" w:ascii="仿宋_GB2312" w:hAnsi="仿宋_GB2312" w:eastAsia="仿宋_GB2312" w:cs="仿宋_GB2312"/>
          <w:color w:val="auto"/>
          <w:sz w:val="32"/>
          <w:szCs w:val="32"/>
          <w:highlight w:val="none"/>
        </w:rPr>
        <w:t>的合规医疗</w:t>
      </w:r>
      <w:r>
        <w:rPr>
          <w:rFonts w:hint="eastAsia" w:ascii="仿宋_GB2312" w:hAnsi="仿宋_GB2312" w:eastAsia="仿宋_GB2312" w:cs="仿宋_GB2312"/>
          <w:color w:val="auto"/>
          <w:sz w:val="32"/>
          <w:szCs w:val="32"/>
          <w:highlight w:val="none"/>
          <w:lang w:eastAsia="zh-CN"/>
        </w:rPr>
        <w:t>总</w:t>
      </w:r>
      <w:r>
        <w:rPr>
          <w:rFonts w:hint="eastAsia" w:ascii="仿宋_GB2312" w:hAnsi="仿宋_GB2312" w:eastAsia="仿宋_GB2312" w:cs="仿宋_GB2312"/>
          <w:color w:val="auto"/>
          <w:sz w:val="32"/>
          <w:szCs w:val="32"/>
          <w:highlight w:val="none"/>
        </w:rPr>
        <w:t>费用，据实扣减但最高扣减金额不超过5万元</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原则上依据县级及以上医院出具的医疗费用结算清单和医疗费用门诊发票进行认定。</w:t>
      </w:r>
    </w:p>
    <w:p w14:paraId="72C743DB">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（二）教育扣减：</w:t>
      </w:r>
      <w:r>
        <w:rPr>
          <w:rFonts w:hint="eastAsia" w:ascii="仿宋_GB2312" w:hAnsi="仿宋_GB2312" w:eastAsia="仿宋_GB2312" w:cs="仿宋_GB2312"/>
          <w:color w:val="auto"/>
          <w:sz w:val="32"/>
          <w:szCs w:val="32"/>
          <w:highlight w:val="none"/>
        </w:rPr>
        <w:t>自申请日起或复核当月起前12个月</w:t>
      </w:r>
      <w:r>
        <w:rPr>
          <w:rFonts w:hint="eastAsia" w:ascii="仿宋_GB2312" w:hAnsi="仿宋_GB2312" w:eastAsia="仿宋_GB2312" w:cs="仿宋_GB2312"/>
          <w:color w:val="auto"/>
          <w:sz w:val="32"/>
          <w:szCs w:val="32"/>
          <w:highlight w:val="none"/>
          <w:lang w:eastAsia="zh-CN"/>
        </w:rPr>
        <w:t>时间内，</w:t>
      </w:r>
      <w:r>
        <w:rPr>
          <w:rFonts w:hint="eastAsia" w:ascii="仿宋_GB2312" w:hAnsi="仿宋_GB2312" w:eastAsia="仿宋_GB2312" w:cs="仿宋_GB2312"/>
          <w:color w:val="auto"/>
          <w:sz w:val="32"/>
          <w:szCs w:val="32"/>
          <w:highlight w:val="none"/>
        </w:rPr>
        <w:t>家庭成员中有接受本科及以下全日制学历教育的</w:t>
      </w:r>
      <w:r>
        <w:rPr>
          <w:rFonts w:hint="eastAsia" w:ascii="仿宋_GB2312" w:hAnsi="仿宋_GB2312" w:eastAsia="仿宋_GB2312" w:cs="仿宋_GB2312"/>
          <w:color w:val="auto"/>
          <w:sz w:val="32"/>
          <w:szCs w:val="32"/>
          <w:highlight w:val="none"/>
          <w:lang w:val="en-US" w:eastAsia="zh-CN"/>
        </w:rPr>
        <w:t>费用</w:t>
      </w:r>
      <w:r>
        <w:rPr>
          <w:rFonts w:hint="eastAsia" w:ascii="仿宋_GB2312" w:hAnsi="仿宋_GB2312" w:eastAsia="仿宋_GB2312" w:cs="仿宋_GB2312"/>
          <w:color w:val="auto"/>
          <w:sz w:val="32"/>
          <w:szCs w:val="32"/>
          <w:highlight w:val="none"/>
        </w:rPr>
        <w:t>等支出</w:t>
      </w:r>
      <w:r>
        <w:rPr>
          <w:rFonts w:hint="eastAsia" w:ascii="仿宋_GB2312" w:hAnsi="仿宋_GB2312" w:eastAsia="仿宋_GB2312" w:cs="仿宋_GB2312"/>
          <w:color w:val="auto"/>
          <w:sz w:val="32"/>
          <w:szCs w:val="32"/>
          <w:highlight w:val="none"/>
          <w:lang w:val="en-US" w:eastAsia="zh-CN"/>
        </w:rPr>
        <w:t>据实</w:t>
      </w:r>
      <w:r>
        <w:rPr>
          <w:rFonts w:hint="eastAsia" w:ascii="仿宋_GB2312" w:hAnsi="仿宋_GB2312" w:eastAsia="仿宋_GB2312" w:cs="仿宋_GB2312"/>
          <w:color w:val="auto"/>
          <w:sz w:val="32"/>
          <w:szCs w:val="32"/>
          <w:highlight w:val="none"/>
        </w:rPr>
        <w:t>扣减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highlight w:val="none"/>
        </w:rPr>
        <w:t>普惠性幼儿园教育费用不超过</w:t>
      </w:r>
      <w:r>
        <w:rPr>
          <w:rFonts w:hint="eastAsia" w:ascii="仿宋_GB2312" w:hAnsi="仿宋_GB2312" w:eastAsia="仿宋_GB2312" w:cs="仿宋_GB2312"/>
          <w:color w:val="auto"/>
          <w:sz w:val="32"/>
          <w:szCs w:val="32"/>
          <w:highlight w:val="none"/>
          <w:lang w:val="en-US" w:eastAsia="zh-CN"/>
        </w:rPr>
        <w:t>6000</w:t>
      </w:r>
      <w:r>
        <w:rPr>
          <w:rFonts w:hint="eastAsia" w:ascii="仿宋_GB2312" w:hAnsi="仿宋_GB2312" w:eastAsia="仿宋_GB2312" w:cs="仿宋_GB2312"/>
          <w:color w:val="auto"/>
          <w:sz w:val="32"/>
          <w:szCs w:val="32"/>
          <w:highlight w:val="none"/>
        </w:rPr>
        <w:t>元/年/人</w:t>
      </w:r>
      <w:r>
        <w:rPr>
          <w:rFonts w:hint="eastAsia" w:ascii="仿宋_GB2312" w:hAnsi="仿宋_GB2312" w:eastAsia="仿宋_GB2312" w:cs="仿宋_GB2312"/>
          <w:color w:val="auto"/>
          <w:sz w:val="32"/>
          <w:szCs w:val="32"/>
          <w:highlight w:val="none"/>
          <w:lang w:eastAsia="zh-CN"/>
        </w:rPr>
        <w:t>；高</w:t>
      </w:r>
      <w:r>
        <w:rPr>
          <w:rFonts w:hint="eastAsia" w:ascii="仿宋_GB2312" w:hAnsi="仿宋_GB2312" w:eastAsia="仿宋_GB2312" w:cs="仿宋_GB2312"/>
          <w:color w:val="auto"/>
          <w:sz w:val="32"/>
          <w:szCs w:val="32"/>
          <w:highlight w:val="none"/>
          <w:lang w:val="en-US" w:eastAsia="zh-CN"/>
        </w:rPr>
        <w:t>中教育费用</w:t>
      </w:r>
      <w:r>
        <w:rPr>
          <w:rFonts w:hint="eastAsia" w:ascii="仿宋_GB2312" w:hAnsi="仿宋_GB2312" w:eastAsia="仿宋_GB2312" w:cs="仿宋_GB2312"/>
          <w:color w:val="auto"/>
          <w:sz w:val="32"/>
          <w:szCs w:val="32"/>
          <w:highlight w:val="none"/>
        </w:rPr>
        <w:t>不超过</w:t>
      </w:r>
      <w:r>
        <w:rPr>
          <w:rFonts w:hint="eastAsia" w:ascii="仿宋_GB2312" w:hAnsi="仿宋_GB2312" w:eastAsia="仿宋_GB2312" w:cs="仿宋_GB2312"/>
          <w:color w:val="auto"/>
          <w:sz w:val="32"/>
          <w:szCs w:val="32"/>
          <w:highlight w:val="none"/>
          <w:lang w:val="en-US" w:eastAsia="zh-CN"/>
        </w:rPr>
        <w:t>8000</w:t>
      </w:r>
      <w:r>
        <w:rPr>
          <w:rFonts w:hint="eastAsia" w:ascii="仿宋_GB2312" w:hAnsi="仿宋_GB2312" w:eastAsia="仿宋_GB2312" w:cs="仿宋_GB2312"/>
          <w:color w:val="auto"/>
          <w:sz w:val="32"/>
          <w:szCs w:val="32"/>
          <w:highlight w:val="none"/>
        </w:rPr>
        <w:t>元/年/人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大</w:t>
      </w:r>
      <w:r>
        <w:rPr>
          <w:rFonts w:hint="eastAsia" w:ascii="仿宋_GB2312" w:hAnsi="仿宋_GB2312" w:eastAsia="仿宋_GB2312" w:cs="仿宋_GB2312"/>
          <w:color w:val="auto"/>
          <w:sz w:val="32"/>
          <w:szCs w:val="32"/>
          <w:highlight w:val="none"/>
        </w:rPr>
        <w:t>专及本科教育费用不超过</w:t>
      </w:r>
      <w:r>
        <w:rPr>
          <w:rFonts w:hint="eastAsia" w:ascii="仿宋_GB2312" w:hAnsi="仿宋_GB2312" w:eastAsia="仿宋_GB2312" w:cs="仿宋_GB2312"/>
          <w:color w:val="auto"/>
          <w:sz w:val="32"/>
          <w:szCs w:val="32"/>
          <w:highlight w:val="none"/>
          <w:lang w:val="en-US" w:eastAsia="zh-CN"/>
        </w:rPr>
        <w:t>15000</w:t>
      </w:r>
      <w:r>
        <w:rPr>
          <w:rFonts w:hint="eastAsia" w:ascii="仿宋_GB2312" w:hAnsi="仿宋_GB2312" w:eastAsia="仿宋_GB2312" w:cs="仿宋_GB2312"/>
          <w:color w:val="auto"/>
          <w:sz w:val="32"/>
          <w:szCs w:val="32"/>
          <w:highlight w:val="none"/>
        </w:rPr>
        <w:t>元/年/人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原则上依据学校出具的就读证明进行认定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职业教育</w:t>
      </w:r>
      <w:r>
        <w:rPr>
          <w:rFonts w:hint="eastAsia" w:ascii="仿宋_GB2312" w:hAnsi="仿宋_GB2312" w:eastAsia="仿宋_GB2312" w:cs="仿宋_GB2312"/>
          <w:color w:val="auto"/>
          <w:sz w:val="32"/>
          <w:szCs w:val="32"/>
          <w:highlight w:val="none"/>
          <w:lang w:eastAsia="zh-CN"/>
        </w:rPr>
        <w:t>参照执行）。</w:t>
      </w:r>
    </w:p>
    <w:p w14:paraId="466AB783">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（三）护理扣减：</w:t>
      </w:r>
      <w:r>
        <w:rPr>
          <w:rFonts w:hint="eastAsia" w:ascii="仿宋_GB2312" w:hAnsi="仿宋_GB2312" w:eastAsia="仿宋_GB2312" w:cs="仿宋_GB2312"/>
          <w:color w:val="auto"/>
          <w:sz w:val="32"/>
          <w:szCs w:val="32"/>
          <w:highlight w:val="none"/>
        </w:rPr>
        <w:t>自申请日起或复核当月起前12个月</w:t>
      </w:r>
      <w:r>
        <w:rPr>
          <w:rFonts w:hint="eastAsia" w:ascii="仿宋_GB2312" w:hAnsi="仿宋_GB2312" w:eastAsia="仿宋_GB2312" w:cs="仿宋_GB2312"/>
          <w:color w:val="auto"/>
          <w:sz w:val="32"/>
          <w:szCs w:val="32"/>
          <w:highlight w:val="none"/>
          <w:lang w:eastAsia="zh-CN"/>
        </w:rPr>
        <w:t>时间内，</w:t>
      </w:r>
      <w:r>
        <w:rPr>
          <w:rFonts w:hint="eastAsia" w:ascii="仿宋_GB2312" w:hAnsi="仿宋_GB2312" w:eastAsia="仿宋_GB2312" w:cs="仿宋_GB2312"/>
          <w:color w:val="auto"/>
          <w:sz w:val="32"/>
          <w:szCs w:val="32"/>
          <w:highlight w:val="none"/>
        </w:rPr>
        <w:t>家庭成员中因生活自理能力状</w:t>
      </w:r>
      <w:r>
        <w:rPr>
          <w:rFonts w:hint="eastAsia" w:ascii="仿宋_GB2312" w:hAnsi="仿宋_GB2312" w:eastAsia="仿宋_GB2312" w:cs="仿宋_GB2312"/>
          <w:color w:val="auto"/>
          <w:sz w:val="32"/>
          <w:szCs w:val="32"/>
          <w:highlight w:val="none"/>
          <w:lang w:eastAsia="zh-CN"/>
        </w:rPr>
        <w:t>况为全护理、半护理必要的护理费用支出，按当地上年度最低工资标准的1/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进行扣减；人员生活自理能力评定标准按《生活自理能力评估细则》（附件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进行认定，填写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生活自理能力评估表》</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highlight w:val="none"/>
        </w:rPr>
        <w:t>持有中华人民共和国残疾人证的一级、二级重度残疾人</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三级智力、</w:t>
      </w:r>
      <w:r>
        <w:rPr>
          <w:rFonts w:hint="eastAsia" w:ascii="仿宋_GB2312" w:hAnsi="仿宋_GB2312" w:eastAsia="仿宋_GB2312" w:cs="仿宋_GB2312"/>
          <w:color w:val="auto"/>
          <w:sz w:val="32"/>
          <w:szCs w:val="32"/>
          <w:highlight w:val="none"/>
          <w:lang w:eastAsia="zh-CN"/>
        </w:rPr>
        <w:t>三级</w:t>
      </w:r>
      <w:r>
        <w:rPr>
          <w:rFonts w:hint="eastAsia" w:ascii="仿宋_GB2312" w:hAnsi="仿宋_GB2312" w:eastAsia="仿宋_GB2312" w:cs="仿宋_GB2312"/>
          <w:color w:val="auto"/>
          <w:sz w:val="32"/>
          <w:szCs w:val="32"/>
          <w:highlight w:val="none"/>
        </w:rPr>
        <w:t>精神残疾人</w:t>
      </w:r>
      <w:r>
        <w:rPr>
          <w:rFonts w:hint="eastAsia" w:ascii="仿宋_GB2312" w:hAnsi="仿宋_GB2312" w:eastAsia="仿宋_GB2312" w:cs="仿宋_GB2312"/>
          <w:color w:val="auto"/>
          <w:sz w:val="32"/>
          <w:szCs w:val="32"/>
          <w:highlight w:val="none"/>
          <w:lang w:eastAsia="zh-CN"/>
        </w:rPr>
        <w:t>原则上按半护理进行认定，情形严重的按全护理进行认定；3周岁及以下未就读</w:t>
      </w:r>
      <w:r>
        <w:rPr>
          <w:rFonts w:hint="eastAsia" w:ascii="仿宋_GB2312" w:hAnsi="仿宋_GB2312" w:eastAsia="仿宋_GB2312" w:cs="仿宋_GB2312"/>
          <w:color w:val="auto"/>
          <w:sz w:val="32"/>
          <w:szCs w:val="32"/>
          <w:highlight w:val="none"/>
        </w:rPr>
        <w:t>普惠性</w:t>
      </w:r>
      <w:r>
        <w:rPr>
          <w:rFonts w:hint="eastAsia" w:ascii="仿宋_GB2312" w:hAnsi="仿宋_GB2312" w:eastAsia="仿宋_GB2312" w:cs="仿宋_GB2312"/>
          <w:color w:val="auto"/>
          <w:sz w:val="32"/>
          <w:szCs w:val="32"/>
          <w:highlight w:val="none"/>
          <w:lang w:eastAsia="zh-CN"/>
        </w:rPr>
        <w:t>幼儿园的</w:t>
      </w:r>
      <w:r>
        <w:rPr>
          <w:rFonts w:hint="eastAsia" w:ascii="仿宋_GB2312" w:hAnsi="仿宋_GB2312" w:eastAsia="仿宋_GB2312" w:cs="仿宋_GB2312"/>
          <w:color w:val="auto"/>
          <w:sz w:val="32"/>
          <w:szCs w:val="32"/>
          <w:highlight w:val="none"/>
          <w:lang w:val="en-US" w:eastAsia="zh-CN"/>
        </w:rPr>
        <w:t>婴</w:t>
      </w:r>
      <w:r>
        <w:rPr>
          <w:rFonts w:hint="eastAsia" w:ascii="仿宋_GB2312" w:hAnsi="仿宋_GB2312" w:eastAsia="仿宋_GB2312" w:cs="仿宋_GB2312"/>
          <w:color w:val="auto"/>
          <w:sz w:val="32"/>
          <w:szCs w:val="32"/>
          <w:highlight w:val="none"/>
          <w:lang w:eastAsia="zh-CN"/>
        </w:rPr>
        <w:t>幼儿，</w:t>
      </w:r>
      <w:r>
        <w:rPr>
          <w:rFonts w:hint="eastAsia" w:ascii="仿宋_GB2312" w:hAnsi="仿宋_GB2312" w:eastAsia="仿宋_GB2312" w:cs="仿宋_GB2312"/>
          <w:color w:val="auto"/>
          <w:sz w:val="32"/>
          <w:szCs w:val="32"/>
          <w:highlight w:val="none"/>
          <w:lang w:val="en-US" w:eastAsia="zh-CN"/>
        </w:rPr>
        <w:t>每人</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当地</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年度最低工资标准的1/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进行</w:t>
      </w:r>
      <w:r>
        <w:rPr>
          <w:rFonts w:hint="eastAsia" w:ascii="仿宋_GB2312" w:hAnsi="仿宋_GB2312" w:eastAsia="仿宋_GB2312" w:cs="仿宋_GB2312"/>
          <w:color w:val="auto"/>
          <w:sz w:val="32"/>
          <w:szCs w:val="32"/>
          <w:highlight w:val="none"/>
        </w:rPr>
        <w:t>扣减</w:t>
      </w:r>
      <w:r>
        <w:rPr>
          <w:rFonts w:hint="eastAsia" w:ascii="仿宋_GB2312" w:hAnsi="仿宋_GB2312" w:eastAsia="仿宋_GB2312" w:cs="仿宋_GB2312"/>
          <w:color w:val="auto"/>
          <w:sz w:val="32"/>
          <w:szCs w:val="32"/>
          <w:highlight w:val="none"/>
          <w:lang w:eastAsia="zh-CN"/>
        </w:rPr>
        <w:t>。</w:t>
      </w:r>
    </w:p>
    <w:p w14:paraId="0BA2BE13">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（四）就业扣减：</w:t>
      </w:r>
      <w:r>
        <w:rPr>
          <w:rFonts w:hint="eastAsia" w:ascii="仿宋_GB2312" w:hAnsi="仿宋_GB2312" w:eastAsia="仿宋_GB2312" w:cs="仿宋_GB2312"/>
          <w:color w:val="auto"/>
          <w:sz w:val="32"/>
          <w:szCs w:val="32"/>
          <w:highlight w:val="none"/>
        </w:rPr>
        <w:t>自申请日起或复核当月起前12个月</w:t>
      </w:r>
      <w:r>
        <w:rPr>
          <w:rFonts w:hint="eastAsia" w:ascii="仿宋_GB2312" w:hAnsi="仿宋_GB2312" w:eastAsia="仿宋_GB2312" w:cs="仿宋_GB2312"/>
          <w:color w:val="auto"/>
          <w:sz w:val="32"/>
          <w:szCs w:val="32"/>
          <w:highlight w:val="none"/>
          <w:lang w:eastAsia="zh-CN"/>
        </w:rPr>
        <w:t>时间内，</w:t>
      </w:r>
      <w:r>
        <w:rPr>
          <w:rFonts w:hint="eastAsia" w:ascii="仿宋_GB2312" w:hAnsi="仿宋_GB2312" w:eastAsia="仿宋_GB2312" w:cs="仿宋_GB2312"/>
          <w:color w:val="auto"/>
          <w:sz w:val="32"/>
          <w:szCs w:val="32"/>
          <w:highlight w:val="none"/>
        </w:rPr>
        <w:t>家庭成员因提高就业技能，参加各类职业专业技能培训学习支付的培训费</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外出务工支出的必要就业成本</w:t>
      </w:r>
      <w:r>
        <w:rPr>
          <w:rFonts w:hint="eastAsia" w:ascii="仿宋_GB2312" w:hAnsi="仿宋_GB2312" w:eastAsia="仿宋_GB2312" w:cs="仿宋_GB2312"/>
          <w:color w:val="auto"/>
          <w:sz w:val="32"/>
          <w:szCs w:val="32"/>
          <w:highlight w:val="none"/>
          <w:lang w:eastAsia="zh-CN"/>
        </w:rPr>
        <w:t>（租房、交通、水电等）根据提供的相关凭证</w:t>
      </w:r>
      <w:r>
        <w:rPr>
          <w:rFonts w:hint="eastAsia" w:ascii="仿宋_GB2312" w:hAnsi="仿宋_GB2312" w:eastAsia="仿宋_GB2312" w:cs="仿宋_GB2312"/>
          <w:color w:val="auto"/>
          <w:sz w:val="32"/>
          <w:szCs w:val="32"/>
          <w:highlight w:val="none"/>
          <w:lang w:val="en-US" w:eastAsia="zh-CN"/>
        </w:rPr>
        <w:t>，按本地低保标准的50%金额/人进行扣减</w:t>
      </w:r>
      <w:r>
        <w:rPr>
          <w:rFonts w:hint="eastAsia" w:ascii="仿宋_GB2312" w:hAnsi="仿宋_GB2312" w:eastAsia="仿宋_GB2312" w:cs="仿宋_GB2312"/>
          <w:color w:val="auto"/>
          <w:sz w:val="32"/>
          <w:szCs w:val="32"/>
          <w:highlight w:val="none"/>
          <w:lang w:eastAsia="zh-CN"/>
        </w:rPr>
        <w:t>。</w:t>
      </w:r>
    </w:p>
    <w:p w14:paraId="04077769">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（五）其他刚性支出扣减：</w:t>
      </w:r>
      <w:r>
        <w:rPr>
          <w:rFonts w:hint="eastAsia" w:ascii="仿宋_GB2312" w:hAnsi="仿宋_GB2312" w:eastAsia="仿宋_GB2312" w:cs="仿宋_GB2312"/>
          <w:color w:val="auto"/>
          <w:sz w:val="32"/>
          <w:szCs w:val="32"/>
          <w:highlight w:val="none"/>
        </w:rPr>
        <w:t>自申请日起或复核当月起前12个月</w:t>
      </w:r>
      <w:r>
        <w:rPr>
          <w:rFonts w:hint="eastAsia" w:ascii="仿宋_GB2312" w:hAnsi="仿宋_GB2312" w:eastAsia="仿宋_GB2312" w:cs="仿宋_GB2312"/>
          <w:color w:val="auto"/>
          <w:sz w:val="32"/>
          <w:szCs w:val="32"/>
          <w:highlight w:val="none"/>
          <w:lang w:eastAsia="zh-CN"/>
        </w:rPr>
        <w:t>时间内，县级</w:t>
      </w:r>
      <w:r>
        <w:rPr>
          <w:rFonts w:hint="eastAsia" w:ascii="仿宋_GB2312" w:hAnsi="仿宋_GB2312" w:eastAsia="仿宋_GB2312" w:cs="仿宋_GB2312"/>
          <w:color w:val="auto"/>
          <w:sz w:val="32"/>
          <w:szCs w:val="32"/>
          <w:highlight w:val="none"/>
        </w:rPr>
        <w:t>民政部门认定其他</w:t>
      </w:r>
      <w:r>
        <w:rPr>
          <w:rFonts w:hint="eastAsia" w:ascii="仿宋_GB2312" w:hAnsi="仿宋_GB2312" w:eastAsia="仿宋_GB2312" w:cs="仿宋_GB2312"/>
          <w:color w:val="auto"/>
          <w:sz w:val="32"/>
          <w:szCs w:val="32"/>
          <w:highlight w:val="none"/>
          <w:lang w:eastAsia="zh-CN"/>
        </w:rPr>
        <w:t>刚性</w:t>
      </w:r>
      <w:r>
        <w:rPr>
          <w:rFonts w:hint="eastAsia" w:ascii="仿宋_GB2312" w:hAnsi="仿宋_GB2312" w:eastAsia="仿宋_GB2312" w:cs="仿宋_GB2312"/>
          <w:color w:val="auto"/>
          <w:sz w:val="32"/>
          <w:szCs w:val="32"/>
          <w:highlight w:val="none"/>
        </w:rPr>
        <w:t>支出扣减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据实扣减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原则上依据有效凭证认定。</w:t>
      </w:r>
    </w:p>
    <w:p w14:paraId="2B4A70A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具有上述两种及以上身份或情形的，可重复进行扣减。</w:t>
      </w:r>
    </w:p>
    <w:p w14:paraId="2A865819">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十条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重度残疾人、重病患者、慢特疾病按以下要求进行认定。</w:t>
      </w:r>
    </w:p>
    <w:p w14:paraId="06443E26">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（一）本文中重度残疾人是指持有中华人民共和国残疾人证的一级、二级重度残疾人和三级智力、三级精神残疾人。</w:t>
      </w:r>
    </w:p>
    <w:p w14:paraId="30F0A21A">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重病患者病种是指各种恶性肿瘤、癌症、终末期肾病（尿毒症）、脑出血、脑梗死、慢性粒细胞白血病、血友病、艾滋病机会性感染、再生障碍性贫血、儿童急性白血病、儿童先天性心脏病、侏儒症、克罗恩病、重度精神病（精神分裂症、偏执型精神障碍、狂躁抑郁症）重度抑郁症、重度系统性红斑狼疮、重要器官衰竭缺失、重度肺心病；重要器官移植、各种大型手术治疗期或恢复期等视同重病；心肌梗塞、脑梗死后遗症、意外事故或其它原因导致偏瘫全瘫人员视同重病；县级民政部门认为应纳入重大疾病范围的其他疾病；</w:t>
      </w:r>
      <w:r>
        <w:rPr>
          <w:rFonts w:hint="eastAsia" w:ascii="仿宋_GB2312" w:hAnsi="仿宋_GB2312" w:eastAsia="仿宋_GB2312" w:cs="仿宋_GB2312"/>
          <w:color w:val="auto"/>
          <w:sz w:val="32"/>
          <w:szCs w:val="32"/>
          <w:highlight w:val="none"/>
          <w:lang w:val="en-US" w:eastAsia="zh-CN"/>
        </w:rPr>
        <w:t>1年内重大疾病认定</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color w:val="auto"/>
          <w:sz w:val="32"/>
          <w:szCs w:val="32"/>
          <w:highlight w:val="none"/>
          <w:lang w:val="en-US" w:eastAsia="zh-CN"/>
        </w:rPr>
        <w:t>县级及以上</w:t>
      </w:r>
      <w:r>
        <w:rPr>
          <w:rFonts w:hint="eastAsia" w:ascii="仿宋_GB2312" w:hAnsi="仿宋_GB2312" w:eastAsia="仿宋_GB2312" w:cs="仿宋_GB2312"/>
          <w:color w:val="auto"/>
          <w:sz w:val="32"/>
          <w:szCs w:val="32"/>
          <w:highlight w:val="none"/>
          <w:lang w:eastAsia="zh-CN"/>
        </w:rPr>
        <w:t>医院出具的</w:t>
      </w:r>
      <w:r>
        <w:rPr>
          <w:rFonts w:hint="eastAsia" w:ascii="仿宋_GB2312" w:hAnsi="仿宋_GB2312" w:eastAsia="仿宋_GB2312" w:cs="仿宋_GB2312"/>
          <w:color w:val="auto"/>
          <w:sz w:val="32"/>
          <w:szCs w:val="32"/>
          <w:highlight w:val="none"/>
        </w:rPr>
        <w:t>疾病诊断证</w:t>
      </w:r>
      <w:r>
        <w:rPr>
          <w:rFonts w:hint="eastAsia" w:ascii="仿宋_GB2312" w:hAnsi="仿宋_GB2312" w:eastAsia="仿宋_GB2312" w:cs="仿宋_GB2312"/>
          <w:color w:val="auto"/>
          <w:sz w:val="32"/>
          <w:szCs w:val="32"/>
          <w:highlight w:val="none"/>
          <w:lang w:eastAsia="zh-CN"/>
        </w:rPr>
        <w:t>明为准，超过</w:t>
      </w:r>
      <w:r>
        <w:rPr>
          <w:rFonts w:hint="eastAsia" w:ascii="仿宋_GB2312" w:hAnsi="仿宋_GB2312" w:eastAsia="仿宋_GB2312" w:cs="仿宋_GB2312"/>
          <w:color w:val="auto"/>
          <w:sz w:val="32"/>
          <w:szCs w:val="32"/>
          <w:highlight w:val="none"/>
          <w:lang w:val="en-US" w:eastAsia="zh-CN"/>
        </w:rPr>
        <w:t>1年无</w:t>
      </w:r>
      <w:r>
        <w:rPr>
          <w:rFonts w:hint="eastAsia" w:ascii="仿宋_GB2312" w:hAnsi="仿宋_GB2312" w:eastAsia="仿宋_GB2312" w:cs="仿宋_GB2312"/>
          <w:color w:val="auto"/>
          <w:sz w:val="32"/>
          <w:szCs w:val="32"/>
          <w:highlight w:val="none"/>
        </w:rPr>
        <w:t>疾病诊断证</w:t>
      </w:r>
      <w:r>
        <w:rPr>
          <w:rFonts w:hint="eastAsia" w:ascii="仿宋_GB2312" w:hAnsi="仿宋_GB2312" w:eastAsia="仿宋_GB2312" w:cs="仿宋_GB2312"/>
          <w:color w:val="auto"/>
          <w:sz w:val="32"/>
          <w:szCs w:val="32"/>
          <w:highlight w:val="none"/>
          <w:lang w:eastAsia="zh-CN"/>
        </w:rPr>
        <w:t>明</w:t>
      </w:r>
      <w:r>
        <w:rPr>
          <w:rFonts w:hint="eastAsia" w:ascii="仿宋_GB2312" w:hAnsi="仿宋_GB2312" w:eastAsia="仿宋_GB2312" w:cs="仿宋_GB2312"/>
          <w:color w:val="auto"/>
          <w:sz w:val="32"/>
          <w:szCs w:val="32"/>
          <w:highlight w:val="none"/>
          <w:lang w:val="en-US" w:eastAsia="zh-CN"/>
        </w:rPr>
        <w:t>的按慢特性疾病进行认定。</w:t>
      </w:r>
    </w:p>
    <w:p w14:paraId="4BAC0C63">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（三）慢特疾病病种是指蛛网膜下腔出血、肺气肿、肺结核、儿童脑性瘫痪（</w:t>
      </w:r>
      <w:r>
        <w:rPr>
          <w:rFonts w:hint="eastAsia" w:ascii="仿宋_GB2312" w:hAnsi="仿宋_GB2312" w:eastAsia="仿宋_GB2312" w:cs="仿宋_GB2312"/>
          <w:color w:val="auto"/>
          <w:sz w:val="32"/>
          <w:szCs w:val="32"/>
          <w:highlight w:val="none"/>
          <w:lang w:val="en-US" w:eastAsia="zh-CN"/>
        </w:rPr>
        <w:t>0-7岁</w:t>
      </w:r>
      <w:r>
        <w:rPr>
          <w:rFonts w:hint="eastAsia" w:ascii="仿宋_GB2312" w:hAnsi="仿宋_GB2312" w:eastAsia="仿宋_GB2312" w:cs="仿宋_GB2312"/>
          <w:color w:val="auto"/>
          <w:sz w:val="32"/>
          <w:szCs w:val="32"/>
          <w:highlight w:val="none"/>
          <w:lang w:eastAsia="zh-CN"/>
        </w:rPr>
        <w:t>）、小胖威利症、苯丙酮尿症（</w:t>
      </w:r>
      <w:r>
        <w:rPr>
          <w:rFonts w:hint="eastAsia" w:ascii="仿宋_GB2312" w:hAnsi="仿宋_GB2312" w:eastAsia="仿宋_GB2312" w:cs="仿宋_GB2312"/>
          <w:color w:val="auto"/>
          <w:sz w:val="32"/>
          <w:szCs w:val="32"/>
          <w:highlight w:val="none"/>
          <w:lang w:val="en-US" w:eastAsia="zh-CN"/>
        </w:rPr>
        <w:t>PKV限0-14岁</w:t>
      </w:r>
      <w:r>
        <w:rPr>
          <w:rFonts w:hint="eastAsia" w:ascii="仿宋_GB2312" w:hAnsi="仿宋_GB2312" w:eastAsia="仿宋_GB2312" w:cs="仿宋_GB2312"/>
          <w:color w:val="auto"/>
          <w:sz w:val="32"/>
          <w:szCs w:val="32"/>
          <w:highlight w:val="none"/>
          <w:lang w:eastAsia="zh-CN"/>
        </w:rPr>
        <w:t>）、前列腺增生症、强直性脊柱炎、晚期血吸虫病、慢性阻塞性肺疾病、肺动脉高压、中重度银屑病、阿尔茨海默病、垂体瘤、视神经脊髓炎谱系疾病、系统性硬化症、多发性骨髓瘤、肝豆状核变性、多发性硬化症、原发免疫性血小板减少症、慢性乙型肝炎、哮喘、风湿性心脏病、尘肺病、慢性肺源性心脏病、慢性心力衰竭、原发性心肌病、慢性房颤、冠心病、高血压病（2级以上）、慢性肝炎、肝硬化、慢性肾炎、肾病综合症、慢性肾功能衰竭、甲亢、糖尿病（合并症）、紫癜、系统性红斑狼疮、系统性硬皮病、股骨头坏死、类风湿性关节炎（严重）、重症肌无力、癫痫、帕金森病、耐多药性结核病、处于缓解期或巩固期精神分裂症、心脑血管支架或置换术后、意外摔伤恢复期视同慢特病；县级民政部门认为应纳入慢特病范围的其他疾病；</w:t>
      </w:r>
      <w:r>
        <w:rPr>
          <w:rFonts w:hint="eastAsia" w:ascii="仿宋_GB2312" w:hAnsi="仿宋_GB2312" w:eastAsia="仿宋_GB2312" w:cs="仿宋_GB2312"/>
          <w:color w:val="auto"/>
          <w:sz w:val="32"/>
          <w:szCs w:val="32"/>
          <w:highlight w:val="none"/>
          <w:lang w:val="en-US" w:eastAsia="zh-CN"/>
        </w:rPr>
        <w:t>3年内慢特性疾病</w:t>
      </w:r>
      <w:r>
        <w:rPr>
          <w:rFonts w:hint="eastAsia" w:ascii="仿宋_GB2312" w:hAnsi="仿宋_GB2312" w:eastAsia="仿宋_GB2312" w:cs="仿宋_GB2312"/>
          <w:color w:val="auto"/>
          <w:sz w:val="32"/>
          <w:szCs w:val="32"/>
          <w:highlight w:val="none"/>
          <w:lang w:eastAsia="zh-CN"/>
        </w:rPr>
        <w:t>认定以</w:t>
      </w:r>
      <w:r>
        <w:rPr>
          <w:rFonts w:hint="eastAsia" w:ascii="仿宋_GB2312" w:hAnsi="仿宋_GB2312" w:eastAsia="仿宋_GB2312" w:cs="仿宋_GB2312"/>
          <w:color w:val="auto"/>
          <w:sz w:val="32"/>
          <w:szCs w:val="32"/>
          <w:highlight w:val="none"/>
          <w:lang w:val="en-US" w:eastAsia="zh-CN"/>
        </w:rPr>
        <w:t>县级及以上</w:t>
      </w:r>
      <w:r>
        <w:rPr>
          <w:rFonts w:hint="eastAsia" w:ascii="仿宋_GB2312" w:hAnsi="仿宋_GB2312" w:eastAsia="仿宋_GB2312" w:cs="仿宋_GB2312"/>
          <w:color w:val="auto"/>
          <w:sz w:val="32"/>
          <w:szCs w:val="32"/>
          <w:highlight w:val="none"/>
          <w:lang w:eastAsia="zh-CN"/>
        </w:rPr>
        <w:t>医院出具的</w:t>
      </w:r>
      <w:r>
        <w:rPr>
          <w:rFonts w:hint="eastAsia" w:ascii="仿宋_GB2312" w:hAnsi="仿宋_GB2312" w:eastAsia="仿宋_GB2312" w:cs="仿宋_GB2312"/>
          <w:color w:val="auto"/>
          <w:sz w:val="32"/>
          <w:szCs w:val="32"/>
          <w:highlight w:val="none"/>
        </w:rPr>
        <w:t>疾病诊断证</w:t>
      </w:r>
      <w:r>
        <w:rPr>
          <w:rFonts w:hint="eastAsia" w:ascii="仿宋_GB2312" w:hAnsi="仿宋_GB2312" w:eastAsia="仿宋_GB2312" w:cs="仿宋_GB2312"/>
          <w:color w:val="auto"/>
          <w:sz w:val="32"/>
          <w:szCs w:val="32"/>
          <w:highlight w:val="none"/>
          <w:lang w:eastAsia="zh-CN"/>
        </w:rPr>
        <w:t>明为准，超过</w:t>
      </w:r>
      <w:r>
        <w:rPr>
          <w:rFonts w:hint="eastAsia" w:ascii="仿宋_GB2312" w:hAnsi="仿宋_GB2312" w:eastAsia="仿宋_GB2312" w:cs="仿宋_GB2312"/>
          <w:color w:val="auto"/>
          <w:sz w:val="32"/>
          <w:szCs w:val="32"/>
          <w:highlight w:val="none"/>
          <w:lang w:val="en-US" w:eastAsia="zh-CN"/>
        </w:rPr>
        <w:t>3年无</w:t>
      </w:r>
      <w:r>
        <w:rPr>
          <w:rFonts w:hint="eastAsia" w:ascii="仿宋_GB2312" w:hAnsi="仿宋_GB2312" w:eastAsia="仿宋_GB2312" w:cs="仿宋_GB2312"/>
          <w:color w:val="auto"/>
          <w:sz w:val="32"/>
          <w:szCs w:val="32"/>
          <w:highlight w:val="none"/>
        </w:rPr>
        <w:t>疾病诊断证</w:t>
      </w:r>
      <w:r>
        <w:rPr>
          <w:rFonts w:hint="eastAsia" w:ascii="仿宋_GB2312" w:hAnsi="仿宋_GB2312" w:eastAsia="仿宋_GB2312" w:cs="仿宋_GB2312"/>
          <w:color w:val="auto"/>
          <w:sz w:val="32"/>
          <w:szCs w:val="32"/>
          <w:highlight w:val="none"/>
          <w:lang w:eastAsia="zh-CN"/>
        </w:rPr>
        <w:t>明</w:t>
      </w:r>
      <w:r>
        <w:rPr>
          <w:rFonts w:hint="eastAsia" w:ascii="仿宋_GB2312" w:hAnsi="仿宋_GB2312" w:eastAsia="仿宋_GB2312" w:cs="仿宋_GB2312"/>
          <w:color w:val="auto"/>
          <w:sz w:val="32"/>
          <w:szCs w:val="32"/>
          <w:highlight w:val="none"/>
          <w:lang w:val="en-US" w:eastAsia="zh-CN"/>
        </w:rPr>
        <w:t>的按正常劳动力进行认定</w:t>
      </w:r>
      <w:r>
        <w:rPr>
          <w:rFonts w:hint="eastAsia" w:ascii="仿宋_GB2312" w:hAnsi="仿宋_GB2312" w:eastAsia="仿宋_GB2312" w:cs="仿宋_GB2312"/>
          <w:color w:val="auto"/>
          <w:sz w:val="32"/>
          <w:szCs w:val="32"/>
          <w:highlight w:val="none"/>
          <w:lang w:eastAsia="zh-CN"/>
        </w:rPr>
        <w:t>。</w:t>
      </w:r>
    </w:p>
    <w:p w14:paraId="429E5F51">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（四）不在重大疾病和慢特疾病范围内的按正常劳动力进行认定。</w:t>
      </w:r>
    </w:p>
    <w:p w14:paraId="07EDCEBD">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为解决社会救助领域急难个案，建立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一事一议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集体研讨机制</w:t>
      </w:r>
      <w:r>
        <w:rPr>
          <w:rFonts w:hint="eastAsia" w:ascii="仿宋_GB2312" w:hAnsi="仿宋_GB2312" w:eastAsia="仿宋_GB2312" w:cs="仿宋_GB2312"/>
          <w:color w:val="auto"/>
          <w:sz w:val="32"/>
          <w:szCs w:val="32"/>
          <w:highlight w:val="none"/>
          <w:lang w:eastAsia="zh-CN"/>
        </w:rPr>
        <w:t>。家庭经济状况核算评估出现难以把握情况或者情况特殊的对象时，</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场）党委、政府组织民政干部、驻村干部、村（社区）干部等人组成</w:t>
      </w:r>
      <w:r>
        <w:rPr>
          <w:rFonts w:hint="eastAsia" w:ascii="仿宋_GB2312" w:hAnsi="仿宋_GB2312" w:eastAsia="仿宋_GB2312" w:cs="仿宋_GB2312"/>
          <w:color w:val="auto"/>
          <w:sz w:val="32"/>
          <w:szCs w:val="32"/>
          <w:highlight w:val="none"/>
        </w:rPr>
        <w:t>社会救助家庭经济状况核算评估</w:t>
      </w:r>
      <w:r>
        <w:rPr>
          <w:rFonts w:hint="eastAsia" w:ascii="仿宋_GB2312" w:hAnsi="仿宋_GB2312" w:eastAsia="仿宋_GB2312" w:cs="仿宋_GB2312"/>
          <w:color w:val="auto"/>
          <w:sz w:val="32"/>
          <w:szCs w:val="32"/>
          <w:highlight w:val="none"/>
          <w:lang w:eastAsia="zh-CN"/>
        </w:rPr>
        <w:t>专班</w:t>
      </w:r>
      <w:r>
        <w:rPr>
          <w:rFonts w:hint="eastAsia" w:ascii="仿宋_GB2312" w:hAnsi="仿宋_GB2312" w:eastAsia="仿宋_GB2312" w:cs="仿宋_GB2312"/>
          <w:color w:val="auto"/>
          <w:sz w:val="32"/>
          <w:szCs w:val="32"/>
          <w:highlight w:val="none"/>
        </w:rPr>
        <w:t>，结合</w:t>
      </w:r>
      <w:r>
        <w:rPr>
          <w:rFonts w:hint="eastAsia" w:ascii="仿宋_GB2312" w:hAnsi="仿宋_GB2312" w:eastAsia="仿宋_GB2312" w:cs="仿宋_GB2312"/>
          <w:color w:val="auto"/>
          <w:sz w:val="32"/>
          <w:szCs w:val="32"/>
          <w:highlight w:val="none"/>
          <w:lang w:eastAsia="zh-CN"/>
        </w:rPr>
        <w:t>困难群众家庭</w:t>
      </w:r>
      <w:r>
        <w:rPr>
          <w:rFonts w:hint="eastAsia" w:ascii="仿宋_GB2312" w:hAnsi="仿宋_GB2312" w:eastAsia="仿宋_GB2312" w:cs="仿宋_GB2312"/>
          <w:color w:val="auto"/>
          <w:sz w:val="32"/>
          <w:szCs w:val="32"/>
          <w:highlight w:val="none"/>
        </w:rPr>
        <w:t>实际情况，采取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一事一议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方式</w:t>
      </w:r>
      <w:r>
        <w:rPr>
          <w:rFonts w:hint="eastAsia" w:ascii="仿宋_GB2312" w:hAnsi="仿宋_GB2312" w:eastAsia="仿宋_GB2312" w:cs="仿宋_GB2312"/>
          <w:color w:val="auto"/>
          <w:sz w:val="32"/>
          <w:szCs w:val="32"/>
          <w:highlight w:val="none"/>
          <w:lang w:eastAsia="zh-CN"/>
        </w:rPr>
        <w:t>经乡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场）综合</w:t>
      </w:r>
      <w:r>
        <w:rPr>
          <w:rFonts w:hint="eastAsia" w:ascii="仿宋_GB2312" w:hAnsi="仿宋_GB2312" w:eastAsia="仿宋_GB2312" w:cs="仿宋_GB2312"/>
          <w:color w:val="auto"/>
          <w:sz w:val="32"/>
          <w:szCs w:val="32"/>
          <w:highlight w:val="none"/>
        </w:rPr>
        <w:t>研究</w:t>
      </w:r>
      <w:r>
        <w:rPr>
          <w:rFonts w:hint="eastAsia" w:ascii="仿宋_GB2312" w:hAnsi="仿宋_GB2312" w:eastAsia="仿宋_GB2312" w:cs="仿宋_GB2312"/>
          <w:color w:val="auto"/>
          <w:sz w:val="32"/>
          <w:szCs w:val="32"/>
          <w:highlight w:val="none"/>
          <w:lang w:eastAsia="zh-CN"/>
        </w:rPr>
        <w:t>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将《炎陵县社会救助家庭经济状况核算表》、《</w:t>
      </w:r>
      <w:r>
        <w:rPr>
          <w:rFonts w:hint="eastAsia" w:ascii="仿宋_GB2312" w:hAnsi="仿宋_GB2312" w:eastAsia="仿宋_GB2312" w:cs="仿宋_GB2312"/>
          <w:color w:val="auto"/>
          <w:sz w:val="32"/>
          <w:szCs w:val="32"/>
          <w:highlight w:val="none"/>
          <w:lang w:val="en-US" w:eastAsia="zh-CN"/>
        </w:rPr>
        <w:t>炎陵县</w:t>
      </w:r>
      <w:r>
        <w:rPr>
          <w:rFonts w:hint="eastAsia" w:ascii="仿宋_GB2312" w:hAnsi="仿宋_GB2312" w:eastAsia="仿宋_GB2312" w:cs="仿宋_GB2312"/>
          <w:color w:val="auto"/>
          <w:sz w:val="32"/>
          <w:szCs w:val="32"/>
          <w:highlight w:val="none"/>
          <w:lang w:eastAsia="zh-CN"/>
        </w:rPr>
        <w:t>社会救助家庭</w:t>
      </w:r>
      <w:r>
        <w:rPr>
          <w:rFonts w:hint="eastAsia" w:ascii="仿宋_GB2312" w:hAnsi="仿宋_GB2312" w:eastAsia="仿宋_GB2312" w:cs="仿宋_GB2312"/>
          <w:color w:val="auto"/>
          <w:sz w:val="32"/>
          <w:szCs w:val="32"/>
          <w:highlight w:val="none"/>
          <w:lang w:val="en-US" w:eastAsia="zh-CN"/>
        </w:rPr>
        <w:t>一事一议</w:t>
      </w:r>
      <w:r>
        <w:rPr>
          <w:rFonts w:hint="eastAsia" w:ascii="仿宋_GB2312" w:hAnsi="仿宋_GB2312" w:eastAsia="仿宋_GB2312" w:cs="仿宋_GB2312"/>
          <w:color w:val="auto"/>
          <w:sz w:val="32"/>
          <w:szCs w:val="32"/>
          <w:highlight w:val="none"/>
          <w:lang w:eastAsia="zh-CN"/>
        </w:rPr>
        <w:t>审批表》、《入户调查表》《</w:t>
      </w:r>
      <w:r>
        <w:rPr>
          <w:rFonts w:hint="eastAsia" w:ascii="仿宋_GB2312" w:hAnsi="仿宋_GB2312" w:eastAsia="仿宋_GB2312" w:cs="仿宋_GB2312"/>
          <w:color w:val="auto"/>
          <w:sz w:val="32"/>
          <w:szCs w:val="32"/>
          <w:highlight w:val="none"/>
          <w:lang w:val="en-US" w:eastAsia="zh-CN"/>
        </w:rPr>
        <w:t>乡镇（场）一事一议会议记录</w:t>
      </w:r>
      <w:r>
        <w:rPr>
          <w:rFonts w:hint="eastAsia" w:ascii="仿宋_GB2312" w:hAnsi="仿宋_GB2312" w:eastAsia="仿宋_GB2312" w:cs="仿宋_GB2312"/>
          <w:color w:val="auto"/>
          <w:sz w:val="32"/>
          <w:szCs w:val="32"/>
          <w:highlight w:val="none"/>
          <w:lang w:eastAsia="zh-CN"/>
        </w:rPr>
        <w:t>》等资料</w:t>
      </w:r>
      <w:r>
        <w:rPr>
          <w:rFonts w:hint="eastAsia" w:ascii="仿宋_GB2312" w:hAnsi="仿宋_GB2312" w:eastAsia="仿宋_GB2312" w:cs="仿宋_GB2312"/>
          <w:color w:val="auto"/>
          <w:sz w:val="32"/>
          <w:szCs w:val="32"/>
          <w:highlight w:val="none"/>
        </w:rPr>
        <w:t>上报</w:t>
      </w:r>
      <w:r>
        <w:rPr>
          <w:rFonts w:hint="eastAsia" w:ascii="仿宋_GB2312" w:hAnsi="仿宋_GB2312" w:eastAsia="仿宋_GB2312" w:cs="仿宋_GB2312"/>
          <w:color w:val="auto"/>
          <w:sz w:val="32"/>
          <w:szCs w:val="32"/>
          <w:highlight w:val="none"/>
          <w:lang w:eastAsia="zh-CN"/>
        </w:rPr>
        <w:t>县级民政部门</w:t>
      </w:r>
      <w:r>
        <w:rPr>
          <w:rFonts w:hint="eastAsia" w:ascii="仿宋_GB2312" w:hAnsi="仿宋_GB2312" w:eastAsia="仿宋_GB2312" w:cs="仿宋_GB2312"/>
          <w:color w:val="auto"/>
          <w:sz w:val="32"/>
          <w:szCs w:val="32"/>
          <w:highlight w:val="none"/>
        </w:rPr>
        <w:t>审批</w:t>
      </w:r>
      <w:r>
        <w:rPr>
          <w:rFonts w:hint="eastAsia" w:ascii="仿宋_GB2312" w:hAnsi="仿宋_GB2312" w:eastAsia="仿宋_GB2312" w:cs="仿宋_GB2312"/>
          <w:color w:val="auto"/>
          <w:sz w:val="32"/>
          <w:szCs w:val="32"/>
          <w:highlight w:val="none"/>
          <w:lang w:eastAsia="zh-CN"/>
        </w:rPr>
        <w:t>备案</w:t>
      </w:r>
      <w:r>
        <w:rPr>
          <w:rFonts w:hint="eastAsia" w:ascii="仿宋_GB2312" w:hAnsi="仿宋_GB2312" w:eastAsia="仿宋_GB2312" w:cs="仿宋_GB2312"/>
          <w:color w:val="auto"/>
          <w:sz w:val="32"/>
          <w:szCs w:val="32"/>
          <w:highlight w:val="none"/>
        </w:rPr>
        <w:t>。</w:t>
      </w:r>
    </w:p>
    <w:p w14:paraId="516EB83C">
      <w:pPr>
        <w:keepNext w:val="0"/>
        <w:keepLines w:val="0"/>
        <w:pageBreakBefore w:val="0"/>
        <w:kinsoku/>
        <w:wordWrap/>
        <w:overflowPunct/>
        <w:topLinePunct w:val="0"/>
        <w:autoSpaceDE/>
        <w:bidi w:val="0"/>
        <w:adjustRightInd/>
        <w:snapToGrid/>
        <w:spacing w:line="560" w:lineRule="exact"/>
        <w:ind w:firstLine="640" w:firstLineChars="200"/>
        <w:jc w:val="center"/>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Cs/>
          <w:color w:val="auto"/>
          <w:sz w:val="32"/>
          <w:szCs w:val="32"/>
          <w:highlight w:val="none"/>
          <w:lang w:eastAsia="zh-CN"/>
        </w:rPr>
        <w:t>第</w:t>
      </w:r>
      <w:r>
        <w:rPr>
          <w:rFonts w:hint="eastAsia" w:ascii="黑体" w:hAnsi="黑体" w:eastAsia="黑体" w:cs="黑体"/>
          <w:bCs/>
          <w:color w:val="auto"/>
          <w:sz w:val="32"/>
          <w:szCs w:val="32"/>
          <w:highlight w:val="none"/>
          <w:lang w:val="en-US" w:eastAsia="zh-CN"/>
        </w:rPr>
        <w:t>七</w:t>
      </w:r>
      <w:bookmarkStart w:id="0" w:name="_GoBack"/>
      <w:bookmarkEnd w:id="0"/>
      <w:r>
        <w:rPr>
          <w:rFonts w:hint="eastAsia" w:ascii="黑体" w:hAnsi="黑体" w:eastAsia="黑体" w:cs="黑体"/>
          <w:bCs/>
          <w:color w:val="auto"/>
          <w:sz w:val="32"/>
          <w:szCs w:val="32"/>
          <w:highlight w:val="none"/>
          <w:lang w:eastAsia="zh-CN"/>
        </w:rPr>
        <w:t>章</w:t>
      </w:r>
      <w:r>
        <w:rPr>
          <w:rFonts w:hint="eastAsia" w:ascii="黑体" w:hAnsi="黑体" w:eastAsia="黑体" w:cs="黑体"/>
          <w:bCs/>
          <w:color w:val="auto"/>
          <w:sz w:val="32"/>
          <w:szCs w:val="32"/>
          <w:highlight w:val="none"/>
          <w:lang w:val="en-US" w:eastAsia="zh-CN"/>
        </w:rPr>
        <w:t xml:space="preserve"> 附则</w:t>
      </w:r>
    </w:p>
    <w:p w14:paraId="50C368B2">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 xml:space="preserve"> 本细则由</w:t>
      </w:r>
      <w:r>
        <w:rPr>
          <w:rFonts w:hint="eastAsia" w:ascii="仿宋_GB2312" w:hAnsi="仿宋_GB2312" w:eastAsia="仿宋_GB2312" w:cs="仿宋_GB2312"/>
          <w:color w:val="auto"/>
          <w:sz w:val="32"/>
          <w:szCs w:val="32"/>
          <w:highlight w:val="none"/>
          <w:lang w:eastAsia="zh-CN"/>
        </w:rPr>
        <w:t>炎陵县</w:t>
      </w:r>
      <w:r>
        <w:rPr>
          <w:rFonts w:hint="eastAsia" w:ascii="仿宋_GB2312" w:hAnsi="仿宋_GB2312" w:eastAsia="仿宋_GB2312" w:cs="仿宋_GB2312"/>
          <w:color w:val="auto"/>
          <w:sz w:val="32"/>
          <w:szCs w:val="32"/>
          <w:highlight w:val="none"/>
        </w:rPr>
        <w:t>民政</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负责解释，自公布之日起执行，原有规定与本文件规定精神不一致的，以本文件为准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上级另有规定的除外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74B063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14:paraId="47F07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附件：1.炎陵县低收入家庭个人劳动能力系数评估标准表</w:t>
      </w:r>
    </w:p>
    <w:p w14:paraId="290E5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2.炎陵县低收入家庭支出扣减标准表</w:t>
      </w:r>
    </w:p>
    <w:p w14:paraId="2323817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3.生活自理能力评估细则</w:t>
      </w:r>
    </w:p>
    <w:p w14:paraId="6FB9FF9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4.生活自理能力评估表</w:t>
      </w:r>
    </w:p>
    <w:p w14:paraId="41822C1C">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5.炎陵县社会救助家庭一事一议审批表</w:t>
      </w:r>
    </w:p>
    <w:p w14:paraId="46C3099D">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6.乡镇（场）一事一议会议记录</w:t>
      </w:r>
    </w:p>
    <w:p w14:paraId="6EC4AF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p>
    <w:p w14:paraId="43109F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p>
    <w:p w14:paraId="0C2C1F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sectPr>
          <w:footerReference r:id="rId6" w:type="default"/>
          <w:pgSz w:w="11906" w:h="16838"/>
          <w:pgMar w:top="1871" w:right="1474" w:bottom="1871" w:left="1587" w:header="851" w:footer="992" w:gutter="0"/>
          <w:pgNumType w:fmt="decimal"/>
          <w:cols w:space="0" w:num="1"/>
          <w:rtlGutter w:val="0"/>
          <w:docGrid w:type="lines" w:linePitch="312" w:charSpace="0"/>
        </w:sectPr>
      </w:pPr>
    </w:p>
    <w:p w14:paraId="24B55B3F">
      <w:pPr>
        <w:widowControl/>
        <w:tabs>
          <w:tab w:val="left" w:pos="2073"/>
          <w:tab w:val="left" w:pos="2650"/>
          <w:tab w:val="left" w:pos="3366"/>
          <w:tab w:val="left" w:pos="3925"/>
          <w:tab w:val="left" w:pos="4441"/>
          <w:tab w:val="left" w:pos="4957"/>
          <w:tab w:val="left" w:pos="5473"/>
          <w:tab w:val="left" w:pos="6049"/>
          <w:tab w:val="left" w:pos="6625"/>
          <w:tab w:val="left" w:pos="7201"/>
          <w:tab w:val="left" w:pos="7777"/>
          <w:tab w:val="left" w:pos="8353"/>
          <w:tab w:val="left" w:pos="8929"/>
          <w:tab w:val="left" w:pos="9568"/>
          <w:tab w:val="left" w:pos="10188"/>
          <w:tab w:val="left" w:pos="10804"/>
          <w:tab w:val="left" w:pos="11420"/>
          <w:tab w:val="left" w:pos="11996"/>
          <w:tab w:val="left" w:pos="12572"/>
          <w:tab w:val="left" w:pos="13011"/>
          <w:tab w:val="left" w:pos="13450"/>
          <w:tab w:val="left" w:pos="13889"/>
          <w:tab w:val="left" w:pos="14328"/>
          <w:tab w:val="left" w:pos="14784"/>
        </w:tabs>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附件1</w:t>
      </w:r>
    </w:p>
    <w:p w14:paraId="0B8302F0">
      <w:pPr>
        <w:widowControl/>
        <w:jc w:val="center"/>
        <w:rPr>
          <w:rFonts w:ascii="方正小标宋简体" w:hAnsi="宋体" w:eastAsia="方正小标宋简体" w:cs="宋体"/>
          <w:color w:val="auto"/>
          <w:kern w:val="0"/>
          <w:sz w:val="40"/>
          <w:szCs w:val="40"/>
          <w:highlight w:val="none"/>
        </w:rPr>
      </w:pPr>
      <w:r>
        <w:rPr>
          <w:rFonts w:hint="eastAsia" w:ascii="方正小标宋简体" w:hAnsi="宋体" w:eastAsia="方正小标宋简体" w:cs="宋体"/>
          <w:color w:val="auto"/>
          <w:kern w:val="0"/>
          <w:sz w:val="44"/>
          <w:szCs w:val="44"/>
          <w:highlight w:val="none"/>
          <w:lang w:eastAsia="zh-CN"/>
        </w:rPr>
        <w:t>炎陵县低收入</w:t>
      </w:r>
      <w:r>
        <w:rPr>
          <w:rFonts w:hint="eastAsia" w:ascii="方正小标宋简体" w:hAnsi="宋体" w:eastAsia="方正小标宋简体" w:cs="宋体"/>
          <w:color w:val="auto"/>
          <w:kern w:val="0"/>
          <w:sz w:val="44"/>
          <w:szCs w:val="44"/>
          <w:highlight w:val="none"/>
        </w:rPr>
        <w:t>家庭个人劳动能力系数评估标准表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053"/>
        <w:gridCol w:w="742"/>
        <w:gridCol w:w="744"/>
        <w:gridCol w:w="742"/>
        <w:gridCol w:w="744"/>
        <w:gridCol w:w="742"/>
        <w:gridCol w:w="743"/>
        <w:gridCol w:w="741"/>
        <w:gridCol w:w="743"/>
        <w:gridCol w:w="741"/>
        <w:gridCol w:w="743"/>
        <w:gridCol w:w="741"/>
        <w:gridCol w:w="763"/>
        <w:gridCol w:w="741"/>
        <w:gridCol w:w="743"/>
        <w:gridCol w:w="741"/>
        <w:gridCol w:w="750"/>
      </w:tblGrid>
      <w:tr w14:paraId="087E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42" w:type="dxa"/>
            <w:vMerge w:val="restart"/>
            <w:vAlign w:val="center"/>
          </w:tcPr>
          <w:p w14:paraId="77F93760">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收入核算基准</w:t>
            </w:r>
          </w:p>
        </w:tc>
        <w:tc>
          <w:tcPr>
            <w:tcW w:w="12957" w:type="dxa"/>
            <w:gridSpan w:val="17"/>
            <w:vAlign w:val="center"/>
          </w:tcPr>
          <w:p w14:paraId="426A345F">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劳动力系数核算</w:t>
            </w:r>
          </w:p>
        </w:tc>
      </w:tr>
      <w:tr w14:paraId="3046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42" w:type="dxa"/>
            <w:vMerge w:val="continue"/>
            <w:vAlign w:val="center"/>
          </w:tcPr>
          <w:p w14:paraId="467F8E46">
            <w:pPr>
              <w:widowControl/>
              <w:spacing w:line="200" w:lineRule="exact"/>
              <w:jc w:val="left"/>
              <w:rPr>
                <w:rFonts w:ascii="黑体" w:hAnsi="黑体" w:eastAsia="黑体" w:cs="宋体"/>
                <w:color w:val="auto"/>
                <w:kern w:val="0"/>
                <w:sz w:val="18"/>
                <w:szCs w:val="18"/>
                <w:highlight w:val="none"/>
              </w:rPr>
            </w:pPr>
          </w:p>
        </w:tc>
        <w:tc>
          <w:tcPr>
            <w:tcW w:w="1053" w:type="dxa"/>
            <w:vMerge w:val="restart"/>
            <w:vAlign w:val="center"/>
          </w:tcPr>
          <w:p w14:paraId="510F910B">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年龄</w:t>
            </w:r>
          </w:p>
          <w:p w14:paraId="16EBB5FD">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（周岁）</w:t>
            </w:r>
          </w:p>
        </w:tc>
        <w:tc>
          <w:tcPr>
            <w:tcW w:w="8929" w:type="dxa"/>
            <w:gridSpan w:val="12"/>
            <w:noWrap/>
            <w:vAlign w:val="center"/>
          </w:tcPr>
          <w:p w14:paraId="1EA85756">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残疾等级</w:t>
            </w:r>
          </w:p>
        </w:tc>
        <w:tc>
          <w:tcPr>
            <w:tcW w:w="2975" w:type="dxa"/>
            <w:gridSpan w:val="4"/>
            <w:vAlign w:val="center"/>
          </w:tcPr>
          <w:p w14:paraId="3D1DD2F0">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疾病</w:t>
            </w:r>
          </w:p>
        </w:tc>
      </w:tr>
      <w:tr w14:paraId="13DF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42" w:type="dxa"/>
            <w:vMerge w:val="continue"/>
            <w:vAlign w:val="center"/>
          </w:tcPr>
          <w:p w14:paraId="4FA4A4E2">
            <w:pPr>
              <w:widowControl/>
              <w:spacing w:line="200" w:lineRule="exact"/>
              <w:jc w:val="left"/>
              <w:rPr>
                <w:rFonts w:ascii="黑体" w:hAnsi="黑体" w:eastAsia="黑体" w:cs="宋体"/>
                <w:color w:val="auto"/>
                <w:kern w:val="0"/>
                <w:sz w:val="18"/>
                <w:szCs w:val="18"/>
                <w:highlight w:val="none"/>
              </w:rPr>
            </w:pPr>
          </w:p>
        </w:tc>
        <w:tc>
          <w:tcPr>
            <w:tcW w:w="1053" w:type="dxa"/>
            <w:vMerge w:val="continue"/>
            <w:vAlign w:val="center"/>
          </w:tcPr>
          <w:p w14:paraId="592ECF9C">
            <w:pPr>
              <w:widowControl/>
              <w:spacing w:line="200" w:lineRule="exact"/>
              <w:jc w:val="left"/>
              <w:rPr>
                <w:rFonts w:ascii="黑体" w:hAnsi="黑体" w:eastAsia="黑体" w:cs="宋体"/>
                <w:color w:val="auto"/>
                <w:kern w:val="0"/>
                <w:sz w:val="18"/>
                <w:szCs w:val="18"/>
                <w:highlight w:val="none"/>
              </w:rPr>
            </w:pPr>
          </w:p>
        </w:tc>
        <w:tc>
          <w:tcPr>
            <w:tcW w:w="1486" w:type="dxa"/>
            <w:gridSpan w:val="2"/>
            <w:vAlign w:val="center"/>
          </w:tcPr>
          <w:p w14:paraId="3AED8318">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无</w:t>
            </w:r>
          </w:p>
        </w:tc>
        <w:tc>
          <w:tcPr>
            <w:tcW w:w="1486" w:type="dxa"/>
            <w:gridSpan w:val="2"/>
            <w:vAlign w:val="center"/>
          </w:tcPr>
          <w:p w14:paraId="291FC580">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语言、听力、视力3-4级</w:t>
            </w:r>
          </w:p>
        </w:tc>
        <w:tc>
          <w:tcPr>
            <w:tcW w:w="1485" w:type="dxa"/>
            <w:gridSpan w:val="2"/>
            <w:vAlign w:val="center"/>
          </w:tcPr>
          <w:p w14:paraId="4964009D">
            <w:pPr>
              <w:widowControl/>
              <w:spacing w:line="200" w:lineRule="exact"/>
              <w:jc w:val="left"/>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肢体4级，语言听力残疾1-2级</w:t>
            </w:r>
          </w:p>
        </w:tc>
        <w:tc>
          <w:tcPr>
            <w:tcW w:w="1484" w:type="dxa"/>
            <w:gridSpan w:val="2"/>
            <w:vAlign w:val="center"/>
          </w:tcPr>
          <w:p w14:paraId="560C4D41">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肢体3级</w:t>
            </w:r>
          </w:p>
        </w:tc>
        <w:tc>
          <w:tcPr>
            <w:tcW w:w="1484" w:type="dxa"/>
            <w:gridSpan w:val="2"/>
            <w:vAlign w:val="center"/>
          </w:tcPr>
          <w:p w14:paraId="14643F05">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智力、精神残疾4级；</w:t>
            </w:r>
          </w:p>
        </w:tc>
        <w:tc>
          <w:tcPr>
            <w:tcW w:w="1504" w:type="dxa"/>
            <w:gridSpan w:val="2"/>
            <w:vAlign w:val="center"/>
          </w:tcPr>
          <w:p w14:paraId="3B30DBBD">
            <w:pPr>
              <w:widowControl/>
              <w:spacing w:line="200" w:lineRule="exact"/>
              <w:jc w:val="center"/>
              <w:rPr>
                <w:rFonts w:hint="eastAsia" w:ascii="黑体" w:hAnsi="黑体" w:eastAsia="黑体" w:cs="宋体"/>
                <w:color w:val="auto"/>
                <w:kern w:val="0"/>
                <w:sz w:val="18"/>
                <w:szCs w:val="18"/>
                <w:highlight w:val="none"/>
                <w:lang w:eastAsia="zh-CN"/>
              </w:rPr>
            </w:pPr>
            <w:r>
              <w:rPr>
                <w:rFonts w:hint="eastAsia" w:ascii="黑体" w:hAnsi="黑体" w:eastAsia="黑体" w:cs="宋体"/>
                <w:color w:val="auto"/>
                <w:kern w:val="0"/>
                <w:sz w:val="18"/>
                <w:szCs w:val="18"/>
                <w:highlight w:val="none"/>
              </w:rPr>
              <w:t>肢体1-2级，智力、精神残疾1-3级；视力残疾1-2级</w:t>
            </w:r>
          </w:p>
        </w:tc>
        <w:tc>
          <w:tcPr>
            <w:tcW w:w="1484" w:type="dxa"/>
            <w:gridSpan w:val="2"/>
            <w:vAlign w:val="center"/>
          </w:tcPr>
          <w:p w14:paraId="0D879B54">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5年内患</w:t>
            </w:r>
          </w:p>
          <w:p w14:paraId="6482DA0E">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重大疾病</w:t>
            </w:r>
          </w:p>
        </w:tc>
        <w:tc>
          <w:tcPr>
            <w:tcW w:w="1491" w:type="dxa"/>
            <w:gridSpan w:val="2"/>
            <w:vAlign w:val="center"/>
          </w:tcPr>
          <w:p w14:paraId="21F620F9">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慢</w:t>
            </w:r>
            <w:r>
              <w:rPr>
                <w:rFonts w:hint="eastAsia" w:ascii="黑体" w:hAnsi="黑体" w:eastAsia="黑体" w:cs="宋体"/>
                <w:color w:val="auto"/>
                <w:kern w:val="0"/>
                <w:sz w:val="18"/>
                <w:szCs w:val="18"/>
                <w:highlight w:val="none"/>
                <w:lang w:eastAsia="zh-CN"/>
              </w:rPr>
              <w:t>特</w:t>
            </w:r>
            <w:r>
              <w:rPr>
                <w:rFonts w:hint="eastAsia" w:ascii="黑体" w:hAnsi="黑体" w:eastAsia="黑体" w:cs="宋体"/>
                <w:color w:val="auto"/>
                <w:kern w:val="0"/>
                <w:sz w:val="18"/>
                <w:szCs w:val="18"/>
                <w:highlight w:val="none"/>
              </w:rPr>
              <w:t>性疾病</w:t>
            </w:r>
          </w:p>
        </w:tc>
      </w:tr>
      <w:tr w14:paraId="3204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42" w:type="dxa"/>
            <w:vMerge w:val="continue"/>
            <w:vAlign w:val="center"/>
          </w:tcPr>
          <w:p w14:paraId="103105FB">
            <w:pPr>
              <w:widowControl/>
              <w:spacing w:line="200" w:lineRule="exact"/>
              <w:jc w:val="left"/>
              <w:rPr>
                <w:rFonts w:ascii="黑体" w:hAnsi="黑体" w:eastAsia="黑体" w:cs="宋体"/>
                <w:color w:val="auto"/>
                <w:kern w:val="0"/>
                <w:sz w:val="18"/>
                <w:szCs w:val="18"/>
                <w:highlight w:val="none"/>
              </w:rPr>
            </w:pPr>
          </w:p>
        </w:tc>
        <w:tc>
          <w:tcPr>
            <w:tcW w:w="1053" w:type="dxa"/>
            <w:vMerge w:val="continue"/>
            <w:vAlign w:val="center"/>
          </w:tcPr>
          <w:p w14:paraId="36B51E53">
            <w:pPr>
              <w:widowControl/>
              <w:spacing w:line="200" w:lineRule="exact"/>
              <w:jc w:val="left"/>
              <w:rPr>
                <w:rFonts w:ascii="黑体" w:hAnsi="黑体" w:eastAsia="黑体" w:cs="宋体"/>
                <w:color w:val="auto"/>
                <w:kern w:val="0"/>
                <w:sz w:val="18"/>
                <w:szCs w:val="18"/>
                <w:highlight w:val="none"/>
              </w:rPr>
            </w:pPr>
          </w:p>
        </w:tc>
        <w:tc>
          <w:tcPr>
            <w:tcW w:w="742" w:type="dxa"/>
            <w:vAlign w:val="center"/>
          </w:tcPr>
          <w:p w14:paraId="294E8270">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男</w:t>
            </w:r>
          </w:p>
        </w:tc>
        <w:tc>
          <w:tcPr>
            <w:tcW w:w="744" w:type="dxa"/>
            <w:vAlign w:val="center"/>
          </w:tcPr>
          <w:p w14:paraId="5770F394">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女</w:t>
            </w:r>
          </w:p>
        </w:tc>
        <w:tc>
          <w:tcPr>
            <w:tcW w:w="742" w:type="dxa"/>
            <w:vAlign w:val="center"/>
          </w:tcPr>
          <w:p w14:paraId="177B5D1E">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男</w:t>
            </w:r>
          </w:p>
        </w:tc>
        <w:tc>
          <w:tcPr>
            <w:tcW w:w="744" w:type="dxa"/>
            <w:vAlign w:val="center"/>
          </w:tcPr>
          <w:p w14:paraId="15493D2A">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女</w:t>
            </w:r>
          </w:p>
        </w:tc>
        <w:tc>
          <w:tcPr>
            <w:tcW w:w="742" w:type="dxa"/>
            <w:vAlign w:val="center"/>
          </w:tcPr>
          <w:p w14:paraId="4FF7183A">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男</w:t>
            </w:r>
          </w:p>
        </w:tc>
        <w:tc>
          <w:tcPr>
            <w:tcW w:w="743" w:type="dxa"/>
            <w:vAlign w:val="center"/>
          </w:tcPr>
          <w:p w14:paraId="7A1AD54C">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女</w:t>
            </w:r>
          </w:p>
        </w:tc>
        <w:tc>
          <w:tcPr>
            <w:tcW w:w="741" w:type="dxa"/>
            <w:vAlign w:val="center"/>
          </w:tcPr>
          <w:p w14:paraId="5FC5724A">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男</w:t>
            </w:r>
          </w:p>
        </w:tc>
        <w:tc>
          <w:tcPr>
            <w:tcW w:w="743" w:type="dxa"/>
            <w:vAlign w:val="center"/>
          </w:tcPr>
          <w:p w14:paraId="5298BA57">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女</w:t>
            </w:r>
          </w:p>
        </w:tc>
        <w:tc>
          <w:tcPr>
            <w:tcW w:w="741" w:type="dxa"/>
            <w:vAlign w:val="center"/>
          </w:tcPr>
          <w:p w14:paraId="4938E76E">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男</w:t>
            </w:r>
          </w:p>
        </w:tc>
        <w:tc>
          <w:tcPr>
            <w:tcW w:w="743" w:type="dxa"/>
            <w:vAlign w:val="center"/>
          </w:tcPr>
          <w:p w14:paraId="123BA7C6">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女</w:t>
            </w:r>
          </w:p>
        </w:tc>
        <w:tc>
          <w:tcPr>
            <w:tcW w:w="741" w:type="dxa"/>
            <w:vAlign w:val="center"/>
          </w:tcPr>
          <w:p w14:paraId="53039E21">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男</w:t>
            </w:r>
          </w:p>
        </w:tc>
        <w:tc>
          <w:tcPr>
            <w:tcW w:w="763" w:type="dxa"/>
            <w:vAlign w:val="center"/>
          </w:tcPr>
          <w:p w14:paraId="15C14162">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女</w:t>
            </w:r>
          </w:p>
        </w:tc>
        <w:tc>
          <w:tcPr>
            <w:tcW w:w="741" w:type="dxa"/>
            <w:vAlign w:val="center"/>
          </w:tcPr>
          <w:p w14:paraId="6112E5EE">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男</w:t>
            </w:r>
          </w:p>
        </w:tc>
        <w:tc>
          <w:tcPr>
            <w:tcW w:w="743" w:type="dxa"/>
            <w:vAlign w:val="center"/>
          </w:tcPr>
          <w:p w14:paraId="60CAD438">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女</w:t>
            </w:r>
          </w:p>
        </w:tc>
        <w:tc>
          <w:tcPr>
            <w:tcW w:w="741" w:type="dxa"/>
            <w:vAlign w:val="center"/>
          </w:tcPr>
          <w:p w14:paraId="0270F805">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男</w:t>
            </w:r>
          </w:p>
        </w:tc>
        <w:tc>
          <w:tcPr>
            <w:tcW w:w="750" w:type="dxa"/>
            <w:vAlign w:val="center"/>
          </w:tcPr>
          <w:p w14:paraId="29FF7966">
            <w:pPr>
              <w:widowControl/>
              <w:spacing w:line="200" w:lineRule="exact"/>
              <w:jc w:val="center"/>
              <w:rPr>
                <w:rFonts w:ascii="黑体" w:hAnsi="黑体" w:eastAsia="黑体" w:cs="宋体"/>
                <w:color w:val="auto"/>
                <w:kern w:val="0"/>
                <w:sz w:val="18"/>
                <w:szCs w:val="18"/>
                <w:highlight w:val="none"/>
              </w:rPr>
            </w:pPr>
            <w:r>
              <w:rPr>
                <w:rFonts w:hint="eastAsia" w:ascii="黑体" w:hAnsi="黑体" w:eastAsia="黑体" w:cs="宋体"/>
                <w:color w:val="auto"/>
                <w:kern w:val="0"/>
                <w:sz w:val="18"/>
                <w:szCs w:val="18"/>
                <w:highlight w:val="none"/>
              </w:rPr>
              <w:t>女</w:t>
            </w:r>
          </w:p>
        </w:tc>
      </w:tr>
      <w:tr w14:paraId="554D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restart"/>
            <w:vAlign w:val="center"/>
          </w:tcPr>
          <w:p w14:paraId="7D876E26">
            <w:pPr>
              <w:widowControl/>
              <w:spacing w:line="200" w:lineRule="exact"/>
              <w:jc w:val="center"/>
              <w:rPr>
                <w:rFonts w:ascii="宋体" w:hAnsi="宋体" w:cs="宋体"/>
                <w:color w:val="auto"/>
                <w:kern w:val="0"/>
                <w:sz w:val="18"/>
                <w:szCs w:val="18"/>
                <w:highlight w:val="none"/>
              </w:rPr>
            </w:pPr>
          </w:p>
          <w:p w14:paraId="506256CA">
            <w:pPr>
              <w:widowControl/>
              <w:spacing w:line="200" w:lineRule="exact"/>
              <w:jc w:val="center"/>
              <w:rPr>
                <w:rFonts w:ascii="宋体" w:hAnsi="宋体" w:cs="宋体"/>
                <w:color w:val="auto"/>
                <w:kern w:val="0"/>
                <w:sz w:val="18"/>
                <w:szCs w:val="18"/>
                <w:highlight w:val="none"/>
              </w:rPr>
            </w:pPr>
          </w:p>
          <w:p w14:paraId="0FA9D2CC">
            <w:pPr>
              <w:widowControl/>
              <w:spacing w:line="200" w:lineRule="exact"/>
              <w:jc w:val="center"/>
              <w:rPr>
                <w:rFonts w:ascii="宋体" w:hAnsi="宋体" w:cs="宋体"/>
                <w:color w:val="auto"/>
                <w:kern w:val="0"/>
                <w:sz w:val="18"/>
                <w:szCs w:val="18"/>
                <w:highlight w:val="none"/>
              </w:rPr>
            </w:pPr>
          </w:p>
          <w:p w14:paraId="2D687C1C">
            <w:pPr>
              <w:widowControl/>
              <w:spacing w:line="200" w:lineRule="exact"/>
              <w:jc w:val="center"/>
              <w:rPr>
                <w:rFonts w:ascii="宋体" w:hAnsi="宋体" w:cs="宋体"/>
                <w:color w:val="auto"/>
                <w:kern w:val="0"/>
                <w:sz w:val="18"/>
                <w:szCs w:val="18"/>
                <w:highlight w:val="none"/>
              </w:rPr>
            </w:pPr>
          </w:p>
          <w:p w14:paraId="0F3B1F92">
            <w:pPr>
              <w:widowControl/>
              <w:spacing w:line="200" w:lineRule="exact"/>
              <w:jc w:val="center"/>
              <w:rPr>
                <w:rFonts w:ascii="宋体" w:hAnsi="宋体" w:cs="宋体"/>
                <w:color w:val="auto"/>
                <w:kern w:val="0"/>
                <w:sz w:val="18"/>
                <w:szCs w:val="18"/>
                <w:highlight w:val="none"/>
              </w:rPr>
            </w:pPr>
          </w:p>
          <w:p w14:paraId="5C4402A8">
            <w:pPr>
              <w:widowControl/>
              <w:spacing w:line="200" w:lineRule="exact"/>
              <w:jc w:val="center"/>
              <w:rPr>
                <w:rFonts w:ascii="宋体" w:hAnsi="宋体" w:cs="宋体"/>
                <w:color w:val="auto"/>
                <w:kern w:val="0"/>
                <w:sz w:val="18"/>
                <w:szCs w:val="18"/>
                <w:highlight w:val="none"/>
              </w:rPr>
            </w:pPr>
          </w:p>
          <w:p w14:paraId="25419DD8">
            <w:pPr>
              <w:widowControl/>
              <w:spacing w:line="200" w:lineRule="exact"/>
              <w:jc w:val="center"/>
              <w:rPr>
                <w:rFonts w:ascii="宋体" w:hAnsi="宋体" w:cs="宋体"/>
                <w:color w:val="auto"/>
                <w:kern w:val="0"/>
                <w:sz w:val="18"/>
                <w:szCs w:val="18"/>
                <w:highlight w:val="none"/>
              </w:rPr>
            </w:pPr>
          </w:p>
          <w:p w14:paraId="5C047CE7">
            <w:pPr>
              <w:widowControl/>
              <w:spacing w:line="20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按上年度本市最低工资标准</w:t>
            </w:r>
          </w:p>
          <w:p w14:paraId="4AC347CE">
            <w:pPr>
              <w:widowControl/>
              <w:spacing w:line="200" w:lineRule="exact"/>
              <w:jc w:val="both"/>
              <w:rPr>
                <w:rFonts w:ascii="宋体" w:hAnsi="宋体" w:cs="宋体"/>
                <w:color w:val="auto"/>
                <w:kern w:val="0"/>
                <w:sz w:val="18"/>
                <w:szCs w:val="18"/>
                <w:highlight w:val="none"/>
              </w:rPr>
            </w:pPr>
          </w:p>
        </w:tc>
        <w:tc>
          <w:tcPr>
            <w:tcW w:w="1053" w:type="dxa"/>
            <w:vAlign w:val="center"/>
          </w:tcPr>
          <w:p w14:paraId="31E9AAB2">
            <w:pPr>
              <w:widowControl/>
              <w:spacing w:line="200" w:lineRule="exact"/>
              <w:ind w:left="-105" w:leftChars="-50" w:right="-105" w:rightChars="-5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0-8</w:t>
            </w:r>
          </w:p>
        </w:tc>
        <w:tc>
          <w:tcPr>
            <w:tcW w:w="742" w:type="dxa"/>
            <w:vAlign w:val="center"/>
          </w:tcPr>
          <w:p w14:paraId="48A3C2FB">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4" w:type="dxa"/>
            <w:vAlign w:val="center"/>
          </w:tcPr>
          <w:p w14:paraId="695BAE9C">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2" w:type="dxa"/>
            <w:noWrap/>
            <w:vAlign w:val="center"/>
          </w:tcPr>
          <w:p w14:paraId="7DE3F0B9">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4" w:type="dxa"/>
            <w:vAlign w:val="center"/>
          </w:tcPr>
          <w:p w14:paraId="565C9460">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2" w:type="dxa"/>
            <w:vAlign w:val="center"/>
          </w:tcPr>
          <w:p w14:paraId="2AF23CF5">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3" w:type="dxa"/>
            <w:vAlign w:val="center"/>
          </w:tcPr>
          <w:p w14:paraId="6227BD5E">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1" w:type="dxa"/>
            <w:vAlign w:val="center"/>
          </w:tcPr>
          <w:p w14:paraId="49AA6D19">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3" w:type="dxa"/>
            <w:vAlign w:val="center"/>
          </w:tcPr>
          <w:p w14:paraId="74CE5593">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1" w:type="dxa"/>
            <w:vAlign w:val="center"/>
          </w:tcPr>
          <w:p w14:paraId="34EC74A6">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3" w:type="dxa"/>
            <w:vAlign w:val="center"/>
          </w:tcPr>
          <w:p w14:paraId="7161436A">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1" w:type="dxa"/>
            <w:noWrap/>
            <w:vAlign w:val="center"/>
          </w:tcPr>
          <w:p w14:paraId="25975CAD">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63" w:type="dxa"/>
            <w:vAlign w:val="center"/>
          </w:tcPr>
          <w:p w14:paraId="3383DAE2">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41" w:type="dxa"/>
            <w:vAlign w:val="center"/>
          </w:tcPr>
          <w:p w14:paraId="783CCC7E">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43" w:type="dxa"/>
            <w:noWrap/>
            <w:vAlign w:val="center"/>
          </w:tcPr>
          <w:p w14:paraId="047C0946">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41" w:type="dxa"/>
            <w:vAlign w:val="center"/>
          </w:tcPr>
          <w:p w14:paraId="4D8DD691">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50" w:type="dxa"/>
            <w:vAlign w:val="center"/>
          </w:tcPr>
          <w:p w14:paraId="3414165D">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r>
      <w:tr w14:paraId="36E2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12ED011E">
            <w:pPr>
              <w:widowControl/>
              <w:spacing w:line="200" w:lineRule="exact"/>
              <w:jc w:val="center"/>
              <w:rPr>
                <w:rFonts w:hint="eastAsia" w:ascii="宋体" w:hAnsi="宋体" w:cs="宋体"/>
                <w:color w:val="auto"/>
                <w:kern w:val="0"/>
                <w:sz w:val="18"/>
                <w:szCs w:val="18"/>
                <w:highlight w:val="none"/>
              </w:rPr>
            </w:pPr>
          </w:p>
        </w:tc>
        <w:tc>
          <w:tcPr>
            <w:tcW w:w="1053" w:type="dxa"/>
            <w:vAlign w:val="center"/>
          </w:tcPr>
          <w:p w14:paraId="211F3D79">
            <w:pPr>
              <w:widowControl/>
              <w:spacing w:line="200" w:lineRule="exact"/>
              <w:ind w:left="-105" w:leftChars="-50" w:right="-105" w:rightChars="-5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9-13</w:t>
            </w:r>
          </w:p>
        </w:tc>
        <w:tc>
          <w:tcPr>
            <w:tcW w:w="742" w:type="dxa"/>
            <w:vAlign w:val="center"/>
          </w:tcPr>
          <w:p w14:paraId="6EB2ECB1">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4" w:type="dxa"/>
            <w:vAlign w:val="center"/>
          </w:tcPr>
          <w:p w14:paraId="10D7B8CF">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2" w:type="dxa"/>
            <w:noWrap/>
            <w:vAlign w:val="center"/>
          </w:tcPr>
          <w:p w14:paraId="47D469F2">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4" w:type="dxa"/>
            <w:vAlign w:val="center"/>
          </w:tcPr>
          <w:p w14:paraId="5C6B9317">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2" w:type="dxa"/>
            <w:vAlign w:val="center"/>
          </w:tcPr>
          <w:p w14:paraId="4A508003">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3" w:type="dxa"/>
            <w:vAlign w:val="center"/>
          </w:tcPr>
          <w:p w14:paraId="6AED41FB">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1" w:type="dxa"/>
            <w:vAlign w:val="center"/>
          </w:tcPr>
          <w:p w14:paraId="095A62A8">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3" w:type="dxa"/>
            <w:vAlign w:val="center"/>
          </w:tcPr>
          <w:p w14:paraId="79BD99C9">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1" w:type="dxa"/>
            <w:vAlign w:val="center"/>
          </w:tcPr>
          <w:p w14:paraId="3F2FDD5A">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3" w:type="dxa"/>
            <w:vAlign w:val="center"/>
          </w:tcPr>
          <w:p w14:paraId="7507E79A">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1" w:type="dxa"/>
            <w:noWrap/>
            <w:vAlign w:val="center"/>
          </w:tcPr>
          <w:p w14:paraId="536F1B35">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-0.2</w:t>
            </w:r>
          </w:p>
        </w:tc>
        <w:tc>
          <w:tcPr>
            <w:tcW w:w="763" w:type="dxa"/>
            <w:vAlign w:val="center"/>
          </w:tcPr>
          <w:p w14:paraId="341E4768">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-0.2</w:t>
            </w:r>
          </w:p>
        </w:tc>
        <w:tc>
          <w:tcPr>
            <w:tcW w:w="741" w:type="dxa"/>
            <w:vAlign w:val="center"/>
          </w:tcPr>
          <w:p w14:paraId="16C2838A">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-0.2</w:t>
            </w:r>
          </w:p>
        </w:tc>
        <w:tc>
          <w:tcPr>
            <w:tcW w:w="743" w:type="dxa"/>
            <w:noWrap/>
            <w:vAlign w:val="center"/>
          </w:tcPr>
          <w:p w14:paraId="2223E0A7">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-0.2</w:t>
            </w:r>
          </w:p>
        </w:tc>
        <w:tc>
          <w:tcPr>
            <w:tcW w:w="741" w:type="dxa"/>
            <w:vAlign w:val="center"/>
          </w:tcPr>
          <w:p w14:paraId="34107B5E">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-0.1</w:t>
            </w:r>
          </w:p>
        </w:tc>
        <w:tc>
          <w:tcPr>
            <w:tcW w:w="750" w:type="dxa"/>
            <w:vAlign w:val="center"/>
          </w:tcPr>
          <w:p w14:paraId="728294C9">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-0.1</w:t>
            </w:r>
          </w:p>
        </w:tc>
      </w:tr>
      <w:tr w14:paraId="6A9B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565739F0">
            <w:pPr>
              <w:widowControl/>
              <w:spacing w:line="200" w:lineRule="exact"/>
              <w:jc w:val="center"/>
              <w:rPr>
                <w:rFonts w:ascii="宋体" w:hAnsi="宋体" w:cs="宋体"/>
                <w:color w:val="auto"/>
                <w:kern w:val="0"/>
                <w:sz w:val="18"/>
                <w:szCs w:val="18"/>
                <w:highlight w:val="none"/>
              </w:rPr>
            </w:pPr>
          </w:p>
        </w:tc>
        <w:tc>
          <w:tcPr>
            <w:tcW w:w="1053" w:type="dxa"/>
            <w:vAlign w:val="center"/>
          </w:tcPr>
          <w:p w14:paraId="0F2F6EF5">
            <w:pPr>
              <w:widowControl/>
              <w:spacing w:line="200" w:lineRule="exact"/>
              <w:ind w:left="-105" w:leftChars="-50" w:right="-105" w:rightChars="-5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14-</w:t>
            </w:r>
            <w:r>
              <w:rPr>
                <w:rFonts w:hint="eastAsia" w:ascii="宋体" w:hAnsi="宋体" w:eastAsia="宋体" w:cs="宋体"/>
                <w:color w:val="auto"/>
                <w:kern w:val="0"/>
                <w:sz w:val="18"/>
                <w:szCs w:val="18"/>
                <w:highlight w:val="none"/>
              </w:rPr>
              <w:t>1</w:t>
            </w:r>
            <w:r>
              <w:rPr>
                <w:rFonts w:hint="eastAsia" w:ascii="宋体" w:hAnsi="宋体" w:eastAsia="宋体" w:cs="宋体"/>
                <w:color w:val="auto"/>
                <w:kern w:val="0"/>
                <w:sz w:val="18"/>
                <w:szCs w:val="18"/>
                <w:highlight w:val="none"/>
                <w:lang w:val="en-US" w:eastAsia="zh-CN"/>
              </w:rPr>
              <w:t>7</w:t>
            </w:r>
          </w:p>
        </w:tc>
        <w:tc>
          <w:tcPr>
            <w:tcW w:w="742" w:type="dxa"/>
            <w:vAlign w:val="center"/>
          </w:tcPr>
          <w:p w14:paraId="00B87E0D">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w:t>
            </w:r>
          </w:p>
        </w:tc>
        <w:tc>
          <w:tcPr>
            <w:tcW w:w="744" w:type="dxa"/>
            <w:vAlign w:val="center"/>
          </w:tcPr>
          <w:p w14:paraId="3F701694">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w:t>
            </w:r>
          </w:p>
        </w:tc>
        <w:tc>
          <w:tcPr>
            <w:tcW w:w="742" w:type="dxa"/>
            <w:noWrap/>
            <w:vAlign w:val="center"/>
          </w:tcPr>
          <w:p w14:paraId="79600258">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w:t>
            </w:r>
          </w:p>
        </w:tc>
        <w:tc>
          <w:tcPr>
            <w:tcW w:w="744" w:type="dxa"/>
            <w:vAlign w:val="center"/>
          </w:tcPr>
          <w:p w14:paraId="2B2ED44D">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w:t>
            </w:r>
          </w:p>
        </w:tc>
        <w:tc>
          <w:tcPr>
            <w:tcW w:w="742" w:type="dxa"/>
            <w:vAlign w:val="center"/>
          </w:tcPr>
          <w:p w14:paraId="3EB94F54">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3" w:type="dxa"/>
            <w:vAlign w:val="center"/>
          </w:tcPr>
          <w:p w14:paraId="745614CB">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1" w:type="dxa"/>
            <w:vAlign w:val="center"/>
          </w:tcPr>
          <w:p w14:paraId="028801EF">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3" w:type="dxa"/>
            <w:vAlign w:val="center"/>
          </w:tcPr>
          <w:p w14:paraId="3FFE6E89">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1" w:type="dxa"/>
            <w:vAlign w:val="center"/>
          </w:tcPr>
          <w:p w14:paraId="5D40FA26">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3" w:type="dxa"/>
            <w:vAlign w:val="center"/>
          </w:tcPr>
          <w:p w14:paraId="70951AB9">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1" w:type="dxa"/>
            <w:noWrap/>
            <w:vAlign w:val="center"/>
          </w:tcPr>
          <w:p w14:paraId="3FC6902E">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63" w:type="dxa"/>
            <w:vAlign w:val="center"/>
          </w:tcPr>
          <w:p w14:paraId="40689D64">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41" w:type="dxa"/>
            <w:vAlign w:val="center"/>
          </w:tcPr>
          <w:p w14:paraId="11CE4E58">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43" w:type="dxa"/>
            <w:noWrap/>
            <w:vAlign w:val="center"/>
          </w:tcPr>
          <w:p w14:paraId="7DE1CF47">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41" w:type="dxa"/>
            <w:vAlign w:val="center"/>
          </w:tcPr>
          <w:p w14:paraId="544ABF93">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-0.1</w:t>
            </w:r>
          </w:p>
        </w:tc>
        <w:tc>
          <w:tcPr>
            <w:tcW w:w="750" w:type="dxa"/>
            <w:vAlign w:val="center"/>
          </w:tcPr>
          <w:p w14:paraId="1B3211BB">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-0.1</w:t>
            </w:r>
          </w:p>
        </w:tc>
      </w:tr>
      <w:tr w14:paraId="339F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4300DB0C">
            <w:pPr>
              <w:widowControl/>
              <w:spacing w:line="200" w:lineRule="exact"/>
              <w:jc w:val="left"/>
              <w:rPr>
                <w:rFonts w:ascii="宋体" w:hAnsi="宋体" w:cs="宋体"/>
                <w:color w:val="auto"/>
                <w:kern w:val="0"/>
                <w:sz w:val="18"/>
                <w:szCs w:val="18"/>
                <w:highlight w:val="none"/>
              </w:rPr>
            </w:pPr>
          </w:p>
        </w:tc>
        <w:tc>
          <w:tcPr>
            <w:tcW w:w="1053" w:type="dxa"/>
            <w:vAlign w:val="center"/>
          </w:tcPr>
          <w:p w14:paraId="66CD6811">
            <w:pPr>
              <w:widowControl/>
              <w:spacing w:line="200" w:lineRule="exact"/>
              <w:ind w:left="-105" w:leftChars="-50" w:right="-105" w:rightChars="-5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18-25</w:t>
            </w:r>
          </w:p>
        </w:tc>
        <w:tc>
          <w:tcPr>
            <w:tcW w:w="742" w:type="dxa"/>
            <w:vAlign w:val="center"/>
          </w:tcPr>
          <w:p w14:paraId="34D19C8C">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744" w:type="dxa"/>
            <w:vAlign w:val="center"/>
          </w:tcPr>
          <w:p w14:paraId="1E52408D">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742" w:type="dxa"/>
            <w:noWrap/>
            <w:vAlign w:val="center"/>
          </w:tcPr>
          <w:p w14:paraId="338DB1DA">
            <w:pPr>
              <w:widowControl/>
              <w:spacing w:line="200" w:lineRule="exact"/>
              <w:ind w:left="-105" w:leftChars="-50" w:right="-105" w:rightChars="-50"/>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0.5</w:t>
            </w:r>
          </w:p>
        </w:tc>
        <w:tc>
          <w:tcPr>
            <w:tcW w:w="744" w:type="dxa"/>
            <w:noWrap/>
            <w:vAlign w:val="center"/>
          </w:tcPr>
          <w:p w14:paraId="2905CA6A">
            <w:pPr>
              <w:widowControl/>
              <w:spacing w:line="200" w:lineRule="exact"/>
              <w:ind w:left="-105" w:leftChars="-50" w:right="-105" w:rightChars="-50"/>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0.4</w:t>
            </w:r>
          </w:p>
        </w:tc>
        <w:tc>
          <w:tcPr>
            <w:tcW w:w="742" w:type="dxa"/>
            <w:vAlign w:val="center"/>
          </w:tcPr>
          <w:p w14:paraId="1492AB8E">
            <w:pPr>
              <w:widowControl/>
              <w:spacing w:line="200" w:lineRule="exact"/>
              <w:ind w:left="-105" w:leftChars="-50" w:right="-105" w:rightChars="-50"/>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0.4</w:t>
            </w:r>
          </w:p>
        </w:tc>
        <w:tc>
          <w:tcPr>
            <w:tcW w:w="743" w:type="dxa"/>
            <w:vAlign w:val="center"/>
          </w:tcPr>
          <w:p w14:paraId="7834F7F3">
            <w:pPr>
              <w:widowControl/>
              <w:spacing w:line="200" w:lineRule="exact"/>
              <w:ind w:left="-105" w:leftChars="-50" w:right="-105" w:rightChars="-50"/>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0.3</w:t>
            </w:r>
          </w:p>
        </w:tc>
        <w:tc>
          <w:tcPr>
            <w:tcW w:w="741" w:type="dxa"/>
            <w:vAlign w:val="center"/>
          </w:tcPr>
          <w:p w14:paraId="5266F6CB">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3" w:type="dxa"/>
            <w:vAlign w:val="center"/>
          </w:tcPr>
          <w:p w14:paraId="0A00E241">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1" w:type="dxa"/>
            <w:vAlign w:val="center"/>
          </w:tcPr>
          <w:p w14:paraId="0397D96E">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vAlign w:val="center"/>
          </w:tcPr>
          <w:p w14:paraId="56ABE27A">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noWrap/>
            <w:vAlign w:val="center"/>
          </w:tcPr>
          <w:p w14:paraId="664A4C16">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63" w:type="dxa"/>
            <w:noWrap/>
            <w:vAlign w:val="center"/>
          </w:tcPr>
          <w:p w14:paraId="35E0FA5B">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noWrap/>
            <w:vAlign w:val="center"/>
          </w:tcPr>
          <w:p w14:paraId="500261A5">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noWrap/>
            <w:vAlign w:val="center"/>
          </w:tcPr>
          <w:p w14:paraId="37D89E21">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vAlign w:val="center"/>
          </w:tcPr>
          <w:p w14:paraId="5D63C673">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5</w:t>
            </w:r>
          </w:p>
        </w:tc>
        <w:tc>
          <w:tcPr>
            <w:tcW w:w="750" w:type="dxa"/>
            <w:vAlign w:val="center"/>
          </w:tcPr>
          <w:p w14:paraId="357EE89F">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4</w:t>
            </w:r>
          </w:p>
        </w:tc>
      </w:tr>
      <w:tr w14:paraId="1457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064124F1">
            <w:pPr>
              <w:widowControl/>
              <w:spacing w:line="200" w:lineRule="exact"/>
              <w:jc w:val="left"/>
              <w:rPr>
                <w:rFonts w:ascii="宋体" w:hAnsi="宋体" w:cs="宋体"/>
                <w:color w:val="auto"/>
                <w:kern w:val="0"/>
                <w:sz w:val="18"/>
                <w:szCs w:val="18"/>
                <w:highlight w:val="none"/>
              </w:rPr>
            </w:pPr>
          </w:p>
        </w:tc>
        <w:tc>
          <w:tcPr>
            <w:tcW w:w="1053" w:type="dxa"/>
            <w:vAlign w:val="center"/>
          </w:tcPr>
          <w:p w14:paraId="5AA60C9E">
            <w:pPr>
              <w:widowControl/>
              <w:spacing w:line="200" w:lineRule="exact"/>
              <w:ind w:left="-105" w:leftChars="-50" w:right="-105" w:rightChars="-5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26-35</w:t>
            </w:r>
          </w:p>
        </w:tc>
        <w:tc>
          <w:tcPr>
            <w:tcW w:w="742" w:type="dxa"/>
            <w:vAlign w:val="center"/>
          </w:tcPr>
          <w:p w14:paraId="05EF406E">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744" w:type="dxa"/>
            <w:vAlign w:val="center"/>
          </w:tcPr>
          <w:p w14:paraId="0B1DAF8C">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742" w:type="dxa"/>
            <w:noWrap/>
            <w:vAlign w:val="center"/>
          </w:tcPr>
          <w:p w14:paraId="541A6945">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0.5</w:t>
            </w:r>
          </w:p>
        </w:tc>
        <w:tc>
          <w:tcPr>
            <w:tcW w:w="744" w:type="dxa"/>
            <w:noWrap/>
            <w:vAlign w:val="center"/>
          </w:tcPr>
          <w:p w14:paraId="2FE0FEF1">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4</w:t>
            </w:r>
          </w:p>
        </w:tc>
        <w:tc>
          <w:tcPr>
            <w:tcW w:w="742" w:type="dxa"/>
            <w:vAlign w:val="center"/>
          </w:tcPr>
          <w:p w14:paraId="7A29F4E7">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4</w:t>
            </w:r>
          </w:p>
        </w:tc>
        <w:tc>
          <w:tcPr>
            <w:tcW w:w="743" w:type="dxa"/>
            <w:vAlign w:val="center"/>
          </w:tcPr>
          <w:p w14:paraId="5DDA17D6">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0.3</w:t>
            </w:r>
          </w:p>
        </w:tc>
        <w:tc>
          <w:tcPr>
            <w:tcW w:w="741" w:type="dxa"/>
            <w:vAlign w:val="center"/>
          </w:tcPr>
          <w:p w14:paraId="5F828765">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3" w:type="dxa"/>
            <w:vAlign w:val="center"/>
          </w:tcPr>
          <w:p w14:paraId="42407EA8">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1" w:type="dxa"/>
            <w:vAlign w:val="center"/>
          </w:tcPr>
          <w:p w14:paraId="012704A8">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vAlign w:val="center"/>
          </w:tcPr>
          <w:p w14:paraId="611AE4C6">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noWrap/>
            <w:vAlign w:val="center"/>
          </w:tcPr>
          <w:p w14:paraId="0EC8AA3B">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63" w:type="dxa"/>
            <w:noWrap/>
            <w:vAlign w:val="center"/>
          </w:tcPr>
          <w:p w14:paraId="10C7D295">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noWrap/>
            <w:vAlign w:val="center"/>
          </w:tcPr>
          <w:p w14:paraId="6513D573">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noWrap/>
            <w:vAlign w:val="center"/>
          </w:tcPr>
          <w:p w14:paraId="79A7694E">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vAlign w:val="center"/>
          </w:tcPr>
          <w:p w14:paraId="0D77BB21">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5</w:t>
            </w:r>
          </w:p>
        </w:tc>
        <w:tc>
          <w:tcPr>
            <w:tcW w:w="750" w:type="dxa"/>
            <w:vAlign w:val="center"/>
          </w:tcPr>
          <w:p w14:paraId="43DFB532">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4</w:t>
            </w:r>
          </w:p>
        </w:tc>
      </w:tr>
      <w:tr w14:paraId="7FEF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79151331">
            <w:pPr>
              <w:widowControl/>
              <w:spacing w:line="200" w:lineRule="exact"/>
              <w:jc w:val="left"/>
              <w:rPr>
                <w:rFonts w:ascii="宋体" w:hAnsi="宋体" w:cs="宋体"/>
                <w:color w:val="auto"/>
                <w:kern w:val="0"/>
                <w:sz w:val="18"/>
                <w:szCs w:val="18"/>
                <w:highlight w:val="none"/>
              </w:rPr>
            </w:pPr>
          </w:p>
        </w:tc>
        <w:tc>
          <w:tcPr>
            <w:tcW w:w="1053" w:type="dxa"/>
            <w:vAlign w:val="center"/>
          </w:tcPr>
          <w:p w14:paraId="5E12D020">
            <w:pPr>
              <w:widowControl/>
              <w:spacing w:line="200" w:lineRule="exact"/>
              <w:ind w:left="-105" w:leftChars="-50" w:right="-105" w:rightChars="-5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36-45</w:t>
            </w:r>
          </w:p>
        </w:tc>
        <w:tc>
          <w:tcPr>
            <w:tcW w:w="742" w:type="dxa"/>
            <w:vAlign w:val="center"/>
          </w:tcPr>
          <w:p w14:paraId="73110A44">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744" w:type="dxa"/>
            <w:vAlign w:val="center"/>
          </w:tcPr>
          <w:p w14:paraId="613EA9AF">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742" w:type="dxa"/>
            <w:noWrap/>
            <w:vAlign w:val="center"/>
          </w:tcPr>
          <w:p w14:paraId="633EF250">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0.5</w:t>
            </w:r>
          </w:p>
        </w:tc>
        <w:tc>
          <w:tcPr>
            <w:tcW w:w="744" w:type="dxa"/>
            <w:noWrap/>
            <w:vAlign w:val="center"/>
          </w:tcPr>
          <w:p w14:paraId="0054AA6C">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4</w:t>
            </w:r>
          </w:p>
        </w:tc>
        <w:tc>
          <w:tcPr>
            <w:tcW w:w="742" w:type="dxa"/>
            <w:vAlign w:val="center"/>
          </w:tcPr>
          <w:p w14:paraId="05023226">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4</w:t>
            </w:r>
          </w:p>
        </w:tc>
        <w:tc>
          <w:tcPr>
            <w:tcW w:w="743" w:type="dxa"/>
            <w:vAlign w:val="center"/>
          </w:tcPr>
          <w:p w14:paraId="58591A8D">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0.3</w:t>
            </w:r>
          </w:p>
        </w:tc>
        <w:tc>
          <w:tcPr>
            <w:tcW w:w="741" w:type="dxa"/>
            <w:vAlign w:val="center"/>
          </w:tcPr>
          <w:p w14:paraId="551CD152">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3" w:type="dxa"/>
            <w:vAlign w:val="center"/>
          </w:tcPr>
          <w:p w14:paraId="6F44EDC8">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1" w:type="dxa"/>
            <w:vAlign w:val="center"/>
          </w:tcPr>
          <w:p w14:paraId="691FB67C">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vAlign w:val="center"/>
          </w:tcPr>
          <w:p w14:paraId="06FFD393">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noWrap/>
            <w:vAlign w:val="center"/>
          </w:tcPr>
          <w:p w14:paraId="4FB8C482">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63" w:type="dxa"/>
            <w:noWrap/>
            <w:vAlign w:val="center"/>
          </w:tcPr>
          <w:p w14:paraId="1CEAC169">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noWrap/>
            <w:vAlign w:val="center"/>
          </w:tcPr>
          <w:p w14:paraId="11591901">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noWrap/>
            <w:vAlign w:val="center"/>
          </w:tcPr>
          <w:p w14:paraId="4EC94B1C">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vAlign w:val="center"/>
          </w:tcPr>
          <w:p w14:paraId="79787184">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0.5</w:t>
            </w:r>
          </w:p>
        </w:tc>
        <w:tc>
          <w:tcPr>
            <w:tcW w:w="750" w:type="dxa"/>
            <w:vAlign w:val="center"/>
          </w:tcPr>
          <w:p w14:paraId="3A7C7084">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0.4</w:t>
            </w:r>
          </w:p>
        </w:tc>
      </w:tr>
      <w:tr w14:paraId="1F60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7CEB7C29">
            <w:pPr>
              <w:widowControl/>
              <w:spacing w:line="200" w:lineRule="exact"/>
              <w:jc w:val="left"/>
              <w:rPr>
                <w:rFonts w:ascii="宋体" w:hAnsi="宋体" w:cs="宋体"/>
                <w:color w:val="auto"/>
                <w:kern w:val="0"/>
                <w:sz w:val="18"/>
                <w:szCs w:val="18"/>
                <w:highlight w:val="none"/>
              </w:rPr>
            </w:pPr>
          </w:p>
        </w:tc>
        <w:tc>
          <w:tcPr>
            <w:tcW w:w="1053" w:type="dxa"/>
            <w:vAlign w:val="center"/>
          </w:tcPr>
          <w:p w14:paraId="2B7EE16A">
            <w:pPr>
              <w:widowControl/>
              <w:spacing w:line="200" w:lineRule="exact"/>
              <w:ind w:left="-105" w:leftChars="-50" w:right="-105" w:rightChars="-5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46-50</w:t>
            </w:r>
          </w:p>
        </w:tc>
        <w:tc>
          <w:tcPr>
            <w:tcW w:w="742" w:type="dxa"/>
            <w:vAlign w:val="center"/>
          </w:tcPr>
          <w:p w14:paraId="16EFE7C4">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744" w:type="dxa"/>
            <w:vAlign w:val="center"/>
          </w:tcPr>
          <w:p w14:paraId="3944A0AD">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742" w:type="dxa"/>
            <w:noWrap/>
            <w:vAlign w:val="center"/>
          </w:tcPr>
          <w:p w14:paraId="7B78A194">
            <w:pPr>
              <w:widowControl/>
              <w:spacing w:line="200" w:lineRule="exact"/>
              <w:ind w:left="-105" w:leftChars="-50" w:right="-105" w:rightChars="-50"/>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0.4</w:t>
            </w:r>
          </w:p>
        </w:tc>
        <w:tc>
          <w:tcPr>
            <w:tcW w:w="744" w:type="dxa"/>
            <w:noWrap/>
            <w:vAlign w:val="center"/>
          </w:tcPr>
          <w:p w14:paraId="08EBD9FC">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3</w:t>
            </w:r>
          </w:p>
        </w:tc>
        <w:tc>
          <w:tcPr>
            <w:tcW w:w="742" w:type="dxa"/>
            <w:vAlign w:val="center"/>
          </w:tcPr>
          <w:p w14:paraId="005D0811">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3</w:t>
            </w:r>
          </w:p>
        </w:tc>
        <w:tc>
          <w:tcPr>
            <w:tcW w:w="743" w:type="dxa"/>
            <w:vAlign w:val="center"/>
          </w:tcPr>
          <w:p w14:paraId="241B15C3">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2</w:t>
            </w:r>
          </w:p>
        </w:tc>
        <w:tc>
          <w:tcPr>
            <w:tcW w:w="741" w:type="dxa"/>
            <w:vAlign w:val="center"/>
          </w:tcPr>
          <w:p w14:paraId="33A3732B">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w:t>
            </w:r>
          </w:p>
        </w:tc>
        <w:tc>
          <w:tcPr>
            <w:tcW w:w="743" w:type="dxa"/>
            <w:vAlign w:val="center"/>
          </w:tcPr>
          <w:p w14:paraId="615FA6BE">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w:t>
            </w:r>
          </w:p>
        </w:tc>
        <w:tc>
          <w:tcPr>
            <w:tcW w:w="741" w:type="dxa"/>
            <w:vAlign w:val="center"/>
          </w:tcPr>
          <w:p w14:paraId="36DD9D14">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w:t>
            </w:r>
          </w:p>
        </w:tc>
        <w:tc>
          <w:tcPr>
            <w:tcW w:w="743" w:type="dxa"/>
            <w:vAlign w:val="center"/>
          </w:tcPr>
          <w:p w14:paraId="2ACBC7F6">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w:t>
            </w:r>
          </w:p>
        </w:tc>
        <w:tc>
          <w:tcPr>
            <w:tcW w:w="741" w:type="dxa"/>
            <w:noWrap/>
            <w:vAlign w:val="center"/>
          </w:tcPr>
          <w:p w14:paraId="1E8D73E9">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63" w:type="dxa"/>
            <w:noWrap/>
            <w:vAlign w:val="center"/>
          </w:tcPr>
          <w:p w14:paraId="7CDC6703">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noWrap/>
            <w:vAlign w:val="center"/>
          </w:tcPr>
          <w:p w14:paraId="4BBF919F">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noWrap/>
            <w:vAlign w:val="center"/>
          </w:tcPr>
          <w:p w14:paraId="6F550DEF">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vAlign w:val="center"/>
          </w:tcPr>
          <w:p w14:paraId="45E310B5">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0.4</w:t>
            </w:r>
          </w:p>
        </w:tc>
        <w:tc>
          <w:tcPr>
            <w:tcW w:w="750" w:type="dxa"/>
            <w:vAlign w:val="center"/>
          </w:tcPr>
          <w:p w14:paraId="58F49DB7">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0.3</w:t>
            </w:r>
          </w:p>
        </w:tc>
      </w:tr>
      <w:tr w14:paraId="41AF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09FF852C">
            <w:pPr>
              <w:widowControl/>
              <w:spacing w:line="200" w:lineRule="exact"/>
              <w:jc w:val="left"/>
              <w:rPr>
                <w:rFonts w:ascii="宋体" w:hAnsi="宋体" w:cs="宋体"/>
                <w:color w:val="auto"/>
                <w:kern w:val="0"/>
                <w:sz w:val="18"/>
                <w:szCs w:val="18"/>
                <w:highlight w:val="none"/>
              </w:rPr>
            </w:pPr>
          </w:p>
        </w:tc>
        <w:tc>
          <w:tcPr>
            <w:tcW w:w="1053" w:type="dxa"/>
            <w:vAlign w:val="center"/>
          </w:tcPr>
          <w:p w14:paraId="1D8EE753">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51-54</w:t>
            </w:r>
          </w:p>
        </w:tc>
        <w:tc>
          <w:tcPr>
            <w:tcW w:w="742" w:type="dxa"/>
            <w:vAlign w:val="center"/>
          </w:tcPr>
          <w:p w14:paraId="6E7B9A94">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744" w:type="dxa"/>
            <w:noWrap/>
            <w:vAlign w:val="center"/>
          </w:tcPr>
          <w:p w14:paraId="38B8B8A2">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742" w:type="dxa"/>
            <w:noWrap/>
            <w:vAlign w:val="center"/>
          </w:tcPr>
          <w:p w14:paraId="3D737E66">
            <w:pPr>
              <w:widowControl/>
              <w:spacing w:line="200" w:lineRule="exact"/>
              <w:ind w:left="-105" w:leftChars="-50" w:right="-105" w:rightChars="-50"/>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0.3</w:t>
            </w:r>
          </w:p>
        </w:tc>
        <w:tc>
          <w:tcPr>
            <w:tcW w:w="744" w:type="dxa"/>
            <w:noWrap/>
            <w:vAlign w:val="center"/>
          </w:tcPr>
          <w:p w14:paraId="4F0038AE">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2</w:t>
            </w:r>
          </w:p>
        </w:tc>
        <w:tc>
          <w:tcPr>
            <w:tcW w:w="742" w:type="dxa"/>
            <w:vAlign w:val="center"/>
          </w:tcPr>
          <w:p w14:paraId="724915D8">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2</w:t>
            </w:r>
          </w:p>
        </w:tc>
        <w:tc>
          <w:tcPr>
            <w:tcW w:w="743" w:type="dxa"/>
            <w:vAlign w:val="center"/>
          </w:tcPr>
          <w:p w14:paraId="614CC04F">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0.</w:t>
            </w:r>
            <w:r>
              <w:rPr>
                <w:rFonts w:hint="eastAsia" w:ascii="宋体" w:hAnsi="宋体" w:cs="宋体"/>
                <w:color w:val="auto"/>
                <w:kern w:val="0"/>
                <w:sz w:val="18"/>
                <w:szCs w:val="18"/>
                <w:highlight w:val="none"/>
                <w:lang w:val="en-US" w:eastAsia="zh-CN"/>
              </w:rPr>
              <w:t>1</w:t>
            </w:r>
          </w:p>
        </w:tc>
        <w:tc>
          <w:tcPr>
            <w:tcW w:w="741" w:type="dxa"/>
            <w:vAlign w:val="center"/>
          </w:tcPr>
          <w:p w14:paraId="248FF4E9">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43" w:type="dxa"/>
            <w:vAlign w:val="center"/>
          </w:tcPr>
          <w:p w14:paraId="314D7FCD">
            <w:pPr>
              <w:widowControl/>
              <w:spacing w:line="200" w:lineRule="exact"/>
              <w:ind w:left="-105" w:leftChars="-50" w:right="-105" w:rightChars="-50"/>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0</w:t>
            </w:r>
          </w:p>
        </w:tc>
        <w:tc>
          <w:tcPr>
            <w:tcW w:w="741" w:type="dxa"/>
            <w:vAlign w:val="center"/>
          </w:tcPr>
          <w:p w14:paraId="395E14B0">
            <w:pPr>
              <w:widowControl/>
              <w:spacing w:line="200" w:lineRule="exact"/>
              <w:ind w:left="-105" w:leftChars="-50" w:right="-105" w:rightChars="-50"/>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0</w:t>
            </w:r>
          </w:p>
        </w:tc>
        <w:tc>
          <w:tcPr>
            <w:tcW w:w="743" w:type="dxa"/>
            <w:vAlign w:val="center"/>
          </w:tcPr>
          <w:p w14:paraId="0BC89B69">
            <w:pPr>
              <w:widowControl/>
              <w:spacing w:line="200" w:lineRule="exact"/>
              <w:ind w:left="-105" w:leftChars="-50" w:right="-105" w:rightChars="-50"/>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0</w:t>
            </w:r>
          </w:p>
        </w:tc>
        <w:tc>
          <w:tcPr>
            <w:tcW w:w="741" w:type="dxa"/>
            <w:noWrap/>
            <w:vAlign w:val="center"/>
          </w:tcPr>
          <w:p w14:paraId="199FF5BF">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63" w:type="dxa"/>
            <w:noWrap/>
            <w:vAlign w:val="center"/>
          </w:tcPr>
          <w:p w14:paraId="50016AB1">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noWrap/>
            <w:vAlign w:val="center"/>
          </w:tcPr>
          <w:p w14:paraId="7A91E596">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noWrap/>
            <w:vAlign w:val="center"/>
          </w:tcPr>
          <w:p w14:paraId="62ECDFE6">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vAlign w:val="center"/>
          </w:tcPr>
          <w:p w14:paraId="0202AFDE">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0.3</w:t>
            </w:r>
          </w:p>
        </w:tc>
        <w:tc>
          <w:tcPr>
            <w:tcW w:w="750" w:type="dxa"/>
            <w:vAlign w:val="center"/>
          </w:tcPr>
          <w:p w14:paraId="3C5FB27D">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r>
      <w:tr w14:paraId="3C79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4B6A9AA8">
            <w:pPr>
              <w:widowControl/>
              <w:spacing w:line="200" w:lineRule="exact"/>
              <w:jc w:val="left"/>
              <w:rPr>
                <w:rFonts w:ascii="宋体" w:hAnsi="宋体" w:cs="宋体"/>
                <w:color w:val="auto"/>
                <w:kern w:val="0"/>
                <w:sz w:val="18"/>
                <w:szCs w:val="18"/>
                <w:highlight w:val="none"/>
              </w:rPr>
            </w:pPr>
          </w:p>
        </w:tc>
        <w:tc>
          <w:tcPr>
            <w:tcW w:w="1053" w:type="dxa"/>
            <w:vAlign w:val="center"/>
          </w:tcPr>
          <w:p w14:paraId="249D52C1">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55-60</w:t>
            </w:r>
          </w:p>
        </w:tc>
        <w:tc>
          <w:tcPr>
            <w:tcW w:w="742" w:type="dxa"/>
            <w:vAlign w:val="center"/>
          </w:tcPr>
          <w:p w14:paraId="2D986E0A">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744" w:type="dxa"/>
            <w:vAlign w:val="center"/>
          </w:tcPr>
          <w:p w14:paraId="4BF0F837">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0.6</w:t>
            </w:r>
          </w:p>
        </w:tc>
        <w:tc>
          <w:tcPr>
            <w:tcW w:w="742" w:type="dxa"/>
            <w:noWrap/>
            <w:vAlign w:val="center"/>
          </w:tcPr>
          <w:p w14:paraId="742AFDAF">
            <w:pPr>
              <w:widowControl/>
              <w:spacing w:line="200" w:lineRule="exact"/>
              <w:ind w:left="-105" w:leftChars="-50" w:right="-105" w:rightChars="-50"/>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0.2</w:t>
            </w:r>
          </w:p>
        </w:tc>
        <w:tc>
          <w:tcPr>
            <w:tcW w:w="744" w:type="dxa"/>
            <w:noWrap/>
            <w:vAlign w:val="center"/>
          </w:tcPr>
          <w:p w14:paraId="48843ACC">
            <w:pPr>
              <w:widowControl/>
              <w:spacing w:line="200" w:lineRule="exact"/>
              <w:ind w:left="-105" w:leftChars="-50" w:right="-105" w:rightChars="-50"/>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0.1</w:t>
            </w:r>
          </w:p>
        </w:tc>
        <w:tc>
          <w:tcPr>
            <w:tcW w:w="742" w:type="dxa"/>
            <w:vAlign w:val="center"/>
          </w:tcPr>
          <w:p w14:paraId="548AAA5A">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0.1</w:t>
            </w:r>
          </w:p>
        </w:tc>
        <w:tc>
          <w:tcPr>
            <w:tcW w:w="743" w:type="dxa"/>
            <w:vAlign w:val="center"/>
          </w:tcPr>
          <w:p w14:paraId="4706E6CC">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41" w:type="dxa"/>
            <w:vAlign w:val="center"/>
          </w:tcPr>
          <w:p w14:paraId="248FB32F">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43" w:type="dxa"/>
            <w:vAlign w:val="center"/>
          </w:tcPr>
          <w:p w14:paraId="563AFB44">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41" w:type="dxa"/>
            <w:vAlign w:val="center"/>
          </w:tcPr>
          <w:p w14:paraId="1A631047">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43" w:type="dxa"/>
            <w:vAlign w:val="center"/>
          </w:tcPr>
          <w:p w14:paraId="5C2FB0BD">
            <w:pPr>
              <w:widowControl/>
              <w:spacing w:line="200" w:lineRule="exact"/>
              <w:ind w:left="-105" w:leftChars="-50" w:right="-105" w:rightChars="-50"/>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41" w:type="dxa"/>
            <w:noWrap/>
            <w:vAlign w:val="center"/>
          </w:tcPr>
          <w:p w14:paraId="21420F2C">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63" w:type="dxa"/>
            <w:noWrap/>
            <w:vAlign w:val="center"/>
          </w:tcPr>
          <w:p w14:paraId="5CB3858D">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noWrap/>
            <w:vAlign w:val="center"/>
          </w:tcPr>
          <w:p w14:paraId="7A194F15">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noWrap/>
            <w:vAlign w:val="center"/>
          </w:tcPr>
          <w:p w14:paraId="5B2FA518">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vAlign w:val="center"/>
          </w:tcPr>
          <w:p w14:paraId="0F9E3D13">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50" w:type="dxa"/>
            <w:vAlign w:val="center"/>
          </w:tcPr>
          <w:p w14:paraId="7CA7FE13">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r>
      <w:tr w14:paraId="7F45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4E831356">
            <w:pPr>
              <w:widowControl/>
              <w:spacing w:line="200" w:lineRule="exact"/>
              <w:jc w:val="left"/>
              <w:rPr>
                <w:rFonts w:ascii="宋体" w:hAnsi="宋体" w:cs="宋体"/>
                <w:color w:val="auto"/>
                <w:kern w:val="0"/>
                <w:sz w:val="18"/>
                <w:szCs w:val="18"/>
                <w:highlight w:val="none"/>
              </w:rPr>
            </w:pPr>
          </w:p>
        </w:tc>
        <w:tc>
          <w:tcPr>
            <w:tcW w:w="1053" w:type="dxa"/>
            <w:vAlign w:val="center"/>
          </w:tcPr>
          <w:p w14:paraId="1342FCED">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61-65</w:t>
            </w:r>
          </w:p>
        </w:tc>
        <w:tc>
          <w:tcPr>
            <w:tcW w:w="742" w:type="dxa"/>
            <w:vAlign w:val="center"/>
          </w:tcPr>
          <w:p w14:paraId="0E336C80">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0.4</w:t>
            </w:r>
          </w:p>
        </w:tc>
        <w:tc>
          <w:tcPr>
            <w:tcW w:w="744" w:type="dxa"/>
            <w:vAlign w:val="center"/>
          </w:tcPr>
          <w:p w14:paraId="1A7ECF1F">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0.3</w:t>
            </w:r>
          </w:p>
        </w:tc>
        <w:tc>
          <w:tcPr>
            <w:tcW w:w="742" w:type="dxa"/>
            <w:noWrap/>
            <w:vAlign w:val="center"/>
          </w:tcPr>
          <w:p w14:paraId="01AC5010">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p>
        </w:tc>
        <w:tc>
          <w:tcPr>
            <w:tcW w:w="744" w:type="dxa"/>
            <w:noWrap/>
            <w:vAlign w:val="center"/>
          </w:tcPr>
          <w:p w14:paraId="7742CCD8">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p>
        </w:tc>
        <w:tc>
          <w:tcPr>
            <w:tcW w:w="742" w:type="dxa"/>
            <w:vAlign w:val="center"/>
          </w:tcPr>
          <w:p w14:paraId="76DD02ED">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vAlign w:val="center"/>
          </w:tcPr>
          <w:p w14:paraId="4D8AD72A">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vAlign w:val="center"/>
          </w:tcPr>
          <w:p w14:paraId="4D21F365">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vAlign w:val="center"/>
          </w:tcPr>
          <w:p w14:paraId="4A94B5F1">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vAlign w:val="center"/>
          </w:tcPr>
          <w:p w14:paraId="4710A061">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3" w:type="dxa"/>
            <w:vAlign w:val="center"/>
          </w:tcPr>
          <w:p w14:paraId="4FDB0FA2">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1" w:type="dxa"/>
            <w:vAlign w:val="center"/>
          </w:tcPr>
          <w:p w14:paraId="50AFE94D">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63" w:type="dxa"/>
            <w:vAlign w:val="center"/>
          </w:tcPr>
          <w:p w14:paraId="1F26F706">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1" w:type="dxa"/>
            <w:vAlign w:val="center"/>
          </w:tcPr>
          <w:p w14:paraId="4B81C652">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3" w:type="dxa"/>
            <w:vAlign w:val="center"/>
          </w:tcPr>
          <w:p w14:paraId="46A04471">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1" w:type="dxa"/>
            <w:vAlign w:val="center"/>
          </w:tcPr>
          <w:p w14:paraId="37D38F0A">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50" w:type="dxa"/>
            <w:vAlign w:val="center"/>
          </w:tcPr>
          <w:p w14:paraId="315E0DA4">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r>
      <w:tr w14:paraId="3AC6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40B1D985">
            <w:pPr>
              <w:widowControl/>
              <w:spacing w:line="200" w:lineRule="exact"/>
              <w:jc w:val="left"/>
              <w:rPr>
                <w:rFonts w:ascii="宋体" w:hAnsi="宋体" w:cs="宋体"/>
                <w:color w:val="auto"/>
                <w:kern w:val="0"/>
                <w:sz w:val="18"/>
                <w:szCs w:val="18"/>
                <w:highlight w:val="none"/>
              </w:rPr>
            </w:pPr>
          </w:p>
        </w:tc>
        <w:tc>
          <w:tcPr>
            <w:tcW w:w="1053" w:type="dxa"/>
            <w:vAlign w:val="center"/>
          </w:tcPr>
          <w:p w14:paraId="01FBCC3F">
            <w:pPr>
              <w:widowControl/>
              <w:spacing w:line="200" w:lineRule="exact"/>
              <w:ind w:left="-105" w:leftChars="-50" w:right="-105" w:rightChars="-50"/>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66-</w:t>
            </w:r>
            <w:r>
              <w:rPr>
                <w:rFonts w:hint="eastAsia" w:ascii="宋体" w:hAnsi="宋体" w:cs="宋体"/>
                <w:color w:val="auto"/>
                <w:kern w:val="0"/>
                <w:sz w:val="18"/>
                <w:szCs w:val="18"/>
                <w:highlight w:val="none"/>
                <w:lang w:val="en-US" w:eastAsia="zh-CN"/>
              </w:rPr>
              <w:t>69</w:t>
            </w:r>
          </w:p>
        </w:tc>
        <w:tc>
          <w:tcPr>
            <w:tcW w:w="742" w:type="dxa"/>
            <w:vAlign w:val="center"/>
          </w:tcPr>
          <w:p w14:paraId="2841BE92">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0.3</w:t>
            </w:r>
          </w:p>
        </w:tc>
        <w:tc>
          <w:tcPr>
            <w:tcW w:w="744" w:type="dxa"/>
            <w:vAlign w:val="center"/>
          </w:tcPr>
          <w:p w14:paraId="3D2BC390">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2" w:type="dxa"/>
            <w:noWrap/>
            <w:vAlign w:val="center"/>
          </w:tcPr>
          <w:p w14:paraId="0F5E9A57">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p>
        </w:tc>
        <w:tc>
          <w:tcPr>
            <w:tcW w:w="744" w:type="dxa"/>
            <w:noWrap/>
            <w:vAlign w:val="center"/>
          </w:tcPr>
          <w:p w14:paraId="09978AE7">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p>
        </w:tc>
        <w:tc>
          <w:tcPr>
            <w:tcW w:w="742" w:type="dxa"/>
            <w:vAlign w:val="center"/>
          </w:tcPr>
          <w:p w14:paraId="1D2566B8">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vAlign w:val="center"/>
          </w:tcPr>
          <w:p w14:paraId="717E5FD6">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vAlign w:val="center"/>
          </w:tcPr>
          <w:p w14:paraId="53FEEB5C">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3" w:type="dxa"/>
            <w:vAlign w:val="center"/>
          </w:tcPr>
          <w:p w14:paraId="130D6EC3">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41" w:type="dxa"/>
            <w:vAlign w:val="center"/>
          </w:tcPr>
          <w:p w14:paraId="66C1997E">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3" w:type="dxa"/>
            <w:vAlign w:val="center"/>
          </w:tcPr>
          <w:p w14:paraId="52343FBD">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1" w:type="dxa"/>
            <w:vAlign w:val="center"/>
          </w:tcPr>
          <w:p w14:paraId="69B90A1C">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63" w:type="dxa"/>
            <w:vAlign w:val="center"/>
          </w:tcPr>
          <w:p w14:paraId="6A999352">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1" w:type="dxa"/>
            <w:vAlign w:val="center"/>
          </w:tcPr>
          <w:p w14:paraId="06B51846">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3" w:type="dxa"/>
            <w:vAlign w:val="center"/>
          </w:tcPr>
          <w:p w14:paraId="66770D8F">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-0.2</w:t>
            </w:r>
          </w:p>
        </w:tc>
        <w:tc>
          <w:tcPr>
            <w:tcW w:w="741" w:type="dxa"/>
            <w:vAlign w:val="center"/>
          </w:tcPr>
          <w:p w14:paraId="711F7473">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c>
          <w:tcPr>
            <w:tcW w:w="750" w:type="dxa"/>
            <w:vAlign w:val="center"/>
          </w:tcPr>
          <w:p w14:paraId="499C2BF1">
            <w:pPr>
              <w:widowControl/>
              <w:spacing w:line="200" w:lineRule="exact"/>
              <w:ind w:left="-105" w:leftChars="-50" w:right="-105" w:rightChars="-5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-0.1</w:t>
            </w:r>
          </w:p>
        </w:tc>
      </w:tr>
      <w:tr w14:paraId="4A4A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1F828533">
            <w:pPr>
              <w:widowControl/>
              <w:spacing w:line="200" w:lineRule="exact"/>
              <w:jc w:val="left"/>
              <w:rPr>
                <w:rFonts w:ascii="宋体" w:hAnsi="宋体" w:cs="宋体"/>
                <w:color w:val="auto"/>
                <w:kern w:val="0"/>
                <w:sz w:val="18"/>
                <w:szCs w:val="18"/>
                <w:highlight w:val="none"/>
              </w:rPr>
            </w:pPr>
          </w:p>
        </w:tc>
        <w:tc>
          <w:tcPr>
            <w:tcW w:w="1053" w:type="dxa"/>
            <w:vAlign w:val="center"/>
          </w:tcPr>
          <w:p w14:paraId="21D581FF">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本科(含）以下在校学生</w:t>
            </w:r>
          </w:p>
        </w:tc>
        <w:tc>
          <w:tcPr>
            <w:tcW w:w="742" w:type="dxa"/>
            <w:vAlign w:val="center"/>
          </w:tcPr>
          <w:p w14:paraId="4D4C89B7">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44" w:type="dxa"/>
            <w:vAlign w:val="center"/>
          </w:tcPr>
          <w:p w14:paraId="2F6DBD6D">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42" w:type="dxa"/>
            <w:noWrap/>
            <w:vAlign w:val="center"/>
          </w:tcPr>
          <w:p w14:paraId="2868D557">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44" w:type="dxa"/>
            <w:noWrap/>
            <w:vAlign w:val="center"/>
          </w:tcPr>
          <w:p w14:paraId="467E1F7E">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42" w:type="dxa"/>
            <w:vAlign w:val="center"/>
          </w:tcPr>
          <w:p w14:paraId="473C9227">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43" w:type="dxa"/>
            <w:vAlign w:val="center"/>
          </w:tcPr>
          <w:p w14:paraId="1420D056">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41" w:type="dxa"/>
            <w:vAlign w:val="center"/>
          </w:tcPr>
          <w:p w14:paraId="04B9FA4C">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　</w:t>
            </w:r>
          </w:p>
        </w:tc>
        <w:tc>
          <w:tcPr>
            <w:tcW w:w="743" w:type="dxa"/>
            <w:vAlign w:val="center"/>
          </w:tcPr>
          <w:p w14:paraId="5D5DBB71">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　0</w:t>
            </w:r>
          </w:p>
        </w:tc>
        <w:tc>
          <w:tcPr>
            <w:tcW w:w="741" w:type="dxa"/>
            <w:vAlign w:val="center"/>
          </w:tcPr>
          <w:p w14:paraId="68613920">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43" w:type="dxa"/>
            <w:vAlign w:val="center"/>
          </w:tcPr>
          <w:p w14:paraId="65E70510">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41" w:type="dxa"/>
            <w:vAlign w:val="center"/>
          </w:tcPr>
          <w:p w14:paraId="3535A4AE">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63" w:type="dxa"/>
            <w:vAlign w:val="center"/>
          </w:tcPr>
          <w:p w14:paraId="658ED393">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41" w:type="dxa"/>
            <w:vAlign w:val="center"/>
          </w:tcPr>
          <w:p w14:paraId="70B46C68">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43" w:type="dxa"/>
            <w:vAlign w:val="center"/>
          </w:tcPr>
          <w:p w14:paraId="087A5C1E">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41" w:type="dxa"/>
            <w:vAlign w:val="center"/>
          </w:tcPr>
          <w:p w14:paraId="6983E5FB">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c>
          <w:tcPr>
            <w:tcW w:w="750" w:type="dxa"/>
            <w:vAlign w:val="center"/>
          </w:tcPr>
          <w:p w14:paraId="6E474264">
            <w:pPr>
              <w:widowControl/>
              <w:spacing w:line="200" w:lineRule="exact"/>
              <w:ind w:left="-105" w:leftChars="-50" w:right="-105" w:rightChars="-5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rPr>
              <w:t>0</w:t>
            </w:r>
          </w:p>
        </w:tc>
      </w:tr>
      <w:tr w14:paraId="440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39BC42E7">
            <w:pPr>
              <w:widowControl/>
              <w:spacing w:line="200" w:lineRule="exact"/>
              <w:jc w:val="left"/>
              <w:rPr>
                <w:rFonts w:ascii="宋体" w:hAnsi="宋体" w:cs="宋体"/>
                <w:color w:val="auto"/>
                <w:kern w:val="0"/>
                <w:sz w:val="18"/>
                <w:szCs w:val="18"/>
                <w:highlight w:val="none"/>
              </w:rPr>
            </w:pPr>
          </w:p>
        </w:tc>
        <w:tc>
          <w:tcPr>
            <w:tcW w:w="1053" w:type="dxa"/>
            <w:vAlign w:val="center"/>
          </w:tcPr>
          <w:p w14:paraId="7E51AFB5">
            <w:pPr>
              <w:widowControl/>
              <w:spacing w:line="200" w:lineRule="exact"/>
              <w:ind w:left="-105" w:leftChars="-50" w:right="-105" w:rightChars="-5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≥70</w:t>
            </w:r>
          </w:p>
        </w:tc>
        <w:tc>
          <w:tcPr>
            <w:tcW w:w="742" w:type="dxa"/>
            <w:vAlign w:val="center"/>
          </w:tcPr>
          <w:p w14:paraId="1B527961">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w:t>
            </w:r>
          </w:p>
        </w:tc>
        <w:tc>
          <w:tcPr>
            <w:tcW w:w="744" w:type="dxa"/>
            <w:vAlign w:val="center"/>
          </w:tcPr>
          <w:p w14:paraId="12A7FEBA">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w:t>
            </w:r>
          </w:p>
        </w:tc>
        <w:tc>
          <w:tcPr>
            <w:tcW w:w="742" w:type="dxa"/>
            <w:noWrap/>
            <w:vAlign w:val="center"/>
          </w:tcPr>
          <w:p w14:paraId="5F75F7C5">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w:t>
            </w:r>
          </w:p>
        </w:tc>
        <w:tc>
          <w:tcPr>
            <w:tcW w:w="744" w:type="dxa"/>
            <w:noWrap/>
            <w:vAlign w:val="center"/>
          </w:tcPr>
          <w:p w14:paraId="78D24228">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w:t>
            </w:r>
          </w:p>
        </w:tc>
        <w:tc>
          <w:tcPr>
            <w:tcW w:w="742" w:type="dxa"/>
            <w:vAlign w:val="center"/>
          </w:tcPr>
          <w:p w14:paraId="5B223FB4">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3" w:type="dxa"/>
            <w:vAlign w:val="center"/>
          </w:tcPr>
          <w:p w14:paraId="5D04F388">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1" w:type="dxa"/>
            <w:vAlign w:val="center"/>
          </w:tcPr>
          <w:p w14:paraId="488B3A87">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3" w:type="dxa"/>
            <w:vAlign w:val="center"/>
          </w:tcPr>
          <w:p w14:paraId="0394B588">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-0.1</w:t>
            </w:r>
          </w:p>
        </w:tc>
        <w:tc>
          <w:tcPr>
            <w:tcW w:w="741" w:type="dxa"/>
            <w:vAlign w:val="center"/>
          </w:tcPr>
          <w:p w14:paraId="1F1DB30D">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3" w:type="dxa"/>
            <w:vAlign w:val="center"/>
          </w:tcPr>
          <w:p w14:paraId="717A834F">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-0.2</w:t>
            </w:r>
          </w:p>
        </w:tc>
        <w:tc>
          <w:tcPr>
            <w:tcW w:w="741" w:type="dxa"/>
            <w:vAlign w:val="center"/>
          </w:tcPr>
          <w:p w14:paraId="01A0ABB5">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63" w:type="dxa"/>
            <w:vAlign w:val="center"/>
          </w:tcPr>
          <w:p w14:paraId="69E0698F">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41" w:type="dxa"/>
            <w:vAlign w:val="center"/>
          </w:tcPr>
          <w:p w14:paraId="1FDDCB02">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43" w:type="dxa"/>
            <w:vAlign w:val="center"/>
          </w:tcPr>
          <w:p w14:paraId="4A186EBE">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-0.2</w:t>
            </w:r>
          </w:p>
        </w:tc>
        <w:tc>
          <w:tcPr>
            <w:tcW w:w="741" w:type="dxa"/>
            <w:vAlign w:val="center"/>
          </w:tcPr>
          <w:p w14:paraId="541DF5AF">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-0.1</w:t>
            </w:r>
          </w:p>
        </w:tc>
        <w:tc>
          <w:tcPr>
            <w:tcW w:w="750" w:type="dxa"/>
            <w:vAlign w:val="center"/>
          </w:tcPr>
          <w:p w14:paraId="432D1890">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color w:val="auto"/>
                <w:kern w:val="0"/>
                <w:sz w:val="18"/>
                <w:szCs w:val="18"/>
                <w:highlight w:val="none"/>
                <w:u w:val="none"/>
                <w:lang w:val="en-US" w:eastAsia="zh-CN" w:bidi="ar"/>
              </w:rPr>
              <w:t>-0.1</w:t>
            </w:r>
          </w:p>
        </w:tc>
      </w:tr>
    </w:tbl>
    <w:p w14:paraId="33F494D6">
      <w:pP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br w:type="page"/>
      </w:r>
    </w:p>
    <w:p w14:paraId="60E40E0B">
      <w:pPr>
        <w:widowControl/>
        <w:tabs>
          <w:tab w:val="left" w:pos="2073"/>
          <w:tab w:val="left" w:pos="2650"/>
          <w:tab w:val="left" w:pos="3366"/>
          <w:tab w:val="left" w:pos="3925"/>
          <w:tab w:val="left" w:pos="4441"/>
          <w:tab w:val="left" w:pos="4957"/>
          <w:tab w:val="left" w:pos="5473"/>
          <w:tab w:val="left" w:pos="6049"/>
          <w:tab w:val="left" w:pos="6625"/>
          <w:tab w:val="left" w:pos="7201"/>
          <w:tab w:val="left" w:pos="7777"/>
          <w:tab w:val="left" w:pos="8353"/>
          <w:tab w:val="left" w:pos="8929"/>
          <w:tab w:val="left" w:pos="9568"/>
          <w:tab w:val="left" w:pos="10188"/>
          <w:tab w:val="left" w:pos="10804"/>
          <w:tab w:val="left" w:pos="11420"/>
          <w:tab w:val="left" w:pos="11996"/>
          <w:tab w:val="left" w:pos="12572"/>
          <w:tab w:val="left" w:pos="13011"/>
          <w:tab w:val="left" w:pos="13450"/>
          <w:tab w:val="left" w:pos="13889"/>
          <w:tab w:val="left" w:pos="14328"/>
          <w:tab w:val="left" w:pos="14784"/>
        </w:tabs>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附件2</w:t>
      </w:r>
    </w:p>
    <w:p w14:paraId="2E520356">
      <w:pPr>
        <w:widowControl/>
        <w:ind w:left="84"/>
        <w:jc w:val="center"/>
        <w:rPr>
          <w:rFonts w:hint="eastAsia" w:ascii="方正小标宋简体" w:hAnsi="宋体" w:eastAsia="方正小标宋简体" w:cs="宋体"/>
          <w:color w:val="auto"/>
          <w:kern w:val="0"/>
          <w:sz w:val="44"/>
          <w:szCs w:val="44"/>
          <w:highlight w:val="none"/>
          <w:lang w:eastAsia="zh-CN"/>
        </w:rPr>
      </w:pPr>
      <w:r>
        <w:rPr>
          <w:rFonts w:hint="eastAsia" w:ascii="方正小标宋简体" w:hAnsi="宋体" w:eastAsia="方正小标宋简体" w:cs="宋体"/>
          <w:color w:val="auto"/>
          <w:kern w:val="0"/>
          <w:sz w:val="44"/>
          <w:szCs w:val="44"/>
          <w:highlight w:val="none"/>
          <w:lang w:eastAsia="zh-CN"/>
        </w:rPr>
        <w:t>炎陵县低收入</w:t>
      </w:r>
      <w:r>
        <w:rPr>
          <w:rFonts w:hint="eastAsia" w:ascii="方正小标宋简体" w:hAnsi="宋体" w:eastAsia="方正小标宋简体" w:cs="宋体"/>
          <w:color w:val="auto"/>
          <w:kern w:val="0"/>
          <w:sz w:val="44"/>
          <w:szCs w:val="44"/>
          <w:highlight w:val="none"/>
        </w:rPr>
        <w:t>家庭</w:t>
      </w:r>
      <w:r>
        <w:rPr>
          <w:rFonts w:hint="eastAsia" w:ascii="方正小标宋简体" w:hAnsi="宋体" w:eastAsia="方正小标宋简体" w:cs="宋体"/>
          <w:color w:val="auto"/>
          <w:kern w:val="0"/>
          <w:sz w:val="44"/>
          <w:szCs w:val="44"/>
          <w:highlight w:val="none"/>
          <w:lang w:eastAsia="zh-CN"/>
        </w:rPr>
        <w:t>支出</w:t>
      </w:r>
      <w:r>
        <w:rPr>
          <w:rFonts w:hint="eastAsia" w:ascii="方正小标宋简体" w:hAnsi="宋体" w:eastAsia="方正小标宋简体" w:cs="宋体"/>
          <w:color w:val="auto"/>
          <w:kern w:val="0"/>
          <w:sz w:val="44"/>
          <w:szCs w:val="44"/>
          <w:highlight w:val="none"/>
        </w:rPr>
        <w:t>扣减</w:t>
      </w:r>
      <w:r>
        <w:rPr>
          <w:rFonts w:hint="eastAsia" w:ascii="方正小标宋简体" w:hAnsi="宋体" w:eastAsia="方正小标宋简体" w:cs="宋体"/>
          <w:color w:val="auto"/>
          <w:kern w:val="0"/>
          <w:sz w:val="44"/>
          <w:szCs w:val="44"/>
          <w:highlight w:val="none"/>
          <w:lang w:eastAsia="zh-CN"/>
        </w:rPr>
        <w:t>标准表</w:t>
      </w:r>
    </w:p>
    <w:tbl>
      <w:tblPr>
        <w:tblStyle w:val="8"/>
        <w:tblW w:w="0" w:type="auto"/>
        <w:jc w:val="center"/>
        <w:tblLayout w:type="fixed"/>
        <w:tblCellMar>
          <w:top w:w="0" w:type="dxa"/>
          <w:left w:w="108" w:type="dxa"/>
          <w:bottom w:w="0" w:type="dxa"/>
          <w:right w:w="108" w:type="dxa"/>
        </w:tblCellMar>
      </w:tblPr>
      <w:tblGrid>
        <w:gridCol w:w="943"/>
        <w:gridCol w:w="5745"/>
        <w:gridCol w:w="6270"/>
      </w:tblGrid>
      <w:tr w14:paraId="28DAAEF1">
        <w:tblPrEx>
          <w:tblCellMar>
            <w:top w:w="0" w:type="dxa"/>
            <w:left w:w="108" w:type="dxa"/>
            <w:bottom w:w="0" w:type="dxa"/>
            <w:right w:w="108" w:type="dxa"/>
          </w:tblCellMar>
        </w:tblPrEx>
        <w:trPr>
          <w:trHeight w:val="622"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2F5DA2C5">
            <w:pPr>
              <w:widowControl/>
              <w:jc w:val="center"/>
              <w:rPr>
                <w:rFonts w:ascii="黑体" w:hAnsi="黑体" w:eastAsia="黑体" w:cs="宋体"/>
                <w:color w:val="auto"/>
                <w:kern w:val="0"/>
                <w:sz w:val="32"/>
                <w:szCs w:val="36"/>
                <w:highlight w:val="none"/>
              </w:rPr>
            </w:pPr>
            <w:r>
              <w:rPr>
                <w:rFonts w:hint="eastAsia" w:ascii="黑体" w:hAnsi="黑体" w:eastAsia="黑体" w:cs="宋体"/>
                <w:color w:val="auto"/>
                <w:kern w:val="0"/>
                <w:sz w:val="32"/>
                <w:szCs w:val="36"/>
                <w:highlight w:val="none"/>
              </w:rPr>
              <w:t>序号</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1EDB20BA">
            <w:pPr>
              <w:widowControl/>
              <w:jc w:val="center"/>
              <w:rPr>
                <w:rFonts w:ascii="黑体" w:hAnsi="黑体" w:eastAsia="黑体" w:cs="宋体"/>
                <w:color w:val="auto"/>
                <w:kern w:val="0"/>
                <w:sz w:val="32"/>
                <w:szCs w:val="36"/>
                <w:highlight w:val="none"/>
              </w:rPr>
            </w:pPr>
            <w:r>
              <w:rPr>
                <w:rFonts w:hint="eastAsia" w:ascii="黑体" w:hAnsi="黑体" w:eastAsia="黑体" w:cs="宋体"/>
                <w:color w:val="auto"/>
                <w:kern w:val="0"/>
                <w:sz w:val="32"/>
                <w:szCs w:val="36"/>
                <w:highlight w:val="none"/>
              </w:rPr>
              <w:t>扣减类别</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2FA44FA5">
            <w:pPr>
              <w:widowControl/>
              <w:jc w:val="center"/>
              <w:rPr>
                <w:rFonts w:ascii="黑体" w:hAnsi="黑体" w:eastAsia="黑体" w:cs="宋体"/>
                <w:color w:val="auto"/>
                <w:kern w:val="0"/>
                <w:sz w:val="32"/>
                <w:szCs w:val="36"/>
                <w:highlight w:val="none"/>
              </w:rPr>
            </w:pPr>
            <w:r>
              <w:rPr>
                <w:rFonts w:hint="eastAsia" w:ascii="黑体" w:hAnsi="黑体" w:eastAsia="黑体" w:cs="宋体"/>
                <w:color w:val="auto"/>
                <w:kern w:val="0"/>
                <w:sz w:val="32"/>
                <w:szCs w:val="36"/>
                <w:highlight w:val="none"/>
              </w:rPr>
              <w:t>扣减标准</w:t>
            </w:r>
          </w:p>
        </w:tc>
      </w:tr>
      <w:tr w14:paraId="5AA35B0D">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3D4A6FD2">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27ABB105">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养老保险费用</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1717C730">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按当年最低缴纳标准个人部分计算</w:t>
            </w:r>
          </w:p>
        </w:tc>
      </w:tr>
      <w:tr w14:paraId="5298245E">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315B0E84">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0C2CA7AE">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基本医疗保险个人缴费</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28164D5F">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按当年最低缴纳标准个人部分计算</w:t>
            </w:r>
          </w:p>
        </w:tc>
      </w:tr>
      <w:tr w14:paraId="63520DD2">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27D0CA1F">
            <w:pPr>
              <w:widowControl/>
              <w:jc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7FCBB7E4">
            <w:pPr>
              <w:widowControl/>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普惠性幼儿园费用</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228B3CC6">
            <w:pPr>
              <w:widowControl/>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最高不超过</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000元/年</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人</w:t>
            </w:r>
          </w:p>
        </w:tc>
      </w:tr>
      <w:tr w14:paraId="59B0A6C8">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6334C8AC">
            <w:pPr>
              <w:widowControl/>
              <w:jc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4</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16783D54">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高中教育费用</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46F41972">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最高不超过</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000元/年</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人</w:t>
            </w:r>
          </w:p>
        </w:tc>
      </w:tr>
      <w:tr w14:paraId="664ACA6F">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1EF35A3B">
            <w:pPr>
              <w:widowControl/>
              <w:jc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5</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781C4DB7">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大专及本科教育费用</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2CAC1777">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最高不超过</w:t>
            </w:r>
            <w:r>
              <w:rPr>
                <w:rFonts w:hint="eastAsia" w:ascii="仿宋_GB2312" w:hAnsi="仿宋_GB2312" w:eastAsia="仿宋_GB2312" w:cs="仿宋_GB2312"/>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000元/年</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人</w:t>
            </w:r>
          </w:p>
        </w:tc>
      </w:tr>
      <w:tr w14:paraId="654509FE">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1A9C1843">
            <w:pPr>
              <w:widowControl/>
              <w:jc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6</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686F6846">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当年个人自付</w:t>
            </w:r>
            <w:r>
              <w:rPr>
                <w:rFonts w:hint="eastAsia" w:ascii="仿宋_GB2312" w:hAnsi="仿宋_GB2312" w:eastAsia="仿宋_GB2312" w:cs="仿宋_GB2312"/>
                <w:color w:val="auto"/>
                <w:kern w:val="0"/>
                <w:sz w:val="32"/>
                <w:szCs w:val="32"/>
                <w:highlight w:val="none"/>
                <w:lang w:eastAsia="zh-CN"/>
              </w:rPr>
              <w:t>合规</w:t>
            </w:r>
            <w:r>
              <w:rPr>
                <w:rFonts w:hint="eastAsia" w:ascii="仿宋_GB2312" w:hAnsi="仿宋_GB2312" w:eastAsia="仿宋_GB2312" w:cs="仿宋_GB2312"/>
                <w:color w:val="auto"/>
                <w:kern w:val="0"/>
                <w:sz w:val="32"/>
                <w:szCs w:val="32"/>
                <w:highlight w:val="none"/>
              </w:rPr>
              <w:t>医疗费用</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7388E267">
            <w:pPr>
              <w:widowControl/>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最高不超过</w:t>
            </w:r>
            <w:r>
              <w:rPr>
                <w:rFonts w:hint="eastAsia" w:ascii="仿宋_GB2312" w:hAnsi="仿宋_GB2312" w:eastAsia="仿宋_GB2312" w:cs="仿宋_GB2312"/>
                <w:color w:val="auto"/>
                <w:kern w:val="0"/>
                <w:sz w:val="32"/>
                <w:szCs w:val="32"/>
                <w:highlight w:val="none"/>
                <w:lang w:val="en-US" w:eastAsia="zh-CN"/>
              </w:rPr>
              <w:t>5万元。</w:t>
            </w:r>
          </w:p>
        </w:tc>
      </w:tr>
      <w:tr w14:paraId="3F7E45BA">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15F5C5B8">
            <w:pPr>
              <w:widowControl/>
              <w:jc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7</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26EDC849">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半失能照料护理费</w:t>
            </w:r>
          </w:p>
          <w:p w14:paraId="41EA52E5">
            <w:pPr>
              <w:widowControl/>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0至3岁幼儿参照执行</w:t>
            </w:r>
            <w:r>
              <w:rPr>
                <w:rFonts w:hint="eastAsia" w:ascii="仿宋_GB2312" w:hAnsi="仿宋_GB2312" w:eastAsia="仿宋_GB2312" w:cs="仿宋_GB2312"/>
                <w:color w:val="auto"/>
                <w:kern w:val="0"/>
                <w:sz w:val="32"/>
                <w:szCs w:val="32"/>
                <w:highlight w:val="none"/>
                <w:lang w:eastAsia="zh-CN"/>
              </w:rPr>
              <w:t>）</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04C26365">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按照最低工资标准的</w:t>
            </w:r>
            <w:r>
              <w:rPr>
                <w:rFonts w:hint="eastAsia" w:ascii="仿宋_GB2312" w:hAnsi="仿宋_GB2312" w:eastAsia="仿宋_GB2312" w:cs="仿宋_GB2312"/>
                <w:color w:val="auto"/>
                <w:kern w:val="0"/>
                <w:sz w:val="32"/>
                <w:szCs w:val="32"/>
                <w:highlight w:val="none"/>
                <w:lang w:val="en-US" w:eastAsia="zh-CN"/>
              </w:rPr>
              <w:t>1/6</w:t>
            </w:r>
            <w:r>
              <w:rPr>
                <w:rFonts w:hint="eastAsia" w:ascii="仿宋_GB2312" w:hAnsi="仿宋_GB2312" w:eastAsia="仿宋_GB2312" w:cs="仿宋_GB2312"/>
                <w:color w:val="auto"/>
                <w:kern w:val="0"/>
                <w:sz w:val="32"/>
                <w:szCs w:val="32"/>
                <w:highlight w:val="none"/>
              </w:rPr>
              <w:t>计算</w:t>
            </w:r>
          </w:p>
        </w:tc>
      </w:tr>
      <w:tr w14:paraId="49381C8F">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5B2E4636">
            <w:pPr>
              <w:widowControl/>
              <w:jc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8</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44907C5D">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全失能照料护理费</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386EA95C">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按照最低工资标准</w:t>
            </w:r>
            <w:r>
              <w:rPr>
                <w:rFonts w:hint="eastAsia" w:ascii="仿宋_GB2312" w:hAnsi="仿宋_GB2312" w:eastAsia="仿宋_GB2312" w:cs="仿宋_GB2312"/>
                <w:color w:val="auto"/>
                <w:kern w:val="0"/>
                <w:sz w:val="32"/>
                <w:szCs w:val="32"/>
                <w:highlight w:val="none"/>
                <w:lang w:val="en-US" w:eastAsia="zh-CN"/>
              </w:rPr>
              <w:t>1/3</w:t>
            </w:r>
            <w:r>
              <w:rPr>
                <w:rFonts w:hint="eastAsia" w:ascii="仿宋_GB2312" w:hAnsi="仿宋_GB2312" w:eastAsia="仿宋_GB2312" w:cs="仿宋_GB2312"/>
                <w:color w:val="auto"/>
                <w:kern w:val="0"/>
                <w:sz w:val="32"/>
                <w:szCs w:val="32"/>
                <w:highlight w:val="none"/>
              </w:rPr>
              <w:t>计算</w:t>
            </w:r>
          </w:p>
        </w:tc>
      </w:tr>
      <w:tr w14:paraId="1CB34BEE">
        <w:tblPrEx>
          <w:tblCellMar>
            <w:top w:w="0" w:type="dxa"/>
            <w:left w:w="108" w:type="dxa"/>
            <w:bottom w:w="0" w:type="dxa"/>
            <w:right w:w="108" w:type="dxa"/>
          </w:tblCellMar>
        </w:tblPrEx>
        <w:trPr>
          <w:trHeight w:val="743"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5DF655C0">
            <w:pPr>
              <w:widowControl/>
              <w:jc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9</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7B119D13">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其它</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7E4D36F3">
            <w:pPr>
              <w:widowControl/>
              <w:jc w:val="left"/>
              <w:rPr>
                <w:rFonts w:hint="eastAsia" w:ascii="仿宋_GB2312" w:hAnsi="仿宋_GB2312" w:eastAsia="仿宋_GB2312" w:cs="仿宋_GB2312"/>
                <w:color w:val="auto"/>
                <w:kern w:val="0"/>
                <w:sz w:val="32"/>
                <w:szCs w:val="32"/>
                <w:highlight w:val="none"/>
              </w:rPr>
            </w:pPr>
          </w:p>
        </w:tc>
      </w:tr>
    </w:tbl>
    <w:p w14:paraId="3C187DB5">
      <w:pPr>
        <w:keepNext w:val="0"/>
        <w:keepLines w:val="0"/>
        <w:pageBreakBefore w:val="0"/>
        <w:kinsoku/>
        <w:wordWrap/>
        <w:overflowPunct/>
        <w:topLinePunct w:val="0"/>
        <w:bidi w:val="0"/>
        <w:snapToGrid/>
        <w:spacing w:line="580" w:lineRule="exac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rPr>
        <w:t>附件</w:t>
      </w:r>
      <w:r>
        <w:rPr>
          <w:rFonts w:hint="eastAsia" w:ascii="仿宋_GB2312" w:hAnsi="仿宋_GB2312" w:eastAsia="仿宋_GB2312" w:cs="仿宋_GB2312"/>
          <w:color w:val="auto"/>
          <w:sz w:val="28"/>
          <w:szCs w:val="28"/>
          <w:highlight w:val="none"/>
          <w:lang w:val="en-US" w:eastAsia="zh-CN"/>
        </w:rPr>
        <w:t>3</w:t>
      </w:r>
    </w:p>
    <w:p w14:paraId="488F3209">
      <w:pPr>
        <w:keepNext w:val="0"/>
        <w:keepLines w:val="0"/>
        <w:pageBreakBefore w:val="0"/>
        <w:kinsoku/>
        <w:wordWrap/>
        <w:overflowPunct/>
        <w:topLinePunct w:val="0"/>
        <w:bidi w:val="0"/>
        <w:snapToGrid/>
        <w:spacing w:line="58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生活自理能力评估细则</w:t>
      </w:r>
    </w:p>
    <w:tbl>
      <w:tblPr>
        <w:tblStyle w:val="8"/>
        <w:tblW w:w="14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35"/>
        <w:gridCol w:w="10442"/>
        <w:gridCol w:w="992"/>
      </w:tblGrid>
      <w:tr w14:paraId="4F74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17" w:type="dxa"/>
            <w:noWrap w:val="0"/>
            <w:vAlign w:val="center"/>
          </w:tcPr>
          <w:p w14:paraId="2B4E907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序号</w:t>
            </w:r>
          </w:p>
        </w:tc>
        <w:tc>
          <w:tcPr>
            <w:tcW w:w="2035" w:type="dxa"/>
            <w:noWrap w:val="0"/>
            <w:vAlign w:val="center"/>
          </w:tcPr>
          <w:p w14:paraId="093A111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评估指标</w:t>
            </w:r>
          </w:p>
        </w:tc>
        <w:tc>
          <w:tcPr>
            <w:tcW w:w="10442" w:type="dxa"/>
            <w:noWrap w:val="0"/>
            <w:vAlign w:val="center"/>
          </w:tcPr>
          <w:p w14:paraId="3F51A2B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评估细则</w:t>
            </w:r>
          </w:p>
        </w:tc>
        <w:tc>
          <w:tcPr>
            <w:tcW w:w="992" w:type="dxa"/>
            <w:noWrap w:val="0"/>
            <w:vAlign w:val="center"/>
          </w:tcPr>
          <w:p w14:paraId="0A48E4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是否</w:t>
            </w:r>
          </w:p>
          <w:p w14:paraId="6A32F6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达标</w:t>
            </w:r>
          </w:p>
        </w:tc>
      </w:tr>
      <w:tr w14:paraId="18C8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Merge w:val="restart"/>
            <w:noWrap w:val="0"/>
            <w:vAlign w:val="center"/>
          </w:tcPr>
          <w:p w14:paraId="7BEED28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p>
          <w:p w14:paraId="154943B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p>
        </w:tc>
        <w:tc>
          <w:tcPr>
            <w:tcW w:w="2035" w:type="dxa"/>
            <w:vMerge w:val="restart"/>
            <w:noWrap w:val="0"/>
            <w:vAlign w:val="center"/>
          </w:tcPr>
          <w:p w14:paraId="57DFACD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自主吃饭</w:t>
            </w:r>
          </w:p>
          <w:p w14:paraId="3DF2F65E">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指经口进食，能够准确使用餐具，将食物从桌上或托盘中送入口中、咀嚼、吞咽的行为能力。</w:t>
            </w:r>
          </w:p>
        </w:tc>
        <w:tc>
          <w:tcPr>
            <w:tcW w:w="10442" w:type="dxa"/>
            <w:noWrap w:val="0"/>
            <w:vAlign w:val="center"/>
          </w:tcPr>
          <w:p w14:paraId="7B7F142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可独立完成：</w:t>
            </w:r>
          </w:p>
          <w:p w14:paraId="1FBBCA33">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①可在30分钟内自主完成进食，不需要他人监护、提示、协助；</w:t>
            </w:r>
          </w:p>
          <w:p w14:paraId="39D77397">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②在不需要他人引导和协助的情况下，可以通过使用辅助工具、自助餐具完成进食，如弹性筷子、把手加粗或加长的叉（匙）等。</w:t>
            </w:r>
          </w:p>
        </w:tc>
        <w:tc>
          <w:tcPr>
            <w:tcW w:w="992" w:type="dxa"/>
            <w:noWrap w:val="0"/>
            <w:vAlign w:val="center"/>
          </w:tcPr>
          <w:p w14:paraId="461D64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是</w:t>
            </w:r>
          </w:p>
        </w:tc>
      </w:tr>
      <w:tr w14:paraId="6909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817" w:type="dxa"/>
            <w:vMerge w:val="continue"/>
            <w:noWrap w:val="0"/>
            <w:vAlign w:val="center"/>
          </w:tcPr>
          <w:p w14:paraId="62139C8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p>
        </w:tc>
        <w:tc>
          <w:tcPr>
            <w:tcW w:w="2035" w:type="dxa"/>
            <w:vMerge w:val="continue"/>
            <w:noWrap w:val="0"/>
            <w:vAlign w:val="center"/>
          </w:tcPr>
          <w:p w14:paraId="5B0CDE0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highlight w:val="none"/>
              </w:rPr>
            </w:pPr>
          </w:p>
        </w:tc>
        <w:tc>
          <w:tcPr>
            <w:tcW w:w="10442" w:type="dxa"/>
            <w:noWrap w:val="0"/>
            <w:vAlign w:val="center"/>
          </w:tcPr>
          <w:p w14:paraId="22C78D9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需要帮助或留置营养管：</w:t>
            </w:r>
          </w:p>
          <w:p w14:paraId="0F6450BD">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①在进食过程中，需要有他人在旁监护、提示、协助，如协助剥皮、去鱼刺后将食物放在勺子上才能完成进食；</w:t>
            </w:r>
          </w:p>
          <w:p w14:paraId="5E7EBB8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②无法独立进食必须依赖他人，或需要留置营养管、注射营养液等。</w:t>
            </w:r>
          </w:p>
        </w:tc>
        <w:tc>
          <w:tcPr>
            <w:tcW w:w="992" w:type="dxa"/>
            <w:noWrap w:val="0"/>
            <w:vAlign w:val="center"/>
          </w:tcPr>
          <w:p w14:paraId="7126DD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否</w:t>
            </w:r>
          </w:p>
        </w:tc>
      </w:tr>
      <w:tr w14:paraId="41BA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17" w:type="dxa"/>
            <w:vMerge w:val="restart"/>
            <w:noWrap w:val="0"/>
            <w:vAlign w:val="center"/>
          </w:tcPr>
          <w:p w14:paraId="2146FE4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w:t>
            </w:r>
          </w:p>
          <w:p w14:paraId="605ED6C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p>
        </w:tc>
        <w:tc>
          <w:tcPr>
            <w:tcW w:w="2035" w:type="dxa"/>
            <w:vMerge w:val="restart"/>
            <w:noWrap w:val="0"/>
            <w:vAlign w:val="center"/>
          </w:tcPr>
          <w:p w14:paraId="6DB6A56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自主穿衣</w:t>
            </w:r>
          </w:p>
          <w:p w14:paraId="302C4CE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指穿脱平常在穿的上下身衣物、鞋子等的行为能力，包括上提裤子、系扣子、拉拉链、系鞋带等动作。</w:t>
            </w:r>
          </w:p>
        </w:tc>
        <w:tc>
          <w:tcPr>
            <w:tcW w:w="10442" w:type="dxa"/>
            <w:noWrap w:val="0"/>
            <w:vAlign w:val="center"/>
          </w:tcPr>
          <w:p w14:paraId="1984BB6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可独立完成：</w:t>
            </w:r>
          </w:p>
          <w:p w14:paraId="1C8EB63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能够独立或在借助辅助工具的情况下完成“自主穿衣”定义中的所有行为。</w:t>
            </w:r>
          </w:p>
        </w:tc>
        <w:tc>
          <w:tcPr>
            <w:tcW w:w="992" w:type="dxa"/>
            <w:noWrap w:val="0"/>
            <w:vAlign w:val="center"/>
          </w:tcPr>
          <w:p w14:paraId="5D4663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是</w:t>
            </w:r>
          </w:p>
        </w:tc>
      </w:tr>
      <w:tr w14:paraId="559C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Merge w:val="continue"/>
            <w:noWrap w:val="0"/>
            <w:vAlign w:val="center"/>
          </w:tcPr>
          <w:p w14:paraId="45BE1E1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p>
        </w:tc>
        <w:tc>
          <w:tcPr>
            <w:tcW w:w="2035" w:type="dxa"/>
            <w:vMerge w:val="continue"/>
            <w:noWrap w:val="0"/>
            <w:vAlign w:val="center"/>
          </w:tcPr>
          <w:p w14:paraId="483F1F8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highlight w:val="none"/>
              </w:rPr>
            </w:pPr>
          </w:p>
        </w:tc>
        <w:tc>
          <w:tcPr>
            <w:tcW w:w="10442" w:type="dxa"/>
            <w:noWrap w:val="0"/>
            <w:vAlign w:val="center"/>
          </w:tcPr>
          <w:p w14:paraId="11B0C87E">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需要帮助或依赖他人：</w:t>
            </w:r>
          </w:p>
          <w:p w14:paraId="12F8784C">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①需要部分协助才能完成穿脱，如能够自行抬脚穿过裤管，但是需要他人协助上提裤子、拉拉链等；</w:t>
            </w:r>
          </w:p>
          <w:p w14:paraId="416BE415">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②能够穿脱衣物，但是不知道按照什么顺序，需要他人在一旁指导；</w:t>
            </w:r>
          </w:p>
          <w:p w14:paraId="32BD7644">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③“穿衣”定义中每项行为都无法独立完成，依赖他人帮助。</w:t>
            </w:r>
          </w:p>
        </w:tc>
        <w:tc>
          <w:tcPr>
            <w:tcW w:w="992" w:type="dxa"/>
            <w:noWrap w:val="0"/>
            <w:vAlign w:val="center"/>
          </w:tcPr>
          <w:p w14:paraId="1C2971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否</w:t>
            </w:r>
          </w:p>
        </w:tc>
      </w:tr>
      <w:tr w14:paraId="5A0A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vMerge w:val="restart"/>
            <w:noWrap w:val="0"/>
            <w:vAlign w:val="center"/>
          </w:tcPr>
          <w:p w14:paraId="6D17D30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3</w:t>
            </w:r>
          </w:p>
          <w:p w14:paraId="0BDCD08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p>
        </w:tc>
        <w:tc>
          <w:tcPr>
            <w:tcW w:w="2035" w:type="dxa"/>
            <w:vMerge w:val="restart"/>
            <w:noWrap w:val="0"/>
            <w:vAlign w:val="center"/>
          </w:tcPr>
          <w:p w14:paraId="1EBDC1E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自主上下床</w:t>
            </w:r>
          </w:p>
          <w:p w14:paraId="7E5DC2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指完成“从床到椅子（坐便器）”来回全过程的行为能力，包括移动臀部、转身、移动、坐下等动作。</w:t>
            </w:r>
          </w:p>
        </w:tc>
        <w:tc>
          <w:tcPr>
            <w:tcW w:w="10442" w:type="dxa"/>
            <w:noWrap w:val="0"/>
            <w:vAlign w:val="center"/>
          </w:tcPr>
          <w:p w14:paraId="53DE1B57">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可独立完成：</w:t>
            </w:r>
          </w:p>
          <w:p w14:paraId="05FA5B0E">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能够独立或在借助辅助工具的情况下完成“自主上下床”定义中的所有行为。</w:t>
            </w:r>
          </w:p>
        </w:tc>
        <w:tc>
          <w:tcPr>
            <w:tcW w:w="992" w:type="dxa"/>
            <w:noWrap w:val="0"/>
            <w:vAlign w:val="center"/>
          </w:tcPr>
          <w:p w14:paraId="0D03EF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是</w:t>
            </w:r>
          </w:p>
        </w:tc>
      </w:tr>
      <w:tr w14:paraId="11D2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817" w:type="dxa"/>
            <w:vMerge w:val="continue"/>
            <w:noWrap w:val="0"/>
            <w:vAlign w:val="center"/>
          </w:tcPr>
          <w:p w14:paraId="3830D0D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p>
        </w:tc>
        <w:tc>
          <w:tcPr>
            <w:tcW w:w="2035" w:type="dxa"/>
            <w:vMerge w:val="continue"/>
            <w:noWrap w:val="0"/>
            <w:vAlign w:val="center"/>
          </w:tcPr>
          <w:p w14:paraId="53CF111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highlight w:val="none"/>
              </w:rPr>
            </w:pPr>
          </w:p>
        </w:tc>
        <w:tc>
          <w:tcPr>
            <w:tcW w:w="10442" w:type="dxa"/>
            <w:noWrap w:val="0"/>
            <w:vAlign w:val="center"/>
          </w:tcPr>
          <w:p w14:paraId="7861A5C8">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需要帮助或依赖他人：</w:t>
            </w:r>
          </w:p>
          <w:p w14:paraId="7731BF0C">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①基于安全考虑，在转移时需要他人在一旁监护或协助；</w:t>
            </w:r>
          </w:p>
          <w:p w14:paraId="73A16F5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②较大程度上依赖他人搀扶或帮助；</w:t>
            </w:r>
          </w:p>
          <w:p w14:paraId="1ABD042E">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③完全没有能力完成床椅转移的动作，全程需要他人抱或搬动。包括常年卧床，需要依赖他人帮助翻身，不发生床椅转移的对象。</w:t>
            </w:r>
          </w:p>
        </w:tc>
        <w:tc>
          <w:tcPr>
            <w:tcW w:w="992" w:type="dxa"/>
            <w:noWrap w:val="0"/>
            <w:vAlign w:val="center"/>
          </w:tcPr>
          <w:p w14:paraId="24F00A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否</w:t>
            </w:r>
          </w:p>
        </w:tc>
      </w:tr>
      <w:tr w14:paraId="3599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17" w:type="dxa"/>
            <w:vMerge w:val="restart"/>
            <w:noWrap w:val="0"/>
            <w:vAlign w:val="center"/>
          </w:tcPr>
          <w:p w14:paraId="5ABCC92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4</w:t>
            </w:r>
          </w:p>
          <w:p w14:paraId="3B308D8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p>
        </w:tc>
        <w:tc>
          <w:tcPr>
            <w:tcW w:w="2035" w:type="dxa"/>
            <w:vMerge w:val="restart"/>
            <w:noWrap w:val="0"/>
            <w:vAlign w:val="center"/>
          </w:tcPr>
          <w:p w14:paraId="49EB7A3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自主如厕</w:t>
            </w:r>
          </w:p>
          <w:p w14:paraId="69050A5C">
            <w:pPr>
              <w:keepNext w:val="0"/>
              <w:keepLines w:val="0"/>
              <w:pageBreakBefore w:val="0"/>
              <w:kinsoku/>
              <w:wordWrap/>
              <w:overflowPunct/>
              <w:topLinePunct w:val="0"/>
              <w:autoSpaceDE/>
              <w:autoSpaceDN/>
              <w:bidi w:val="0"/>
              <w:adjustRightInd/>
              <w:snapToGrid/>
              <w:spacing w:line="300" w:lineRule="exact"/>
              <w:ind w:right="-80" w:rightChars="-38"/>
              <w:jc w:val="left"/>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指在有便意或尿意的时候，知道要去厕所或使用便盆及尿壶大小便，以及事后清洁整理的行为能力。</w:t>
            </w:r>
          </w:p>
        </w:tc>
        <w:tc>
          <w:tcPr>
            <w:tcW w:w="10442" w:type="dxa"/>
            <w:noWrap w:val="0"/>
            <w:vAlign w:val="center"/>
          </w:tcPr>
          <w:p w14:paraId="55AFB20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可独立完成：</w:t>
            </w:r>
          </w:p>
          <w:p w14:paraId="3D0F6F4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能够独立或在借助辅助工具的情况下完成“自主如厕”定义中的所有行为。</w:t>
            </w:r>
          </w:p>
        </w:tc>
        <w:tc>
          <w:tcPr>
            <w:tcW w:w="992" w:type="dxa"/>
            <w:noWrap w:val="0"/>
            <w:vAlign w:val="center"/>
          </w:tcPr>
          <w:p w14:paraId="1DC6A1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是</w:t>
            </w:r>
          </w:p>
        </w:tc>
      </w:tr>
      <w:tr w14:paraId="612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817" w:type="dxa"/>
            <w:vMerge w:val="continue"/>
            <w:noWrap w:val="0"/>
            <w:vAlign w:val="center"/>
          </w:tcPr>
          <w:p w14:paraId="4E694ED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p>
        </w:tc>
        <w:tc>
          <w:tcPr>
            <w:tcW w:w="2035" w:type="dxa"/>
            <w:vMerge w:val="continue"/>
            <w:noWrap w:val="0"/>
            <w:vAlign w:val="center"/>
          </w:tcPr>
          <w:p w14:paraId="7B3C695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highlight w:val="none"/>
              </w:rPr>
            </w:pPr>
          </w:p>
        </w:tc>
        <w:tc>
          <w:tcPr>
            <w:tcW w:w="10442" w:type="dxa"/>
            <w:noWrap w:val="0"/>
            <w:vAlign w:val="center"/>
          </w:tcPr>
          <w:p w14:paraId="12CC422A">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需要帮助或依赖他人：</w:t>
            </w:r>
          </w:p>
          <w:p w14:paraId="6212B95E">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①有定向障碍，分不清方向，需要他人引导至厕所；</w:t>
            </w:r>
          </w:p>
          <w:p w14:paraId="37009B1F">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②患有轻微老年痴呆症，时常忘记有了尿意后该作出什么反应，需要他人提醒；</w:t>
            </w:r>
          </w:p>
          <w:p w14:paraId="29C44072">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③需要部分协助才能完成，如腿脚不便，需要他人搀扶到厕所；需要他人帮忙冲水或整理衣裤；</w:t>
            </w:r>
          </w:p>
          <w:p w14:paraId="69AD366A">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④“如厕”定义中所有行为都无法自主完成，依赖他人帮助。</w:t>
            </w:r>
          </w:p>
        </w:tc>
        <w:tc>
          <w:tcPr>
            <w:tcW w:w="992" w:type="dxa"/>
            <w:noWrap w:val="0"/>
            <w:vAlign w:val="center"/>
          </w:tcPr>
          <w:p w14:paraId="6BA9CA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否</w:t>
            </w:r>
          </w:p>
        </w:tc>
      </w:tr>
      <w:tr w14:paraId="70E8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17" w:type="dxa"/>
            <w:vMerge w:val="restart"/>
            <w:noWrap w:val="0"/>
            <w:vAlign w:val="center"/>
          </w:tcPr>
          <w:p w14:paraId="3512133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5</w:t>
            </w:r>
          </w:p>
          <w:p w14:paraId="1D86FB3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p>
        </w:tc>
        <w:tc>
          <w:tcPr>
            <w:tcW w:w="2035" w:type="dxa"/>
            <w:vMerge w:val="restart"/>
            <w:noWrap w:val="0"/>
            <w:vAlign w:val="center"/>
          </w:tcPr>
          <w:p w14:paraId="26B3AC0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室内自主行走</w:t>
            </w:r>
          </w:p>
          <w:p w14:paraId="1DF0F3F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指从双脚站立的状态开始，在室内连续步行45米的行为能力。</w:t>
            </w:r>
          </w:p>
        </w:tc>
        <w:tc>
          <w:tcPr>
            <w:tcW w:w="10442" w:type="dxa"/>
            <w:noWrap w:val="0"/>
            <w:vAlign w:val="center"/>
          </w:tcPr>
          <w:p w14:paraId="5AF6757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可独立完成：</w:t>
            </w:r>
          </w:p>
          <w:p w14:paraId="6717588D">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能够独立或在借助辅助工具的情况下较轻松完成“自主行走”定义中的所有行为。</w:t>
            </w:r>
          </w:p>
        </w:tc>
        <w:tc>
          <w:tcPr>
            <w:tcW w:w="992" w:type="dxa"/>
            <w:noWrap w:val="0"/>
            <w:vAlign w:val="center"/>
          </w:tcPr>
          <w:p w14:paraId="6830F1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是</w:t>
            </w:r>
          </w:p>
        </w:tc>
      </w:tr>
      <w:tr w14:paraId="6DB4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817" w:type="dxa"/>
            <w:vMerge w:val="continue"/>
            <w:noWrap w:val="0"/>
            <w:vAlign w:val="center"/>
          </w:tcPr>
          <w:p w14:paraId="0FB96DC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p>
        </w:tc>
        <w:tc>
          <w:tcPr>
            <w:tcW w:w="2035" w:type="dxa"/>
            <w:vMerge w:val="continue"/>
            <w:noWrap w:val="0"/>
            <w:vAlign w:val="center"/>
          </w:tcPr>
          <w:p w14:paraId="52F78AA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highlight w:val="none"/>
              </w:rPr>
            </w:pPr>
          </w:p>
        </w:tc>
        <w:tc>
          <w:tcPr>
            <w:tcW w:w="10442" w:type="dxa"/>
            <w:noWrap w:val="0"/>
            <w:vAlign w:val="center"/>
          </w:tcPr>
          <w:p w14:paraId="00CFC81F">
            <w:pPr>
              <w:keepNext w:val="0"/>
              <w:keepLines w:val="0"/>
              <w:pageBreakBefore w:val="0"/>
              <w:tabs>
                <w:tab w:val="left" w:pos="463"/>
              </w:tabs>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需要帮助或依赖他人</w:t>
            </w:r>
            <w:r>
              <w:rPr>
                <w:rFonts w:hint="default" w:ascii="Times New Roman" w:hAnsi="Times New Roman" w:eastAsia="仿宋_GB2312" w:cs="Times New Roman"/>
                <w:color w:val="auto"/>
                <w:sz w:val="22"/>
                <w:szCs w:val="22"/>
                <w:highlight w:val="none"/>
              </w:rPr>
              <w:t>。</w:t>
            </w:r>
          </w:p>
          <w:p w14:paraId="6B08253D">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①由于平衡力差、过度衰弱等缘故，出于安全考虑，需他人帮助行走；</w:t>
            </w:r>
          </w:p>
          <w:p w14:paraId="4EC09A62">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②使用助行器、拐杖等行走困难、吃力；</w:t>
            </w:r>
          </w:p>
          <w:p w14:paraId="224BA6E4">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③依赖轮椅移动，或常年卧床无行走能力等。</w:t>
            </w:r>
          </w:p>
        </w:tc>
        <w:tc>
          <w:tcPr>
            <w:tcW w:w="992" w:type="dxa"/>
            <w:noWrap w:val="0"/>
            <w:vAlign w:val="center"/>
          </w:tcPr>
          <w:p w14:paraId="31D2AA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否</w:t>
            </w:r>
          </w:p>
        </w:tc>
      </w:tr>
      <w:tr w14:paraId="753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7" w:type="dxa"/>
            <w:vMerge w:val="restart"/>
            <w:noWrap w:val="0"/>
            <w:vAlign w:val="center"/>
          </w:tcPr>
          <w:p w14:paraId="31592CE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6</w:t>
            </w:r>
          </w:p>
        </w:tc>
        <w:tc>
          <w:tcPr>
            <w:tcW w:w="2035" w:type="dxa"/>
            <w:vMerge w:val="restart"/>
            <w:noWrap w:val="0"/>
            <w:vAlign w:val="center"/>
          </w:tcPr>
          <w:p w14:paraId="6BBBE97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自主洗澡</w:t>
            </w:r>
          </w:p>
          <w:p w14:paraId="7FBC39D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指擦拭、洗净全身的行为能力。</w:t>
            </w:r>
          </w:p>
        </w:tc>
        <w:tc>
          <w:tcPr>
            <w:tcW w:w="10442" w:type="dxa"/>
            <w:noWrap w:val="0"/>
            <w:vAlign w:val="center"/>
          </w:tcPr>
          <w:p w14:paraId="795755AE">
            <w:pPr>
              <w:keepNext w:val="0"/>
              <w:keepLines w:val="0"/>
              <w:pageBreakBefore w:val="0"/>
              <w:tabs>
                <w:tab w:val="left" w:pos="463"/>
              </w:tabs>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可独立完成：</w:t>
            </w:r>
          </w:p>
          <w:p w14:paraId="757608B1">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pacing w:val="-6"/>
                <w:sz w:val="22"/>
                <w:szCs w:val="22"/>
                <w:highlight w:val="none"/>
              </w:rPr>
            </w:pPr>
            <w:r>
              <w:rPr>
                <w:rFonts w:hint="default" w:ascii="Times New Roman" w:hAnsi="Times New Roman" w:eastAsia="仿宋_GB2312" w:cs="Times New Roman"/>
                <w:color w:val="auto"/>
                <w:spacing w:val="-6"/>
                <w:sz w:val="22"/>
                <w:szCs w:val="22"/>
                <w:highlight w:val="none"/>
              </w:rPr>
              <w:t>需要或不需要准备好洗澡水，能够独立或在借助辅助工具的情况下完成“自主洗澡”定义中的所有行为。</w:t>
            </w:r>
          </w:p>
        </w:tc>
        <w:tc>
          <w:tcPr>
            <w:tcW w:w="992" w:type="dxa"/>
            <w:noWrap w:val="0"/>
            <w:vAlign w:val="center"/>
          </w:tcPr>
          <w:p w14:paraId="75B827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是</w:t>
            </w:r>
          </w:p>
        </w:tc>
      </w:tr>
      <w:tr w14:paraId="6F60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817" w:type="dxa"/>
            <w:vMerge w:val="continue"/>
            <w:noWrap w:val="0"/>
            <w:vAlign w:val="top"/>
          </w:tcPr>
          <w:p w14:paraId="19B043C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4"/>
                <w:szCs w:val="24"/>
                <w:highlight w:val="none"/>
              </w:rPr>
            </w:pPr>
          </w:p>
        </w:tc>
        <w:tc>
          <w:tcPr>
            <w:tcW w:w="2035" w:type="dxa"/>
            <w:vMerge w:val="continue"/>
            <w:noWrap w:val="0"/>
            <w:vAlign w:val="top"/>
          </w:tcPr>
          <w:p w14:paraId="764F3160">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2"/>
                <w:szCs w:val="22"/>
                <w:highlight w:val="none"/>
              </w:rPr>
            </w:pPr>
          </w:p>
        </w:tc>
        <w:tc>
          <w:tcPr>
            <w:tcW w:w="10442" w:type="dxa"/>
            <w:noWrap w:val="0"/>
            <w:vAlign w:val="center"/>
          </w:tcPr>
          <w:p w14:paraId="3DDDD065">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需要帮助或依赖他人：</w:t>
            </w:r>
          </w:p>
          <w:p w14:paraId="181A1C7D">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①出于安全考虑，在洗澡过程中需要他人在一旁监护；</w:t>
            </w:r>
          </w:p>
          <w:p w14:paraId="4601C925">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②可独立完成洗澡的过程，但洗不干净；</w:t>
            </w:r>
          </w:p>
          <w:p w14:paraId="1D73B600">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③无法完成洗澡的过程，依赖他人帮助。</w:t>
            </w:r>
          </w:p>
        </w:tc>
        <w:tc>
          <w:tcPr>
            <w:tcW w:w="992" w:type="dxa"/>
            <w:noWrap w:val="0"/>
            <w:vAlign w:val="center"/>
          </w:tcPr>
          <w:p w14:paraId="2FBCBE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否</w:t>
            </w:r>
          </w:p>
        </w:tc>
      </w:tr>
    </w:tbl>
    <w:p w14:paraId="2A855EF9">
      <w:pPr>
        <w:keepNext w:val="0"/>
        <w:keepLines w:val="0"/>
        <w:pageBreakBefore w:val="0"/>
        <w:kinsoku/>
        <w:wordWrap/>
        <w:overflowPunct/>
        <w:topLinePunct w:val="0"/>
        <w:bidi w:val="0"/>
        <w:snapToGrid/>
        <w:spacing w:line="580" w:lineRule="exact"/>
        <w:textAlignment w:val="auto"/>
        <w:rPr>
          <w:rFonts w:hint="default" w:ascii="Times New Roman" w:hAnsi="Times New Roman" w:cs="Times New Roman"/>
          <w:color w:val="auto"/>
          <w:sz w:val="21"/>
          <w:highlight w:val="none"/>
        </w:rPr>
        <w:sectPr>
          <w:footerReference r:id="rId7" w:type="default"/>
          <w:pgSz w:w="16840" w:h="11907" w:orient="landscape"/>
          <w:pgMar w:top="1701" w:right="1417" w:bottom="1134" w:left="1417" w:header="720" w:footer="1361" w:gutter="0"/>
          <w:pgNumType w:fmt="decimal"/>
          <w:cols w:space="720" w:num="1"/>
          <w:rtlGutter w:val="0"/>
          <w:docGrid w:linePitch="360" w:charSpace="0"/>
        </w:sectPr>
      </w:pPr>
    </w:p>
    <w:p w14:paraId="2B4351C8">
      <w:pPr>
        <w:keepNext w:val="0"/>
        <w:keepLines w:val="0"/>
        <w:pageBreakBefore w:val="0"/>
        <w:widowControl w:val="0"/>
        <w:kinsoku/>
        <w:wordWrap/>
        <w:overflowPunct/>
        <w:topLinePunct w:val="0"/>
        <w:autoSpaceDE/>
        <w:autoSpaceDN/>
        <w:bidi w:val="0"/>
        <w:adjustRightInd/>
        <w:snapToGrid/>
        <w:spacing w:beforeAutospacing="0" w:after="157" w:afterLines="50" w:line="580" w:lineRule="exact"/>
        <w:ind w:right="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附件4</w:t>
      </w:r>
    </w:p>
    <w:p w14:paraId="4D9495A3">
      <w:pPr>
        <w:keepNext w:val="0"/>
        <w:keepLines w:val="0"/>
        <w:pageBreakBefore w:val="0"/>
        <w:widowControl w:val="0"/>
        <w:kinsoku/>
        <w:wordWrap/>
        <w:overflowPunct/>
        <w:topLinePunct w:val="0"/>
        <w:autoSpaceDE/>
        <w:autoSpaceDN/>
        <w:bidi w:val="0"/>
        <w:adjustRightInd/>
        <w:snapToGrid/>
        <w:spacing w:beforeAutospacing="0" w:after="157" w:afterLines="50" w:line="580" w:lineRule="exact"/>
        <w:ind w:right="0"/>
        <w:jc w:val="center"/>
        <w:textAlignment w:val="auto"/>
        <w:rPr>
          <w:rFonts w:hint="eastAsia" w:eastAsia="方正小标宋简体"/>
          <w:b/>
          <w:color w:val="auto"/>
          <w:spacing w:val="-20"/>
          <w:kern w:val="0"/>
          <w:sz w:val="44"/>
          <w:szCs w:val="44"/>
          <w:highlight w:val="none"/>
        </w:rPr>
      </w:pPr>
      <w:r>
        <w:rPr>
          <w:rFonts w:hint="eastAsia" w:ascii="Times New Roman" w:hAnsi="Times New Roman" w:eastAsia="方正小标宋简体" w:cs="Times New Roman"/>
          <w:color w:val="auto"/>
          <w:sz w:val="44"/>
          <w:szCs w:val="44"/>
          <w:highlight w:val="none"/>
          <w:lang w:val="en-US" w:eastAsia="zh-CN"/>
        </w:rPr>
        <w:t>生活自理能力评估表</w:t>
      </w:r>
    </w:p>
    <w:p w14:paraId="0C5E5059">
      <w:pPr>
        <w:keepNext w:val="0"/>
        <w:keepLines w:val="0"/>
        <w:pageBreakBefore w:val="0"/>
        <w:widowControl/>
        <w:shd w:val="clear" w:color="auto" w:fill="FFFFFF"/>
        <w:kinsoku/>
        <w:wordWrap/>
        <w:overflowPunct/>
        <w:topLinePunct w:val="0"/>
        <w:autoSpaceDE/>
        <w:autoSpaceDN/>
        <w:bidi w:val="0"/>
        <w:snapToGrid/>
        <w:spacing w:line="320" w:lineRule="exact"/>
        <w:ind w:left="-17" w:leftChars="-8" w:firstLine="17" w:firstLineChars="0"/>
        <w:jc w:val="both"/>
        <w:textAlignment w:val="auto"/>
        <w:rPr>
          <w:rFonts w:hint="default" w:ascii="Times New Roman" w:hAnsi="Times New Roman" w:eastAsia="宋体" w:cs="Times New Roman"/>
          <w:color w:val="auto"/>
          <w:spacing w:val="2"/>
          <w:sz w:val="22"/>
          <w:szCs w:val="22"/>
          <w:highlight w:val="none"/>
          <w:u w:val="single"/>
        </w:rPr>
      </w:pPr>
    </w:p>
    <w:p w14:paraId="0941152A">
      <w:pPr>
        <w:keepNext w:val="0"/>
        <w:keepLines w:val="0"/>
        <w:pageBreakBefore w:val="0"/>
        <w:widowControl/>
        <w:shd w:val="clear" w:color="auto" w:fill="FFFFFF"/>
        <w:kinsoku/>
        <w:wordWrap/>
        <w:overflowPunct/>
        <w:topLinePunct w:val="0"/>
        <w:autoSpaceDE/>
        <w:autoSpaceDN/>
        <w:bidi w:val="0"/>
        <w:snapToGrid/>
        <w:spacing w:line="320" w:lineRule="exact"/>
        <w:ind w:left="-17" w:leftChars="-8" w:firstLine="17" w:firstLineChars="0"/>
        <w:jc w:val="both"/>
        <w:textAlignment w:val="auto"/>
        <w:rPr>
          <w:rFonts w:hint="default" w:eastAsia="宋体"/>
          <w:b/>
          <w:color w:val="auto"/>
          <w:spacing w:val="-20"/>
          <w:kern w:val="0"/>
          <w:sz w:val="44"/>
          <w:szCs w:val="44"/>
          <w:highlight w:val="none"/>
          <w:lang w:val="en-US" w:eastAsia="zh-CN"/>
        </w:rPr>
      </w:pPr>
      <w:r>
        <w:rPr>
          <w:rFonts w:hint="default" w:ascii="Times New Roman" w:hAnsi="Times New Roman" w:eastAsia="宋体" w:cs="Times New Roman"/>
          <w:color w:val="auto"/>
          <w:spacing w:val="2"/>
          <w:sz w:val="22"/>
          <w:szCs w:val="22"/>
          <w:highlight w:val="none"/>
          <w:u w:val="single"/>
        </w:rPr>
        <w:t xml:space="preserve">   </w:t>
      </w:r>
      <w:r>
        <w:rPr>
          <w:rFonts w:hint="eastAsia" w:ascii="Times New Roman" w:hAnsi="Times New Roman" w:eastAsia="宋体" w:cs="Times New Roman"/>
          <w:color w:val="auto"/>
          <w:spacing w:val="2"/>
          <w:sz w:val="22"/>
          <w:szCs w:val="22"/>
          <w:highlight w:val="none"/>
          <w:u w:val="single"/>
          <w:lang w:val="en-US" w:eastAsia="zh-CN"/>
        </w:rPr>
        <w:t xml:space="preserve">      </w:t>
      </w:r>
      <w:r>
        <w:rPr>
          <w:rFonts w:hint="default" w:ascii="Times New Roman" w:hAnsi="Times New Roman" w:eastAsia="宋体" w:cs="Times New Roman"/>
          <w:color w:val="auto"/>
          <w:spacing w:val="2"/>
          <w:sz w:val="22"/>
          <w:szCs w:val="22"/>
          <w:highlight w:val="none"/>
        </w:rPr>
        <w:t xml:space="preserve"> </w:t>
      </w:r>
      <w:r>
        <w:rPr>
          <w:rFonts w:hint="eastAsia" w:ascii="Times New Roman" w:hAnsi="Times New Roman" w:eastAsia="宋体" w:cs="Times New Roman"/>
          <w:color w:val="auto"/>
          <w:spacing w:val="2"/>
          <w:sz w:val="22"/>
          <w:szCs w:val="22"/>
          <w:highlight w:val="none"/>
          <w:lang w:eastAsia="zh-CN"/>
        </w:rPr>
        <w:t>乡</w:t>
      </w:r>
      <w:r>
        <w:rPr>
          <w:rFonts w:hint="default" w:ascii="Times New Roman" w:hAnsi="Times New Roman" w:eastAsia="宋体" w:cs="Times New Roman"/>
          <w:color w:val="auto"/>
          <w:spacing w:val="2"/>
          <w:sz w:val="22"/>
          <w:szCs w:val="22"/>
          <w:highlight w:val="none"/>
        </w:rPr>
        <w:t>镇（</w:t>
      </w:r>
      <w:r>
        <w:rPr>
          <w:rFonts w:hint="eastAsia" w:ascii="Times New Roman" w:hAnsi="Times New Roman" w:eastAsia="宋体" w:cs="Times New Roman"/>
          <w:color w:val="auto"/>
          <w:spacing w:val="2"/>
          <w:sz w:val="22"/>
          <w:szCs w:val="22"/>
          <w:highlight w:val="none"/>
          <w:lang w:eastAsia="zh-CN"/>
        </w:rPr>
        <w:t>场</w:t>
      </w:r>
      <w:r>
        <w:rPr>
          <w:rFonts w:hint="default" w:ascii="Times New Roman" w:hAnsi="Times New Roman" w:eastAsia="宋体" w:cs="Times New Roman"/>
          <w:color w:val="auto"/>
          <w:spacing w:val="2"/>
          <w:sz w:val="22"/>
          <w:szCs w:val="22"/>
          <w:highlight w:val="none"/>
        </w:rPr>
        <w:t>）</w:t>
      </w:r>
      <w:r>
        <w:rPr>
          <w:rFonts w:hint="eastAsia" w:ascii="Times New Roman" w:hAnsi="Times New Roman" w:eastAsia="宋体" w:cs="Times New Roman"/>
          <w:color w:val="auto"/>
          <w:spacing w:val="2"/>
          <w:sz w:val="22"/>
          <w:szCs w:val="22"/>
          <w:highlight w:val="none"/>
          <w:u w:val="single"/>
          <w:lang w:val="en-US" w:eastAsia="zh-CN"/>
        </w:rPr>
        <w:t xml:space="preserve">          </w:t>
      </w:r>
      <w:r>
        <w:rPr>
          <w:rFonts w:hint="default" w:ascii="Times New Roman" w:hAnsi="Times New Roman" w:eastAsia="宋体" w:cs="Times New Roman"/>
          <w:color w:val="auto"/>
          <w:spacing w:val="2"/>
          <w:sz w:val="22"/>
          <w:szCs w:val="22"/>
          <w:highlight w:val="none"/>
          <w:u w:val="single"/>
          <w:lang w:val="en-US" w:eastAsia="zh-CN"/>
        </w:rPr>
        <w:t xml:space="preserve"> </w:t>
      </w:r>
      <w:r>
        <w:rPr>
          <w:rFonts w:hint="default" w:ascii="Times New Roman" w:hAnsi="Times New Roman" w:eastAsia="宋体" w:cs="Times New Roman"/>
          <w:color w:val="auto"/>
          <w:spacing w:val="2"/>
          <w:sz w:val="22"/>
          <w:szCs w:val="22"/>
          <w:highlight w:val="none"/>
        </w:rPr>
        <w:t xml:space="preserve">村（社区） </w:t>
      </w:r>
      <w:r>
        <w:rPr>
          <w:rFonts w:hint="eastAsia" w:ascii="Times New Roman" w:hAnsi="Times New Roman" w:eastAsia="宋体" w:cs="Times New Roman"/>
          <w:color w:val="auto"/>
          <w:spacing w:val="2"/>
          <w:sz w:val="22"/>
          <w:szCs w:val="22"/>
          <w:highlight w:val="none"/>
          <w:lang w:val="en-US" w:eastAsia="zh-CN"/>
        </w:rPr>
        <w:t xml:space="preserve">        评估日期：</w:t>
      </w:r>
      <w:r>
        <w:rPr>
          <w:rFonts w:hint="eastAsia" w:ascii="Times New Roman" w:hAnsi="Times New Roman" w:eastAsia="宋体" w:cs="Times New Roman"/>
          <w:color w:val="auto"/>
          <w:spacing w:val="2"/>
          <w:sz w:val="22"/>
          <w:szCs w:val="22"/>
          <w:highlight w:val="none"/>
          <w:u w:val="single"/>
          <w:lang w:val="en-US" w:eastAsia="zh-CN"/>
        </w:rPr>
        <w:t xml:space="preserve">       </w:t>
      </w:r>
      <w:r>
        <w:rPr>
          <w:rFonts w:hint="eastAsia" w:ascii="Times New Roman" w:hAnsi="Times New Roman" w:eastAsia="宋体" w:cs="Times New Roman"/>
          <w:color w:val="auto"/>
          <w:spacing w:val="2"/>
          <w:sz w:val="22"/>
          <w:szCs w:val="22"/>
          <w:highlight w:val="none"/>
          <w:lang w:val="en-US" w:eastAsia="zh-CN"/>
        </w:rPr>
        <w:t>年</w:t>
      </w:r>
      <w:r>
        <w:rPr>
          <w:rFonts w:hint="eastAsia" w:ascii="Times New Roman" w:hAnsi="Times New Roman" w:eastAsia="宋体" w:cs="Times New Roman"/>
          <w:color w:val="auto"/>
          <w:spacing w:val="2"/>
          <w:sz w:val="22"/>
          <w:szCs w:val="22"/>
          <w:highlight w:val="none"/>
          <w:u w:val="single"/>
          <w:lang w:val="en-US" w:eastAsia="zh-CN"/>
        </w:rPr>
        <w:t xml:space="preserve">    </w:t>
      </w:r>
      <w:r>
        <w:rPr>
          <w:rFonts w:hint="eastAsia" w:ascii="Times New Roman" w:hAnsi="Times New Roman" w:eastAsia="宋体" w:cs="Times New Roman"/>
          <w:color w:val="auto"/>
          <w:spacing w:val="2"/>
          <w:sz w:val="22"/>
          <w:szCs w:val="22"/>
          <w:highlight w:val="none"/>
          <w:lang w:val="en-US" w:eastAsia="zh-CN"/>
        </w:rPr>
        <w:t>月</w:t>
      </w:r>
      <w:r>
        <w:rPr>
          <w:rFonts w:hint="eastAsia" w:ascii="Times New Roman" w:hAnsi="Times New Roman" w:eastAsia="宋体" w:cs="Times New Roman"/>
          <w:color w:val="auto"/>
          <w:spacing w:val="2"/>
          <w:sz w:val="22"/>
          <w:szCs w:val="22"/>
          <w:highlight w:val="none"/>
          <w:u w:val="single"/>
          <w:lang w:val="en-US" w:eastAsia="zh-CN"/>
        </w:rPr>
        <w:t xml:space="preserve">    </w:t>
      </w:r>
      <w:r>
        <w:rPr>
          <w:rFonts w:hint="eastAsia" w:ascii="Times New Roman" w:hAnsi="Times New Roman" w:eastAsia="宋体" w:cs="Times New Roman"/>
          <w:color w:val="auto"/>
          <w:spacing w:val="2"/>
          <w:sz w:val="22"/>
          <w:szCs w:val="22"/>
          <w:highlight w:val="none"/>
          <w:lang w:val="en-US" w:eastAsia="zh-CN"/>
        </w:rPr>
        <w:t>日</w:t>
      </w:r>
    </w:p>
    <w:p w14:paraId="1AFF6AEA">
      <w:pPr>
        <w:keepNext w:val="0"/>
        <w:keepLines w:val="0"/>
        <w:pageBreakBefore w:val="0"/>
        <w:kinsoku/>
        <w:wordWrap/>
        <w:overflowPunct/>
        <w:topLinePunct w:val="0"/>
        <w:autoSpaceDE/>
        <w:autoSpaceDN/>
        <w:bidi w:val="0"/>
        <w:snapToGrid/>
        <w:spacing w:line="320" w:lineRule="exact"/>
        <w:textAlignment w:val="auto"/>
        <w:rPr>
          <w:rFonts w:hint="default" w:ascii="Times New Roman" w:hAnsi="Times New Roman" w:eastAsia="宋体" w:cs="Times New Roman"/>
          <w:color w:val="auto"/>
          <w:spacing w:val="2"/>
          <w:sz w:val="22"/>
          <w:szCs w:val="22"/>
          <w:highlight w:val="none"/>
        </w:rPr>
      </w:pPr>
    </w:p>
    <w:tbl>
      <w:tblPr>
        <w:tblStyle w:val="8"/>
        <w:tblpPr w:leftFromText="180" w:rightFromText="180" w:vertAnchor="text" w:horzAnchor="page" w:tblpX="1642" w:tblpY="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2"/>
        <w:gridCol w:w="1490"/>
        <w:gridCol w:w="1519"/>
        <w:gridCol w:w="1487"/>
        <w:gridCol w:w="881"/>
        <w:gridCol w:w="640"/>
        <w:gridCol w:w="1506"/>
        <w:gridCol w:w="2"/>
      </w:tblGrid>
      <w:tr w14:paraId="7E3F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34" w:hRule="atLeast"/>
        </w:trPr>
        <w:tc>
          <w:tcPr>
            <w:tcW w:w="1533" w:type="dxa"/>
            <w:noWrap w:val="0"/>
            <w:vAlign w:val="center"/>
          </w:tcPr>
          <w:p w14:paraId="7C03FCC7">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kern w:val="0"/>
                <w:sz w:val="28"/>
                <w:szCs w:val="28"/>
                <w:highlight w:val="none"/>
              </w:rPr>
              <w:t>姓名</w:t>
            </w:r>
          </w:p>
        </w:tc>
        <w:tc>
          <w:tcPr>
            <w:tcW w:w="1492" w:type="dxa"/>
            <w:gridSpan w:val="2"/>
            <w:noWrap w:val="0"/>
            <w:vAlign w:val="center"/>
          </w:tcPr>
          <w:p w14:paraId="0885B31C">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p>
        </w:tc>
        <w:tc>
          <w:tcPr>
            <w:tcW w:w="1519" w:type="dxa"/>
            <w:noWrap w:val="0"/>
            <w:vAlign w:val="center"/>
          </w:tcPr>
          <w:p w14:paraId="375C2754">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0"/>
                <w:sz w:val="28"/>
                <w:szCs w:val="28"/>
                <w:highlight w:val="none"/>
              </w:rPr>
            </w:pPr>
            <w:r>
              <w:rPr>
                <w:rFonts w:hint="eastAsia" w:ascii="黑体" w:hAnsi="黑体" w:eastAsia="黑体" w:cs="黑体"/>
                <w:b w:val="0"/>
                <w:bCs/>
                <w:color w:val="auto"/>
                <w:sz w:val="28"/>
                <w:szCs w:val="28"/>
                <w:highlight w:val="none"/>
                <w:lang w:eastAsia="zh-CN"/>
              </w:rPr>
              <w:t>性别</w:t>
            </w:r>
          </w:p>
        </w:tc>
        <w:tc>
          <w:tcPr>
            <w:tcW w:w="1487" w:type="dxa"/>
            <w:noWrap w:val="0"/>
            <w:vAlign w:val="center"/>
          </w:tcPr>
          <w:p w14:paraId="344CD553">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0"/>
                <w:sz w:val="28"/>
                <w:szCs w:val="28"/>
                <w:highlight w:val="none"/>
              </w:rPr>
            </w:pPr>
          </w:p>
        </w:tc>
        <w:tc>
          <w:tcPr>
            <w:tcW w:w="1521" w:type="dxa"/>
            <w:gridSpan w:val="2"/>
            <w:noWrap w:val="0"/>
            <w:vAlign w:val="center"/>
          </w:tcPr>
          <w:p w14:paraId="4F4576E1">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0"/>
                <w:sz w:val="28"/>
                <w:szCs w:val="28"/>
                <w:highlight w:val="none"/>
                <w:lang w:eastAsia="zh-CN"/>
              </w:rPr>
            </w:pPr>
            <w:r>
              <w:rPr>
                <w:rFonts w:hint="eastAsia" w:ascii="黑体" w:hAnsi="黑体" w:eastAsia="黑体" w:cs="黑体"/>
                <w:b w:val="0"/>
                <w:bCs/>
                <w:color w:val="auto"/>
                <w:sz w:val="28"/>
                <w:szCs w:val="28"/>
                <w:highlight w:val="none"/>
                <w:lang w:eastAsia="zh-CN"/>
              </w:rPr>
              <w:t>年龄</w:t>
            </w:r>
          </w:p>
        </w:tc>
        <w:tc>
          <w:tcPr>
            <w:tcW w:w="1506" w:type="dxa"/>
            <w:noWrap w:val="0"/>
            <w:vAlign w:val="center"/>
          </w:tcPr>
          <w:p w14:paraId="6C9C1208">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p>
          <w:p w14:paraId="7B811D18">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p>
        </w:tc>
      </w:tr>
      <w:tr w14:paraId="28DF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535" w:type="dxa"/>
            <w:gridSpan w:val="2"/>
            <w:noWrap w:val="0"/>
            <w:vAlign w:val="center"/>
          </w:tcPr>
          <w:p w14:paraId="1333F6E3">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w w:val="90"/>
                <w:sz w:val="28"/>
                <w:szCs w:val="28"/>
                <w:highlight w:val="none"/>
                <w:lang w:eastAsia="zh-CN"/>
              </w:rPr>
              <w:t>残疾、重病类型及等级</w:t>
            </w:r>
          </w:p>
        </w:tc>
        <w:tc>
          <w:tcPr>
            <w:tcW w:w="1490" w:type="dxa"/>
            <w:noWrap w:val="0"/>
            <w:vAlign w:val="center"/>
          </w:tcPr>
          <w:p w14:paraId="501B10A7">
            <w:pPr>
              <w:keepNext w:val="0"/>
              <w:keepLines w:val="0"/>
              <w:pageBreakBefore w:val="0"/>
              <w:kinsoku/>
              <w:wordWrap/>
              <w:overflowPunct/>
              <w:topLinePunct w:val="0"/>
              <w:autoSpaceDE/>
              <w:autoSpaceDN/>
              <w:bidi w:val="0"/>
              <w:adjustRightInd w:val="0"/>
              <w:snapToGrid/>
              <w:spacing w:line="320" w:lineRule="exact"/>
              <w:jc w:val="both"/>
              <w:textAlignment w:val="auto"/>
              <w:rPr>
                <w:rFonts w:hint="eastAsia" w:ascii="仿宋" w:hAnsi="仿宋" w:eastAsia="仿宋" w:cs="仿宋"/>
                <w:b w:val="0"/>
                <w:bCs/>
                <w:color w:val="auto"/>
                <w:kern w:val="0"/>
                <w:sz w:val="28"/>
                <w:szCs w:val="28"/>
                <w:highlight w:val="none"/>
              </w:rPr>
            </w:pPr>
          </w:p>
        </w:tc>
        <w:tc>
          <w:tcPr>
            <w:tcW w:w="1519" w:type="dxa"/>
            <w:noWrap w:val="0"/>
            <w:vAlign w:val="center"/>
          </w:tcPr>
          <w:p w14:paraId="0358F5B4">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0"/>
                <w:sz w:val="28"/>
                <w:szCs w:val="28"/>
                <w:highlight w:val="none"/>
              </w:rPr>
            </w:pPr>
            <w:r>
              <w:rPr>
                <w:rFonts w:hint="eastAsia" w:ascii="黑体" w:hAnsi="黑体" w:eastAsia="黑体" w:cs="黑体"/>
                <w:b w:val="0"/>
                <w:bCs/>
                <w:color w:val="auto"/>
                <w:sz w:val="28"/>
                <w:szCs w:val="28"/>
                <w:highlight w:val="none"/>
                <w:lang w:eastAsia="zh-CN"/>
              </w:rPr>
              <w:t>身份证号</w:t>
            </w:r>
          </w:p>
        </w:tc>
        <w:tc>
          <w:tcPr>
            <w:tcW w:w="4516" w:type="dxa"/>
            <w:gridSpan w:val="5"/>
            <w:noWrap w:val="0"/>
            <w:vAlign w:val="center"/>
          </w:tcPr>
          <w:p w14:paraId="22213547">
            <w:pPr>
              <w:keepNext w:val="0"/>
              <w:keepLines w:val="0"/>
              <w:pageBreakBefore w:val="0"/>
              <w:kinsoku/>
              <w:wordWrap/>
              <w:overflowPunct/>
              <w:topLinePunct w:val="0"/>
              <w:autoSpaceDE/>
              <w:autoSpaceDN/>
              <w:bidi w:val="0"/>
              <w:adjustRightInd w:val="0"/>
              <w:snapToGrid/>
              <w:spacing w:line="320" w:lineRule="exact"/>
              <w:jc w:val="both"/>
              <w:textAlignment w:val="auto"/>
              <w:rPr>
                <w:rFonts w:hint="eastAsia" w:ascii="仿宋" w:hAnsi="仿宋" w:eastAsia="仿宋" w:cs="仿宋"/>
                <w:b w:val="0"/>
                <w:bCs/>
                <w:color w:val="auto"/>
                <w:kern w:val="0"/>
                <w:sz w:val="28"/>
                <w:szCs w:val="28"/>
                <w:highlight w:val="none"/>
              </w:rPr>
            </w:pPr>
          </w:p>
        </w:tc>
      </w:tr>
      <w:tr w14:paraId="5DBF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535" w:type="dxa"/>
            <w:gridSpan w:val="2"/>
            <w:noWrap w:val="0"/>
            <w:vAlign w:val="center"/>
          </w:tcPr>
          <w:p w14:paraId="2EB0151A">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序号</w:t>
            </w:r>
          </w:p>
        </w:tc>
        <w:tc>
          <w:tcPr>
            <w:tcW w:w="3009" w:type="dxa"/>
            <w:gridSpan w:val="2"/>
            <w:noWrap w:val="0"/>
            <w:vAlign w:val="center"/>
          </w:tcPr>
          <w:p w14:paraId="3861E980">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评估指标</w:t>
            </w:r>
          </w:p>
        </w:tc>
        <w:tc>
          <w:tcPr>
            <w:tcW w:w="2368" w:type="dxa"/>
            <w:gridSpan w:val="2"/>
            <w:noWrap w:val="0"/>
            <w:vAlign w:val="center"/>
          </w:tcPr>
          <w:p w14:paraId="06AAFF24">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是否达标</w:t>
            </w:r>
          </w:p>
        </w:tc>
        <w:tc>
          <w:tcPr>
            <w:tcW w:w="2148" w:type="dxa"/>
            <w:gridSpan w:val="3"/>
            <w:noWrap w:val="0"/>
            <w:vAlign w:val="center"/>
          </w:tcPr>
          <w:p w14:paraId="4C4D020B">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评估结果</w:t>
            </w:r>
          </w:p>
        </w:tc>
      </w:tr>
      <w:tr w14:paraId="22C0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5" w:type="dxa"/>
            <w:gridSpan w:val="2"/>
            <w:noWrap w:val="0"/>
            <w:vAlign w:val="center"/>
          </w:tcPr>
          <w:p w14:paraId="39F737B9">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p>
        </w:tc>
        <w:tc>
          <w:tcPr>
            <w:tcW w:w="3009" w:type="dxa"/>
            <w:gridSpan w:val="2"/>
            <w:noWrap w:val="0"/>
            <w:vAlign w:val="center"/>
          </w:tcPr>
          <w:p w14:paraId="076968C9">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自主吃饭</w:t>
            </w:r>
          </w:p>
        </w:tc>
        <w:tc>
          <w:tcPr>
            <w:tcW w:w="2368" w:type="dxa"/>
            <w:gridSpan w:val="2"/>
            <w:noWrap w:val="0"/>
            <w:vAlign w:val="center"/>
          </w:tcPr>
          <w:p w14:paraId="4989D04D">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highlight w:val="none"/>
                <w:lang w:val="en-US" w:eastAsia="zh-CN" w:bidi="ar-SA"/>
              </w:rPr>
            </w:pP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lang w:eastAsia="zh-CN"/>
              </w:rPr>
              <w:t>是</w:t>
            </w:r>
            <w:r>
              <w:rPr>
                <w:rFonts w:hint="eastAsia" w:ascii="仿宋" w:hAnsi="仿宋" w:eastAsia="仿宋" w:cs="仿宋"/>
                <w:b w:val="0"/>
                <w:bCs/>
                <w:color w:val="auto"/>
                <w:sz w:val="28"/>
                <w:szCs w:val="28"/>
                <w:highlight w:val="none"/>
                <w:lang w:val="en-US" w:eastAsia="zh-CN"/>
              </w:rPr>
              <w:t xml:space="preserve">    </w:t>
            </w: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rPr>
              <w:t>否</w:t>
            </w:r>
          </w:p>
        </w:tc>
        <w:tc>
          <w:tcPr>
            <w:tcW w:w="2148" w:type="dxa"/>
            <w:gridSpan w:val="3"/>
            <w:vMerge w:val="restart"/>
            <w:noWrap w:val="0"/>
            <w:vAlign w:val="center"/>
          </w:tcPr>
          <w:p w14:paraId="730BB76C">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32"/>
                <w:szCs w:val="32"/>
                <w:highlight w:val="none"/>
              </w:rPr>
            </w:pPr>
            <w:r>
              <w:rPr>
                <w:rFonts w:eastAsia="仿宋_GB2312"/>
                <w:color w:val="auto"/>
                <w:sz w:val="48"/>
                <w:szCs w:val="48"/>
                <w:highlight w:val="none"/>
              </w:rPr>
              <w:t>□</w:t>
            </w:r>
            <w:r>
              <w:rPr>
                <w:rFonts w:eastAsia="仿宋_GB2312"/>
                <w:color w:val="auto"/>
                <w:sz w:val="32"/>
                <w:szCs w:val="32"/>
                <w:highlight w:val="none"/>
              </w:rPr>
              <w:t>全自理</w:t>
            </w:r>
          </w:p>
          <w:p w14:paraId="14D74C39">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32"/>
                <w:szCs w:val="32"/>
                <w:highlight w:val="none"/>
              </w:rPr>
            </w:pPr>
          </w:p>
          <w:p w14:paraId="02436E18">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48"/>
                <w:szCs w:val="48"/>
                <w:highlight w:val="none"/>
              </w:rPr>
            </w:pPr>
          </w:p>
          <w:p w14:paraId="23347436">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32"/>
                <w:szCs w:val="32"/>
                <w:highlight w:val="none"/>
              </w:rPr>
            </w:pPr>
            <w:r>
              <w:rPr>
                <w:rFonts w:eastAsia="仿宋_GB2312"/>
                <w:color w:val="auto"/>
                <w:sz w:val="48"/>
                <w:szCs w:val="48"/>
                <w:highlight w:val="none"/>
              </w:rPr>
              <w:t>□</w:t>
            </w:r>
            <w:r>
              <w:rPr>
                <w:rFonts w:eastAsia="仿宋_GB2312"/>
                <w:color w:val="auto"/>
                <w:sz w:val="32"/>
                <w:szCs w:val="32"/>
                <w:highlight w:val="none"/>
              </w:rPr>
              <w:t>半护理</w:t>
            </w:r>
          </w:p>
          <w:p w14:paraId="017165E1">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32"/>
                <w:szCs w:val="32"/>
                <w:highlight w:val="none"/>
              </w:rPr>
            </w:pPr>
          </w:p>
          <w:p w14:paraId="7DC61FB0">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48"/>
                <w:szCs w:val="48"/>
                <w:highlight w:val="none"/>
              </w:rPr>
            </w:pPr>
          </w:p>
          <w:p w14:paraId="4D3A0AF9">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eastAsia="仿宋_GB2312"/>
                <w:color w:val="auto"/>
                <w:sz w:val="48"/>
                <w:szCs w:val="48"/>
                <w:highlight w:val="none"/>
              </w:rPr>
              <w:t>□</w:t>
            </w:r>
            <w:r>
              <w:rPr>
                <w:rFonts w:eastAsia="仿宋_GB2312"/>
                <w:color w:val="auto"/>
                <w:sz w:val="32"/>
                <w:szCs w:val="32"/>
                <w:highlight w:val="none"/>
              </w:rPr>
              <w:t>全护理</w:t>
            </w:r>
          </w:p>
        </w:tc>
      </w:tr>
      <w:tr w14:paraId="5EBA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535" w:type="dxa"/>
            <w:gridSpan w:val="2"/>
            <w:noWrap w:val="0"/>
            <w:vAlign w:val="center"/>
          </w:tcPr>
          <w:p w14:paraId="28B38F8D">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w:t>
            </w:r>
          </w:p>
        </w:tc>
        <w:tc>
          <w:tcPr>
            <w:tcW w:w="3009" w:type="dxa"/>
            <w:gridSpan w:val="2"/>
            <w:noWrap w:val="0"/>
            <w:vAlign w:val="center"/>
          </w:tcPr>
          <w:p w14:paraId="5DE29602">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自主穿衣</w:t>
            </w:r>
          </w:p>
        </w:tc>
        <w:tc>
          <w:tcPr>
            <w:tcW w:w="2368" w:type="dxa"/>
            <w:gridSpan w:val="2"/>
            <w:noWrap w:val="0"/>
            <w:vAlign w:val="center"/>
          </w:tcPr>
          <w:p w14:paraId="794B412E">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highlight w:val="none"/>
                <w:lang w:val="en-US" w:eastAsia="zh-CN" w:bidi="ar-SA"/>
              </w:rPr>
            </w:pP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lang w:eastAsia="zh-CN"/>
              </w:rPr>
              <w:t>是</w:t>
            </w:r>
            <w:r>
              <w:rPr>
                <w:rFonts w:hint="eastAsia" w:ascii="仿宋" w:hAnsi="仿宋" w:eastAsia="仿宋" w:cs="仿宋"/>
                <w:b w:val="0"/>
                <w:bCs/>
                <w:color w:val="auto"/>
                <w:sz w:val="28"/>
                <w:szCs w:val="28"/>
                <w:highlight w:val="none"/>
                <w:lang w:val="en-US" w:eastAsia="zh-CN"/>
              </w:rPr>
              <w:t xml:space="preserve">    </w:t>
            </w: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rPr>
              <w:t>否</w:t>
            </w:r>
          </w:p>
        </w:tc>
        <w:tc>
          <w:tcPr>
            <w:tcW w:w="2148" w:type="dxa"/>
            <w:gridSpan w:val="3"/>
            <w:vMerge w:val="continue"/>
            <w:noWrap w:val="0"/>
            <w:vAlign w:val="center"/>
          </w:tcPr>
          <w:p w14:paraId="6E30233E">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p>
        </w:tc>
      </w:tr>
      <w:tr w14:paraId="73C9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535" w:type="dxa"/>
            <w:gridSpan w:val="2"/>
            <w:noWrap w:val="0"/>
            <w:vAlign w:val="center"/>
          </w:tcPr>
          <w:p w14:paraId="6C6EFD95">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w:t>
            </w:r>
          </w:p>
        </w:tc>
        <w:tc>
          <w:tcPr>
            <w:tcW w:w="3009" w:type="dxa"/>
            <w:gridSpan w:val="2"/>
            <w:noWrap w:val="0"/>
            <w:vAlign w:val="center"/>
          </w:tcPr>
          <w:p w14:paraId="72543FEA">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自主上下床</w:t>
            </w:r>
          </w:p>
        </w:tc>
        <w:tc>
          <w:tcPr>
            <w:tcW w:w="2368" w:type="dxa"/>
            <w:gridSpan w:val="2"/>
            <w:noWrap w:val="0"/>
            <w:vAlign w:val="center"/>
          </w:tcPr>
          <w:p w14:paraId="192629A6">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highlight w:val="none"/>
                <w:lang w:val="en-US" w:eastAsia="zh-CN" w:bidi="ar-SA"/>
              </w:rPr>
            </w:pP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lang w:eastAsia="zh-CN"/>
              </w:rPr>
              <w:t>是</w:t>
            </w:r>
            <w:r>
              <w:rPr>
                <w:rFonts w:hint="eastAsia" w:ascii="仿宋" w:hAnsi="仿宋" w:eastAsia="仿宋" w:cs="仿宋"/>
                <w:b w:val="0"/>
                <w:bCs/>
                <w:color w:val="auto"/>
                <w:sz w:val="28"/>
                <w:szCs w:val="28"/>
                <w:highlight w:val="none"/>
                <w:lang w:val="en-US" w:eastAsia="zh-CN"/>
              </w:rPr>
              <w:t xml:space="preserve">    </w:t>
            </w: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rPr>
              <w:t>否</w:t>
            </w:r>
          </w:p>
        </w:tc>
        <w:tc>
          <w:tcPr>
            <w:tcW w:w="2148" w:type="dxa"/>
            <w:gridSpan w:val="3"/>
            <w:vMerge w:val="continue"/>
            <w:noWrap w:val="0"/>
            <w:vAlign w:val="center"/>
          </w:tcPr>
          <w:p w14:paraId="6C10CB68">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p>
        </w:tc>
      </w:tr>
      <w:tr w14:paraId="4E07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5" w:type="dxa"/>
            <w:gridSpan w:val="2"/>
            <w:noWrap w:val="0"/>
            <w:vAlign w:val="center"/>
          </w:tcPr>
          <w:p w14:paraId="7DA0CB85">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4</w:t>
            </w:r>
          </w:p>
        </w:tc>
        <w:tc>
          <w:tcPr>
            <w:tcW w:w="3009" w:type="dxa"/>
            <w:gridSpan w:val="2"/>
            <w:noWrap w:val="0"/>
            <w:vAlign w:val="center"/>
          </w:tcPr>
          <w:p w14:paraId="2DAA29C8">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自主如厕</w:t>
            </w:r>
          </w:p>
        </w:tc>
        <w:tc>
          <w:tcPr>
            <w:tcW w:w="2368" w:type="dxa"/>
            <w:gridSpan w:val="2"/>
            <w:noWrap w:val="0"/>
            <w:vAlign w:val="center"/>
          </w:tcPr>
          <w:p w14:paraId="4129A59A">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highlight w:val="none"/>
                <w:lang w:val="en-US" w:eastAsia="zh-CN" w:bidi="ar-SA"/>
              </w:rPr>
            </w:pP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lang w:eastAsia="zh-CN"/>
              </w:rPr>
              <w:t>是</w:t>
            </w:r>
            <w:r>
              <w:rPr>
                <w:rFonts w:hint="eastAsia" w:ascii="仿宋" w:hAnsi="仿宋" w:eastAsia="仿宋" w:cs="仿宋"/>
                <w:b w:val="0"/>
                <w:bCs/>
                <w:color w:val="auto"/>
                <w:sz w:val="28"/>
                <w:szCs w:val="28"/>
                <w:highlight w:val="none"/>
                <w:lang w:val="en-US" w:eastAsia="zh-CN"/>
              </w:rPr>
              <w:t xml:space="preserve">    </w:t>
            </w: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rPr>
              <w:t>否</w:t>
            </w:r>
          </w:p>
        </w:tc>
        <w:tc>
          <w:tcPr>
            <w:tcW w:w="2148" w:type="dxa"/>
            <w:gridSpan w:val="3"/>
            <w:vMerge w:val="continue"/>
            <w:noWrap w:val="0"/>
            <w:vAlign w:val="center"/>
          </w:tcPr>
          <w:p w14:paraId="3A39797A">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p>
        </w:tc>
      </w:tr>
      <w:tr w14:paraId="5154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5" w:type="dxa"/>
            <w:gridSpan w:val="2"/>
            <w:noWrap w:val="0"/>
            <w:vAlign w:val="center"/>
          </w:tcPr>
          <w:p w14:paraId="554B29EF">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5</w:t>
            </w:r>
          </w:p>
        </w:tc>
        <w:tc>
          <w:tcPr>
            <w:tcW w:w="3009" w:type="dxa"/>
            <w:gridSpan w:val="2"/>
            <w:noWrap w:val="0"/>
            <w:vAlign w:val="center"/>
          </w:tcPr>
          <w:p w14:paraId="25C26800">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室内自主行走</w:t>
            </w:r>
          </w:p>
        </w:tc>
        <w:tc>
          <w:tcPr>
            <w:tcW w:w="2368" w:type="dxa"/>
            <w:gridSpan w:val="2"/>
            <w:noWrap w:val="0"/>
            <w:vAlign w:val="center"/>
          </w:tcPr>
          <w:p w14:paraId="4D508F2F">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highlight w:val="none"/>
                <w:lang w:val="en-US" w:eastAsia="zh-CN" w:bidi="ar-SA"/>
              </w:rPr>
            </w:pP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lang w:eastAsia="zh-CN"/>
              </w:rPr>
              <w:t>是</w:t>
            </w:r>
            <w:r>
              <w:rPr>
                <w:rFonts w:hint="eastAsia" w:ascii="仿宋" w:hAnsi="仿宋" w:eastAsia="仿宋" w:cs="仿宋"/>
                <w:b w:val="0"/>
                <w:bCs/>
                <w:color w:val="auto"/>
                <w:sz w:val="28"/>
                <w:szCs w:val="28"/>
                <w:highlight w:val="none"/>
                <w:lang w:val="en-US" w:eastAsia="zh-CN"/>
              </w:rPr>
              <w:t xml:space="preserve">    </w:t>
            </w: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rPr>
              <w:t>否</w:t>
            </w:r>
          </w:p>
        </w:tc>
        <w:tc>
          <w:tcPr>
            <w:tcW w:w="2148" w:type="dxa"/>
            <w:gridSpan w:val="3"/>
            <w:vMerge w:val="continue"/>
            <w:noWrap w:val="0"/>
            <w:vAlign w:val="center"/>
          </w:tcPr>
          <w:p w14:paraId="4779A3E2">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p>
        </w:tc>
      </w:tr>
      <w:tr w14:paraId="7905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5" w:type="dxa"/>
            <w:gridSpan w:val="2"/>
            <w:noWrap w:val="0"/>
            <w:vAlign w:val="center"/>
          </w:tcPr>
          <w:p w14:paraId="1A4476A7">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6</w:t>
            </w:r>
          </w:p>
        </w:tc>
        <w:tc>
          <w:tcPr>
            <w:tcW w:w="3009" w:type="dxa"/>
            <w:gridSpan w:val="2"/>
            <w:noWrap w:val="0"/>
            <w:vAlign w:val="center"/>
          </w:tcPr>
          <w:p w14:paraId="71D4EE8E">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自主洗澡</w:t>
            </w:r>
          </w:p>
        </w:tc>
        <w:tc>
          <w:tcPr>
            <w:tcW w:w="2368" w:type="dxa"/>
            <w:gridSpan w:val="2"/>
            <w:noWrap w:val="0"/>
            <w:vAlign w:val="center"/>
          </w:tcPr>
          <w:p w14:paraId="2FA04396">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highlight w:val="none"/>
                <w:lang w:val="en-US" w:eastAsia="zh-CN" w:bidi="ar-SA"/>
              </w:rPr>
            </w:pP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lang w:eastAsia="zh-CN"/>
              </w:rPr>
              <w:t>是</w:t>
            </w:r>
            <w:r>
              <w:rPr>
                <w:rFonts w:hint="eastAsia" w:ascii="仿宋" w:hAnsi="仿宋" w:eastAsia="仿宋" w:cs="仿宋"/>
                <w:b w:val="0"/>
                <w:bCs/>
                <w:color w:val="auto"/>
                <w:sz w:val="28"/>
                <w:szCs w:val="28"/>
                <w:highlight w:val="none"/>
                <w:lang w:val="en-US" w:eastAsia="zh-CN"/>
              </w:rPr>
              <w:t xml:space="preserve">    </w:t>
            </w:r>
            <w:r>
              <w:rPr>
                <w:rFonts w:hint="eastAsia" w:eastAsia="仿宋_GB2312"/>
                <w:color w:val="auto"/>
                <w:sz w:val="24"/>
                <w:szCs w:val="24"/>
                <w:highlight w:val="none"/>
                <w:lang w:eastAsia="zh-CN"/>
              </w:rPr>
              <w:t>□</w:t>
            </w:r>
            <w:r>
              <w:rPr>
                <w:rFonts w:hint="eastAsia" w:ascii="仿宋" w:hAnsi="仿宋" w:eastAsia="仿宋" w:cs="仿宋"/>
                <w:b w:val="0"/>
                <w:bCs/>
                <w:color w:val="auto"/>
                <w:sz w:val="28"/>
                <w:szCs w:val="28"/>
                <w:highlight w:val="none"/>
              </w:rPr>
              <w:t>否</w:t>
            </w:r>
          </w:p>
        </w:tc>
        <w:tc>
          <w:tcPr>
            <w:tcW w:w="2148" w:type="dxa"/>
            <w:gridSpan w:val="3"/>
            <w:vMerge w:val="continue"/>
            <w:noWrap w:val="0"/>
            <w:vAlign w:val="center"/>
          </w:tcPr>
          <w:p w14:paraId="36885CC5">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highlight w:val="none"/>
              </w:rPr>
            </w:pPr>
          </w:p>
        </w:tc>
      </w:tr>
      <w:tr w14:paraId="1328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535" w:type="dxa"/>
            <w:gridSpan w:val="2"/>
            <w:noWrap w:val="0"/>
            <w:vAlign w:val="center"/>
          </w:tcPr>
          <w:p w14:paraId="6B7F18FE">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eastAsia="仿宋_GB2312"/>
                <w:b/>
                <w:color w:val="auto"/>
                <w:kern w:val="0"/>
                <w:sz w:val="32"/>
                <w:szCs w:val="32"/>
                <w:highlight w:val="none"/>
                <w:lang w:eastAsia="zh-CN"/>
              </w:rPr>
            </w:pPr>
            <w:r>
              <w:rPr>
                <w:rFonts w:hint="eastAsia" w:ascii="黑体" w:hAnsi="黑体" w:eastAsia="黑体" w:cs="黑体"/>
                <w:b w:val="0"/>
                <w:bCs/>
                <w:color w:val="auto"/>
                <w:sz w:val="28"/>
                <w:szCs w:val="28"/>
                <w:highlight w:val="none"/>
                <w:lang w:eastAsia="zh-CN"/>
              </w:rPr>
              <w:t>备注</w:t>
            </w:r>
          </w:p>
        </w:tc>
        <w:tc>
          <w:tcPr>
            <w:tcW w:w="7525" w:type="dxa"/>
            <w:gridSpan w:val="7"/>
            <w:noWrap w:val="0"/>
            <w:vAlign w:val="center"/>
          </w:tcPr>
          <w:p w14:paraId="2CF2CD16">
            <w:pPr>
              <w:keepNext w:val="0"/>
              <w:keepLines w:val="0"/>
              <w:pageBreakBefore w:val="0"/>
              <w:kinsoku/>
              <w:wordWrap/>
              <w:overflowPunct/>
              <w:topLinePunct w:val="0"/>
              <w:autoSpaceDE/>
              <w:autoSpaceDN/>
              <w:bidi w:val="0"/>
              <w:adjustRightInd w:val="0"/>
              <w:snapToGrid/>
              <w:spacing w:line="320" w:lineRule="exact"/>
              <w:jc w:val="left"/>
              <w:textAlignment w:val="auto"/>
              <w:rPr>
                <w:rFonts w:hint="default" w:eastAsia="仿宋_GB2312"/>
                <w:color w:val="auto"/>
                <w:sz w:val="32"/>
                <w:szCs w:val="32"/>
                <w:highlight w:val="none"/>
                <w:lang w:val="en-US" w:eastAsia="zh-CN"/>
              </w:rPr>
            </w:pPr>
            <w:r>
              <w:rPr>
                <w:rFonts w:hint="eastAsia" w:ascii="仿宋" w:hAnsi="仿宋" w:eastAsia="仿宋" w:cs="仿宋"/>
                <w:b w:val="0"/>
                <w:bCs/>
                <w:color w:val="auto"/>
                <w:sz w:val="28"/>
                <w:szCs w:val="28"/>
                <w:highlight w:val="none"/>
                <w:lang w:val="en-US" w:eastAsia="zh-CN"/>
              </w:rPr>
              <w:t>6项指标全部达到，认定为具备生活自理能力；1-3项指标不能达到的，认定为半护理；4-6项指标不能达到的，认定为全护理。</w:t>
            </w:r>
          </w:p>
        </w:tc>
      </w:tr>
    </w:tbl>
    <w:p w14:paraId="41AE43D1">
      <w:pPr>
        <w:keepNext w:val="0"/>
        <w:keepLines w:val="0"/>
        <w:pageBreakBefore w:val="0"/>
        <w:kinsoku/>
        <w:wordWrap/>
        <w:overflowPunct/>
        <w:topLinePunct w:val="0"/>
        <w:autoSpaceDE/>
        <w:autoSpaceDN/>
        <w:bidi w:val="0"/>
        <w:snapToGrid/>
        <w:spacing w:line="320" w:lineRule="exact"/>
        <w:jc w:val="left"/>
        <w:textAlignment w:val="auto"/>
        <w:rPr>
          <w:rFonts w:hint="default" w:ascii="仿宋" w:hAnsi="仿宋" w:eastAsia="仿宋" w:cs="仿宋"/>
          <w:b w:val="0"/>
          <w:bCs/>
          <w:color w:val="auto"/>
          <w:sz w:val="28"/>
          <w:szCs w:val="28"/>
          <w:highlight w:val="none"/>
        </w:rPr>
      </w:pPr>
    </w:p>
    <w:p w14:paraId="36BD3908">
      <w:pPr>
        <w:keepNext w:val="0"/>
        <w:keepLines w:val="0"/>
        <w:pageBreakBefore w:val="0"/>
        <w:kinsoku/>
        <w:wordWrap/>
        <w:overflowPunct/>
        <w:topLinePunct w:val="0"/>
        <w:autoSpaceDE/>
        <w:autoSpaceDN/>
        <w:bidi w:val="0"/>
        <w:snapToGrid/>
        <w:spacing w:line="320" w:lineRule="exact"/>
        <w:jc w:val="left"/>
        <w:textAlignment w:val="auto"/>
        <w:rPr>
          <w:rFonts w:eastAsia="楷体_GB2312"/>
          <w:color w:val="auto"/>
          <w:sz w:val="32"/>
          <w:szCs w:val="32"/>
          <w:highlight w:val="none"/>
        </w:rPr>
      </w:pPr>
      <w:r>
        <w:rPr>
          <w:rFonts w:hint="default" w:ascii="仿宋" w:hAnsi="仿宋" w:eastAsia="仿宋" w:cs="仿宋"/>
          <w:b w:val="0"/>
          <w:bCs/>
          <w:color w:val="auto"/>
          <w:sz w:val="28"/>
          <w:szCs w:val="28"/>
          <w:highlight w:val="none"/>
        </w:rPr>
        <w:t>村（社区）</w:t>
      </w:r>
      <w:r>
        <w:rPr>
          <w:rFonts w:hint="default" w:ascii="仿宋" w:hAnsi="仿宋" w:eastAsia="仿宋" w:cs="仿宋"/>
          <w:b w:val="0"/>
          <w:bCs/>
          <w:color w:val="auto"/>
          <w:sz w:val="28"/>
          <w:szCs w:val="28"/>
          <w:highlight w:val="none"/>
          <w:lang w:eastAsia="zh-CN"/>
        </w:rPr>
        <w:t>盖章：</w:t>
      </w:r>
      <w:r>
        <w:rPr>
          <w:rFonts w:hint="default" w:ascii="仿宋" w:hAnsi="仿宋" w:eastAsia="仿宋" w:cs="仿宋"/>
          <w:b w:val="0"/>
          <w:bCs/>
          <w:color w:val="auto"/>
          <w:sz w:val="28"/>
          <w:szCs w:val="28"/>
          <w:highlight w:val="none"/>
          <w:lang w:val="en-US" w:eastAsia="zh-CN"/>
        </w:rPr>
        <w:t xml:space="preserve">     </w:t>
      </w:r>
      <w:r>
        <w:rPr>
          <w:rFonts w:hint="default" w:ascii="仿宋" w:hAnsi="仿宋" w:eastAsia="仿宋" w:cs="仿宋"/>
          <w:b w:val="0"/>
          <w:bCs/>
          <w:color w:val="auto"/>
          <w:sz w:val="28"/>
          <w:szCs w:val="28"/>
          <w:highlight w:val="none"/>
        </w:rPr>
        <w:t xml:space="preserve">  </w:t>
      </w:r>
      <w:r>
        <w:rPr>
          <w:rFonts w:hint="eastAsia" w:ascii="仿宋" w:hAnsi="仿宋" w:eastAsia="仿宋" w:cs="仿宋"/>
          <w:b w:val="0"/>
          <w:bCs/>
          <w:color w:val="auto"/>
          <w:sz w:val="28"/>
          <w:szCs w:val="28"/>
          <w:highlight w:val="none"/>
          <w:lang w:val="en-US" w:eastAsia="zh-CN"/>
        </w:rPr>
        <w:t xml:space="preserve">     </w:t>
      </w:r>
      <w:r>
        <w:rPr>
          <w:rFonts w:hint="default" w:ascii="仿宋" w:hAnsi="仿宋" w:eastAsia="仿宋" w:cs="仿宋"/>
          <w:b w:val="0"/>
          <w:bCs/>
          <w:color w:val="auto"/>
          <w:sz w:val="28"/>
          <w:szCs w:val="28"/>
          <w:highlight w:val="none"/>
        </w:rPr>
        <w:t xml:space="preserve">  </w:t>
      </w:r>
      <w:r>
        <w:rPr>
          <w:rFonts w:hint="eastAsia" w:ascii="仿宋" w:hAnsi="仿宋" w:eastAsia="仿宋" w:cs="仿宋"/>
          <w:b w:val="0"/>
          <w:bCs/>
          <w:color w:val="auto"/>
          <w:sz w:val="28"/>
          <w:szCs w:val="28"/>
          <w:highlight w:val="none"/>
          <w:lang w:eastAsia="zh-CN"/>
        </w:rPr>
        <w:t>乡</w:t>
      </w:r>
      <w:r>
        <w:rPr>
          <w:rFonts w:hint="default" w:ascii="仿宋" w:hAnsi="仿宋" w:eastAsia="仿宋" w:cs="仿宋"/>
          <w:b w:val="0"/>
          <w:bCs/>
          <w:color w:val="auto"/>
          <w:sz w:val="28"/>
          <w:szCs w:val="28"/>
          <w:highlight w:val="none"/>
        </w:rPr>
        <w:t>镇（</w:t>
      </w:r>
      <w:r>
        <w:rPr>
          <w:rFonts w:hint="eastAsia" w:ascii="仿宋" w:hAnsi="仿宋" w:eastAsia="仿宋" w:cs="仿宋"/>
          <w:b w:val="0"/>
          <w:bCs/>
          <w:color w:val="auto"/>
          <w:sz w:val="28"/>
          <w:szCs w:val="28"/>
          <w:highlight w:val="none"/>
          <w:lang w:eastAsia="zh-CN"/>
        </w:rPr>
        <w:t>场</w:t>
      </w:r>
      <w:r>
        <w:rPr>
          <w:rFonts w:hint="default"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eastAsia="zh-CN"/>
        </w:rPr>
        <w:t>民生事务办</w:t>
      </w:r>
      <w:r>
        <w:rPr>
          <w:rFonts w:hint="default" w:ascii="仿宋" w:hAnsi="仿宋" w:eastAsia="仿宋" w:cs="仿宋"/>
          <w:b w:val="0"/>
          <w:bCs/>
          <w:color w:val="auto"/>
          <w:sz w:val="28"/>
          <w:szCs w:val="28"/>
          <w:highlight w:val="none"/>
          <w:lang w:eastAsia="zh-CN"/>
        </w:rPr>
        <w:t>盖章</w:t>
      </w:r>
      <w:r>
        <w:rPr>
          <w:rFonts w:hint="default" w:ascii="仿宋" w:hAnsi="仿宋" w:eastAsia="仿宋" w:cs="仿宋"/>
          <w:b w:val="0"/>
          <w:bCs/>
          <w:color w:val="auto"/>
          <w:sz w:val="28"/>
          <w:szCs w:val="28"/>
          <w:highlight w:val="none"/>
        </w:rPr>
        <w:t>：</w:t>
      </w:r>
    </w:p>
    <w:p w14:paraId="4E5F5440">
      <w:pPr>
        <w:keepNext w:val="0"/>
        <w:keepLines w:val="0"/>
        <w:pageBreakBefore w:val="0"/>
        <w:kinsoku/>
        <w:wordWrap/>
        <w:overflowPunct/>
        <w:topLinePunct w:val="0"/>
        <w:autoSpaceDE/>
        <w:autoSpaceDN/>
        <w:bidi w:val="0"/>
        <w:snapToGrid/>
        <w:spacing w:line="320" w:lineRule="exact"/>
        <w:textAlignment w:val="auto"/>
        <w:rPr>
          <w:rFonts w:eastAsia="楷体_GB2312"/>
          <w:color w:val="auto"/>
          <w:sz w:val="32"/>
          <w:szCs w:val="32"/>
          <w:highlight w:val="none"/>
        </w:rPr>
      </w:pPr>
    </w:p>
    <w:p w14:paraId="27303D34">
      <w:pPr>
        <w:keepNext w:val="0"/>
        <w:keepLines w:val="0"/>
        <w:pageBreakBefore w:val="0"/>
        <w:kinsoku/>
        <w:wordWrap/>
        <w:overflowPunct/>
        <w:topLinePunct w:val="0"/>
        <w:autoSpaceDE/>
        <w:autoSpaceDN/>
        <w:bidi w:val="0"/>
        <w:snapToGrid/>
        <w:spacing w:line="320" w:lineRule="exact"/>
        <w:textAlignment w:val="auto"/>
        <w:rPr>
          <w:rFonts w:eastAsia="楷体_GB2312"/>
          <w:color w:val="auto"/>
          <w:sz w:val="32"/>
          <w:szCs w:val="32"/>
          <w:highlight w:val="none"/>
        </w:rPr>
      </w:pPr>
    </w:p>
    <w:p w14:paraId="5DBEF1FA">
      <w:pPr>
        <w:spacing w:before="48" w:beforeLines="20" w:after="48" w:afterLines="20" w:line="440" w:lineRule="exact"/>
        <w:rPr>
          <w:rFonts w:hint="default" w:ascii="Times New Roman" w:hAnsi="Times New Roman" w:eastAsia="仿宋_GB2312" w:cs="Times New Roman"/>
          <w:color w:val="auto"/>
          <w:sz w:val="28"/>
          <w:szCs w:val="28"/>
          <w:highlight w:val="none"/>
        </w:rPr>
      </w:pPr>
      <w:r>
        <w:rPr>
          <w:rFonts w:hint="eastAsia" w:eastAsia="楷体_GB2312"/>
          <w:color w:val="auto"/>
          <w:sz w:val="32"/>
          <w:szCs w:val="32"/>
          <w:highlight w:val="none"/>
        </w:rPr>
        <w:t xml:space="preserve">                  </w:t>
      </w:r>
      <w:r>
        <w:rPr>
          <w:rFonts w:hint="eastAsia" w:eastAsia="楷体_GB2312"/>
          <w:color w:val="auto"/>
          <w:sz w:val="32"/>
          <w:szCs w:val="32"/>
          <w:highlight w:val="none"/>
          <w:lang w:val="en-US" w:eastAsia="zh-CN"/>
        </w:rPr>
        <w:t xml:space="preserve">                     </w:t>
      </w:r>
      <w:r>
        <w:rPr>
          <w:rFonts w:hint="eastAsia" w:eastAsia="楷体_GB2312"/>
          <w:color w:val="auto"/>
          <w:sz w:val="32"/>
          <w:szCs w:val="32"/>
          <w:highlight w:val="none"/>
        </w:rPr>
        <w:t xml:space="preserve">   </w:t>
      </w:r>
      <w:r>
        <w:rPr>
          <w:rFonts w:hint="default" w:ascii="仿宋" w:hAnsi="仿宋" w:eastAsia="仿宋" w:cs="仿宋"/>
          <w:b w:val="0"/>
          <w:bCs/>
          <w:color w:val="auto"/>
          <w:sz w:val="28"/>
          <w:szCs w:val="28"/>
          <w:highlight w:val="none"/>
        </w:rPr>
        <w:t xml:space="preserve">年 </w:t>
      </w:r>
      <w:r>
        <w:rPr>
          <w:rFonts w:hint="eastAsia" w:ascii="仿宋" w:hAnsi="仿宋" w:eastAsia="仿宋" w:cs="仿宋"/>
          <w:b w:val="0"/>
          <w:bCs/>
          <w:color w:val="auto"/>
          <w:sz w:val="28"/>
          <w:szCs w:val="28"/>
          <w:highlight w:val="none"/>
          <w:lang w:val="en-US" w:eastAsia="zh-CN"/>
        </w:rPr>
        <w:t xml:space="preserve"> </w:t>
      </w:r>
      <w:r>
        <w:rPr>
          <w:rFonts w:hint="default" w:ascii="仿宋" w:hAnsi="仿宋" w:eastAsia="仿宋" w:cs="仿宋"/>
          <w:b w:val="0"/>
          <w:bCs/>
          <w:color w:val="auto"/>
          <w:sz w:val="28"/>
          <w:szCs w:val="28"/>
          <w:highlight w:val="none"/>
        </w:rPr>
        <w:t xml:space="preserve">  月    日</w:t>
      </w:r>
    </w:p>
    <w:p w14:paraId="4A78E7C3">
      <w:pPr>
        <w:keepNext w:val="0"/>
        <w:keepLines w:val="0"/>
        <w:pageBreakBefore w:val="0"/>
        <w:widowControl w:val="0"/>
        <w:kinsoku/>
        <w:wordWrap/>
        <w:overflowPunct/>
        <w:topLinePunct w:val="0"/>
        <w:autoSpaceDE/>
        <w:autoSpaceDN/>
        <w:bidi w:val="0"/>
        <w:adjustRightInd/>
        <w:snapToGrid/>
        <w:spacing w:beforeAutospacing="0" w:after="157" w:afterLines="50" w:line="580" w:lineRule="exact"/>
        <w:ind w:right="0"/>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br w:type="page"/>
      </w:r>
      <w:r>
        <w:rPr>
          <w:rFonts w:hint="default" w:ascii="仿宋_GB2312" w:hAnsi="仿宋_GB2312" w:eastAsia="仿宋_GB2312" w:cs="仿宋_GB2312"/>
          <w:color w:val="auto"/>
          <w:sz w:val="28"/>
          <w:szCs w:val="28"/>
          <w:highlight w:val="none"/>
          <w:lang w:val="en-US" w:eastAsia="zh-CN"/>
        </w:rPr>
        <w:t>附件5</w:t>
      </w:r>
    </w:p>
    <w:p w14:paraId="0D031D03">
      <w:pPr>
        <w:keepNext w:val="0"/>
        <w:keepLines w:val="0"/>
        <w:pageBreakBefore w:val="0"/>
        <w:widowControl w:val="0"/>
        <w:kinsoku/>
        <w:wordWrap/>
        <w:overflowPunct/>
        <w:topLinePunct w:val="0"/>
        <w:autoSpaceDE/>
        <w:autoSpaceDN/>
        <w:bidi w:val="0"/>
        <w:adjustRightInd/>
        <w:snapToGrid/>
        <w:spacing w:beforeAutospacing="0" w:line="580" w:lineRule="exact"/>
        <w:ind w:right="0"/>
        <w:jc w:val="center"/>
        <w:textAlignment w:val="auto"/>
        <w:rPr>
          <w:rFonts w:hint="default"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lang w:val="en-US" w:eastAsia="zh-CN"/>
        </w:rPr>
        <w:t>炎陵县</w:t>
      </w:r>
      <w:r>
        <w:rPr>
          <w:rFonts w:hint="default" w:ascii="Times New Roman" w:hAnsi="Times New Roman" w:eastAsia="方正小标宋简体" w:cs="Times New Roman"/>
          <w:color w:val="auto"/>
          <w:sz w:val="44"/>
          <w:szCs w:val="44"/>
          <w:highlight w:val="none"/>
        </w:rPr>
        <w:t>社会救助家庭</w:t>
      </w:r>
      <w:r>
        <w:rPr>
          <w:rFonts w:hint="default" w:ascii="Times New Roman" w:hAnsi="Times New Roman" w:eastAsia="方正小标宋简体" w:cs="Times New Roman"/>
          <w:color w:val="auto"/>
          <w:sz w:val="44"/>
          <w:szCs w:val="44"/>
          <w:highlight w:val="none"/>
          <w:lang w:val="en-US" w:eastAsia="zh-CN"/>
        </w:rPr>
        <w:t>一事一议</w:t>
      </w:r>
      <w:r>
        <w:rPr>
          <w:rFonts w:hint="default" w:ascii="Times New Roman" w:hAnsi="Times New Roman" w:eastAsia="方正小标宋简体" w:cs="Times New Roman"/>
          <w:color w:val="auto"/>
          <w:sz w:val="44"/>
          <w:szCs w:val="44"/>
          <w:highlight w:val="none"/>
        </w:rPr>
        <w:t>审批表</w:t>
      </w:r>
    </w:p>
    <w:tbl>
      <w:tblPr>
        <w:tblStyle w:val="16"/>
        <w:tblW w:w="969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87"/>
        <w:gridCol w:w="1646"/>
        <w:gridCol w:w="1464"/>
        <w:gridCol w:w="1152"/>
        <w:gridCol w:w="1386"/>
        <w:gridCol w:w="2661"/>
      </w:tblGrid>
      <w:tr w14:paraId="4CA9D4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1387" w:type="dxa"/>
            <w:tcBorders>
              <w:tl2br w:val="nil"/>
              <w:tr2bl w:val="nil"/>
            </w:tcBorders>
            <w:noWrap w:val="0"/>
            <w:vAlign w:val="center"/>
          </w:tcPr>
          <w:p w14:paraId="6F81CD51">
            <w:pPr>
              <w:keepNext w:val="0"/>
              <w:keepLines w:val="0"/>
              <w:pageBreakBefore w:val="0"/>
              <w:widowControl w:val="0"/>
              <w:kinsoku/>
              <w:wordWrap/>
              <w:overflowPunct/>
              <w:topLinePunct w:val="0"/>
              <w:autoSpaceDE/>
              <w:autoSpaceDN/>
              <w:bidi w:val="0"/>
              <w:adjustRightInd/>
              <w:snapToGrid/>
              <w:spacing w:line="320" w:lineRule="exact"/>
              <w:ind w:left="74" w:right="17"/>
              <w:jc w:val="center"/>
              <w:textAlignment w:val="auto"/>
              <w:rPr>
                <w:rFonts w:hint="default" w:ascii="Times New Roman" w:hAnsi="Times New Roman" w:eastAsia="黑体" w:cs="Times New Roman"/>
                <w:color w:val="auto"/>
                <w:spacing w:val="5"/>
                <w:sz w:val="24"/>
                <w:szCs w:val="24"/>
                <w:highlight w:val="none"/>
              </w:rPr>
            </w:pPr>
            <w:r>
              <w:rPr>
                <w:rFonts w:hint="default" w:ascii="Times New Roman" w:hAnsi="Times New Roman" w:eastAsia="黑体" w:cs="Times New Roman"/>
                <w:color w:val="auto"/>
                <w:spacing w:val="5"/>
                <w:sz w:val="24"/>
                <w:szCs w:val="24"/>
                <w:highlight w:val="none"/>
              </w:rPr>
              <w:t>户主姓名</w:t>
            </w:r>
          </w:p>
        </w:tc>
        <w:tc>
          <w:tcPr>
            <w:tcW w:w="1646" w:type="dxa"/>
            <w:tcBorders>
              <w:tl2br w:val="nil"/>
              <w:tr2bl w:val="nil"/>
            </w:tcBorders>
            <w:noWrap w:val="0"/>
            <w:vAlign w:val="center"/>
          </w:tcPr>
          <w:p w14:paraId="602A6E34">
            <w:pPr>
              <w:keepNext w:val="0"/>
              <w:keepLines w:val="0"/>
              <w:pageBreakBefore w:val="0"/>
              <w:widowControl w:val="0"/>
              <w:kinsoku/>
              <w:wordWrap/>
              <w:overflowPunct/>
              <w:topLinePunct w:val="0"/>
              <w:autoSpaceDE/>
              <w:autoSpaceDN/>
              <w:bidi w:val="0"/>
              <w:adjustRightInd/>
              <w:snapToGrid/>
              <w:spacing w:line="320" w:lineRule="exact"/>
              <w:ind w:left="74" w:right="17"/>
              <w:jc w:val="center"/>
              <w:textAlignment w:val="auto"/>
              <w:rPr>
                <w:rFonts w:hint="default" w:ascii="Times New Roman" w:hAnsi="Times New Roman" w:cs="Times New Roman"/>
                <w:color w:val="auto"/>
                <w:spacing w:val="5"/>
                <w:sz w:val="24"/>
                <w:szCs w:val="24"/>
                <w:highlight w:val="none"/>
                <w:lang w:val="en-US" w:eastAsia="zh-CN"/>
              </w:rPr>
            </w:pPr>
          </w:p>
        </w:tc>
        <w:tc>
          <w:tcPr>
            <w:tcW w:w="1464" w:type="dxa"/>
            <w:tcBorders>
              <w:tl2br w:val="nil"/>
              <w:tr2bl w:val="nil"/>
            </w:tcBorders>
            <w:noWrap w:val="0"/>
            <w:vAlign w:val="center"/>
          </w:tcPr>
          <w:p w14:paraId="5674B660">
            <w:pPr>
              <w:keepNext w:val="0"/>
              <w:keepLines w:val="0"/>
              <w:pageBreakBefore w:val="0"/>
              <w:widowControl w:val="0"/>
              <w:kinsoku/>
              <w:wordWrap/>
              <w:overflowPunct/>
              <w:topLinePunct w:val="0"/>
              <w:autoSpaceDE/>
              <w:autoSpaceDN/>
              <w:bidi w:val="0"/>
              <w:adjustRightInd/>
              <w:snapToGrid/>
              <w:spacing w:line="320" w:lineRule="exact"/>
              <w:ind w:left="74" w:right="17"/>
              <w:jc w:val="center"/>
              <w:textAlignment w:val="auto"/>
              <w:rPr>
                <w:rFonts w:hint="default" w:ascii="Times New Roman" w:hAnsi="Times New Roman" w:eastAsia="黑体" w:cs="Times New Roman"/>
                <w:color w:val="auto"/>
                <w:spacing w:val="5"/>
                <w:sz w:val="24"/>
                <w:szCs w:val="24"/>
                <w:highlight w:val="none"/>
                <w:lang w:val="en-US" w:eastAsia="zh-CN"/>
              </w:rPr>
            </w:pPr>
            <w:r>
              <w:rPr>
                <w:rFonts w:hint="default" w:ascii="Times New Roman" w:hAnsi="Times New Roman" w:eastAsia="黑体" w:cs="Times New Roman"/>
                <w:color w:val="auto"/>
                <w:spacing w:val="5"/>
                <w:sz w:val="24"/>
                <w:szCs w:val="24"/>
                <w:highlight w:val="none"/>
                <w:lang w:val="en-US" w:eastAsia="zh-CN"/>
              </w:rPr>
              <w:t>性别</w:t>
            </w:r>
          </w:p>
        </w:tc>
        <w:tc>
          <w:tcPr>
            <w:tcW w:w="1152" w:type="dxa"/>
            <w:tcBorders>
              <w:tl2br w:val="nil"/>
              <w:tr2bl w:val="nil"/>
            </w:tcBorders>
            <w:noWrap w:val="0"/>
            <w:vAlign w:val="center"/>
          </w:tcPr>
          <w:p w14:paraId="0E29301C">
            <w:pPr>
              <w:keepNext w:val="0"/>
              <w:keepLines w:val="0"/>
              <w:pageBreakBefore w:val="0"/>
              <w:widowControl w:val="0"/>
              <w:kinsoku/>
              <w:wordWrap/>
              <w:overflowPunct/>
              <w:topLinePunct w:val="0"/>
              <w:autoSpaceDE/>
              <w:autoSpaceDN/>
              <w:bidi w:val="0"/>
              <w:adjustRightInd/>
              <w:snapToGrid/>
              <w:spacing w:line="320" w:lineRule="exact"/>
              <w:ind w:left="74" w:right="17"/>
              <w:jc w:val="center"/>
              <w:textAlignment w:val="auto"/>
              <w:rPr>
                <w:rFonts w:hint="default" w:ascii="Times New Roman" w:hAnsi="Times New Roman" w:eastAsia="宋体" w:cs="Times New Roman"/>
                <w:color w:val="auto"/>
                <w:spacing w:val="5"/>
                <w:sz w:val="24"/>
                <w:szCs w:val="24"/>
                <w:highlight w:val="none"/>
                <w:lang w:val="en-US" w:eastAsia="zh-CN"/>
              </w:rPr>
            </w:pPr>
          </w:p>
        </w:tc>
        <w:tc>
          <w:tcPr>
            <w:tcW w:w="1386" w:type="dxa"/>
            <w:tcBorders>
              <w:tl2br w:val="nil"/>
              <w:tr2bl w:val="nil"/>
            </w:tcBorders>
            <w:noWrap w:val="0"/>
            <w:vAlign w:val="center"/>
          </w:tcPr>
          <w:p w14:paraId="08554A58">
            <w:pPr>
              <w:keepNext w:val="0"/>
              <w:keepLines w:val="0"/>
              <w:pageBreakBefore w:val="0"/>
              <w:widowControl w:val="0"/>
              <w:kinsoku/>
              <w:wordWrap/>
              <w:overflowPunct/>
              <w:topLinePunct w:val="0"/>
              <w:autoSpaceDE/>
              <w:autoSpaceDN/>
              <w:bidi w:val="0"/>
              <w:adjustRightInd/>
              <w:snapToGrid/>
              <w:spacing w:line="320" w:lineRule="exact"/>
              <w:ind w:left="74" w:right="17"/>
              <w:jc w:val="center"/>
              <w:textAlignment w:val="auto"/>
              <w:rPr>
                <w:rFonts w:hint="default" w:ascii="Times New Roman" w:hAnsi="Times New Roman" w:eastAsia="宋体" w:cs="Times New Roman"/>
                <w:color w:val="auto"/>
                <w:spacing w:val="5"/>
                <w:sz w:val="24"/>
                <w:szCs w:val="24"/>
                <w:highlight w:val="none"/>
                <w:lang w:val="en-US" w:eastAsia="zh-CN"/>
              </w:rPr>
            </w:pPr>
            <w:r>
              <w:rPr>
                <w:rFonts w:hint="default" w:ascii="Times New Roman" w:hAnsi="Times New Roman" w:eastAsia="黑体" w:cs="Times New Roman"/>
                <w:color w:val="auto"/>
                <w:spacing w:val="5"/>
                <w:sz w:val="24"/>
                <w:szCs w:val="24"/>
                <w:highlight w:val="none"/>
              </w:rPr>
              <w:t>户主</w:t>
            </w:r>
            <w:r>
              <w:rPr>
                <w:rFonts w:hint="default" w:ascii="Times New Roman" w:hAnsi="Times New Roman" w:eastAsia="黑体" w:cs="Times New Roman"/>
                <w:color w:val="auto"/>
                <w:spacing w:val="3"/>
                <w:sz w:val="24"/>
                <w:szCs w:val="24"/>
                <w:highlight w:val="none"/>
              </w:rPr>
              <w:t>身份证号</w:t>
            </w:r>
          </w:p>
        </w:tc>
        <w:tc>
          <w:tcPr>
            <w:tcW w:w="2661" w:type="dxa"/>
            <w:tcBorders>
              <w:tl2br w:val="nil"/>
              <w:tr2bl w:val="nil"/>
            </w:tcBorders>
            <w:noWrap w:val="0"/>
            <w:vAlign w:val="center"/>
          </w:tcPr>
          <w:p w14:paraId="51F15334">
            <w:pPr>
              <w:keepNext w:val="0"/>
              <w:keepLines w:val="0"/>
              <w:pageBreakBefore w:val="0"/>
              <w:widowControl w:val="0"/>
              <w:kinsoku/>
              <w:wordWrap/>
              <w:overflowPunct/>
              <w:topLinePunct w:val="0"/>
              <w:autoSpaceDE/>
              <w:autoSpaceDN/>
              <w:bidi w:val="0"/>
              <w:adjustRightInd/>
              <w:snapToGrid/>
              <w:spacing w:line="320" w:lineRule="exact"/>
              <w:ind w:left="76" w:right="17"/>
              <w:jc w:val="center"/>
              <w:textAlignment w:val="auto"/>
              <w:rPr>
                <w:rFonts w:hint="default" w:ascii="Times New Roman" w:hAnsi="Times New Roman" w:eastAsia="宋体" w:cs="Times New Roman"/>
                <w:color w:val="auto"/>
                <w:spacing w:val="5"/>
                <w:sz w:val="24"/>
                <w:szCs w:val="24"/>
                <w:highlight w:val="none"/>
                <w:lang w:val="en-US" w:eastAsia="zh-CN"/>
              </w:rPr>
            </w:pPr>
          </w:p>
        </w:tc>
      </w:tr>
      <w:tr w14:paraId="170714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1387" w:type="dxa"/>
            <w:tcBorders>
              <w:tl2br w:val="nil"/>
              <w:tr2bl w:val="nil"/>
            </w:tcBorders>
            <w:noWrap w:val="0"/>
            <w:vAlign w:val="center"/>
          </w:tcPr>
          <w:p w14:paraId="4FC97B42">
            <w:pPr>
              <w:keepNext w:val="0"/>
              <w:keepLines w:val="0"/>
              <w:pageBreakBefore w:val="0"/>
              <w:widowControl w:val="0"/>
              <w:kinsoku/>
              <w:wordWrap/>
              <w:overflowPunct/>
              <w:topLinePunct w:val="0"/>
              <w:autoSpaceDE/>
              <w:autoSpaceDN/>
              <w:bidi w:val="0"/>
              <w:adjustRightInd/>
              <w:snapToGrid/>
              <w:spacing w:line="320" w:lineRule="exact"/>
              <w:ind w:left="74" w:leftChars="0" w:right="17" w:rightChars="0"/>
              <w:jc w:val="center"/>
              <w:textAlignment w:val="auto"/>
              <w:rPr>
                <w:rFonts w:hint="default" w:ascii="Times New Roman" w:hAnsi="Times New Roman" w:eastAsia="黑体" w:cs="Times New Roman"/>
                <w:color w:val="auto"/>
                <w:spacing w:val="5"/>
                <w:kern w:val="2"/>
                <w:sz w:val="24"/>
                <w:szCs w:val="24"/>
                <w:highlight w:val="none"/>
                <w:lang w:val="en-US" w:eastAsia="zh-CN" w:bidi="ar-SA"/>
              </w:rPr>
            </w:pPr>
            <w:r>
              <w:rPr>
                <w:rFonts w:hint="default" w:ascii="Times New Roman" w:hAnsi="Times New Roman" w:eastAsia="黑体" w:cs="Times New Roman"/>
                <w:color w:val="auto"/>
                <w:spacing w:val="5"/>
                <w:sz w:val="24"/>
                <w:szCs w:val="24"/>
                <w:highlight w:val="none"/>
              </w:rPr>
              <w:t>复核类别</w:t>
            </w:r>
          </w:p>
        </w:tc>
        <w:tc>
          <w:tcPr>
            <w:tcW w:w="8309" w:type="dxa"/>
            <w:gridSpan w:val="5"/>
            <w:tcBorders>
              <w:tl2br w:val="nil"/>
              <w:tr2bl w:val="nil"/>
            </w:tcBorders>
            <w:noWrap w:val="0"/>
            <w:vAlign w:val="center"/>
          </w:tcPr>
          <w:p w14:paraId="599AB5D4">
            <w:pPr>
              <w:keepNext w:val="0"/>
              <w:keepLines w:val="0"/>
              <w:pageBreakBefore w:val="0"/>
              <w:widowControl w:val="0"/>
              <w:kinsoku/>
              <w:wordWrap/>
              <w:overflowPunct/>
              <w:topLinePunct w:val="0"/>
              <w:autoSpaceDE/>
              <w:autoSpaceDN/>
              <w:bidi w:val="0"/>
              <w:adjustRightInd/>
              <w:snapToGrid/>
              <w:spacing w:line="320" w:lineRule="exact"/>
              <w:ind w:firstLine="256" w:firstLineChars="1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pacing w:val="8"/>
                <w:sz w:val="24"/>
                <w:szCs w:val="24"/>
                <w:highlight w:val="none"/>
                <w:lang w:eastAsia="zh-CN"/>
              </w:rPr>
              <w:t>□</w:t>
            </w:r>
            <w:r>
              <w:rPr>
                <w:rFonts w:hint="default" w:ascii="Times New Roman" w:hAnsi="Times New Roman" w:eastAsia="宋体" w:cs="Times New Roman"/>
                <w:color w:val="auto"/>
                <w:spacing w:val="8"/>
                <w:sz w:val="24"/>
                <w:szCs w:val="24"/>
                <w:highlight w:val="none"/>
                <w:lang w:val="en-US" w:eastAsia="zh-CN"/>
              </w:rPr>
              <w:t xml:space="preserve">新增  </w:t>
            </w:r>
            <w:r>
              <w:rPr>
                <w:rFonts w:hint="default" w:ascii="Times New Roman" w:hAnsi="Times New Roman" w:cs="Times New Roman"/>
                <w:color w:val="auto"/>
                <w:spacing w:val="8"/>
                <w:sz w:val="24"/>
                <w:szCs w:val="24"/>
                <w:highlight w:val="none"/>
                <w:lang w:val="en-US" w:eastAsia="zh-CN"/>
              </w:rPr>
              <w:t xml:space="preserve">  </w:t>
            </w:r>
            <w:r>
              <w:rPr>
                <w:rFonts w:hint="default" w:ascii="Times New Roman" w:hAnsi="Times New Roman" w:eastAsia="宋体" w:cs="Times New Roman"/>
                <w:color w:val="auto"/>
                <w:spacing w:val="8"/>
                <w:sz w:val="24"/>
                <w:szCs w:val="24"/>
                <w:highlight w:val="none"/>
                <w:lang w:val="en-US" w:eastAsia="zh-CN"/>
              </w:rPr>
              <w:t xml:space="preserve"> </w:t>
            </w:r>
            <w:r>
              <w:rPr>
                <w:rFonts w:hint="default" w:ascii="Times New Roman" w:hAnsi="Times New Roman" w:cs="Times New Roman"/>
                <w:color w:val="auto"/>
                <w:spacing w:val="8"/>
                <w:sz w:val="24"/>
                <w:szCs w:val="24"/>
                <w:highlight w:val="none"/>
                <w:lang w:val="en-US" w:eastAsia="zh-CN"/>
              </w:rPr>
              <w:t xml:space="preserve">  </w:t>
            </w:r>
            <w:r>
              <w:rPr>
                <w:rFonts w:hint="eastAsia" w:ascii="Times New Roman" w:hAnsi="Times New Roman" w:cs="Times New Roman"/>
                <w:color w:val="auto"/>
                <w:spacing w:val="8"/>
                <w:sz w:val="24"/>
                <w:szCs w:val="24"/>
                <w:highlight w:val="none"/>
                <w:lang w:eastAsia="zh-CN"/>
              </w:rPr>
              <w:t>□</w:t>
            </w:r>
            <w:r>
              <w:rPr>
                <w:rFonts w:hint="default" w:ascii="Times New Roman" w:hAnsi="Times New Roman" w:eastAsia="宋体" w:cs="Times New Roman"/>
                <w:color w:val="auto"/>
                <w:spacing w:val="8"/>
                <w:sz w:val="24"/>
                <w:szCs w:val="24"/>
                <w:highlight w:val="none"/>
                <w:lang w:val="en-US" w:eastAsia="zh-CN"/>
              </w:rPr>
              <w:t xml:space="preserve">核减  </w:t>
            </w:r>
            <w:r>
              <w:rPr>
                <w:rFonts w:hint="default" w:ascii="Times New Roman" w:hAnsi="Times New Roman" w:cs="Times New Roman"/>
                <w:color w:val="auto"/>
                <w:spacing w:val="8"/>
                <w:sz w:val="24"/>
                <w:szCs w:val="24"/>
                <w:highlight w:val="none"/>
                <w:lang w:val="en-US" w:eastAsia="zh-CN"/>
              </w:rPr>
              <w:t xml:space="preserve">  </w:t>
            </w:r>
            <w:r>
              <w:rPr>
                <w:rFonts w:hint="default" w:ascii="Times New Roman" w:hAnsi="Times New Roman" w:eastAsia="宋体" w:cs="Times New Roman"/>
                <w:color w:val="auto"/>
                <w:spacing w:val="8"/>
                <w:sz w:val="24"/>
                <w:szCs w:val="24"/>
                <w:highlight w:val="none"/>
                <w:lang w:val="en-US" w:eastAsia="zh-CN"/>
              </w:rPr>
              <w:t xml:space="preserve"> </w:t>
            </w:r>
            <w:r>
              <w:rPr>
                <w:rFonts w:hint="default" w:ascii="Times New Roman" w:hAnsi="Times New Roman" w:cs="Times New Roman"/>
                <w:color w:val="auto"/>
                <w:spacing w:val="8"/>
                <w:sz w:val="24"/>
                <w:szCs w:val="24"/>
                <w:highlight w:val="none"/>
                <w:lang w:val="en-US" w:eastAsia="zh-CN"/>
              </w:rPr>
              <w:t xml:space="preserve">  </w:t>
            </w:r>
            <w:r>
              <w:rPr>
                <w:rFonts w:hint="eastAsia" w:ascii="Times New Roman" w:hAnsi="Times New Roman" w:eastAsia="宋体" w:cs="Times New Roman"/>
                <w:color w:val="auto"/>
                <w:spacing w:val="8"/>
                <w:sz w:val="24"/>
                <w:szCs w:val="24"/>
                <w:highlight w:val="none"/>
                <w:lang w:eastAsia="zh-CN"/>
              </w:rPr>
              <w:t>□</w:t>
            </w:r>
            <w:r>
              <w:rPr>
                <w:rFonts w:hint="default" w:ascii="Times New Roman" w:hAnsi="Times New Roman" w:eastAsia="宋体" w:cs="Times New Roman"/>
                <w:color w:val="auto"/>
                <w:spacing w:val="8"/>
                <w:sz w:val="24"/>
                <w:szCs w:val="24"/>
                <w:highlight w:val="none"/>
                <w:lang w:val="en-US" w:eastAsia="zh-CN"/>
              </w:rPr>
              <w:t xml:space="preserve">提标  </w:t>
            </w:r>
            <w:r>
              <w:rPr>
                <w:rFonts w:hint="default" w:ascii="Times New Roman" w:hAnsi="Times New Roman" w:cs="Times New Roman"/>
                <w:color w:val="auto"/>
                <w:spacing w:val="8"/>
                <w:sz w:val="24"/>
                <w:szCs w:val="24"/>
                <w:highlight w:val="none"/>
                <w:lang w:val="en-US" w:eastAsia="zh-CN"/>
              </w:rPr>
              <w:t xml:space="preserve">  </w:t>
            </w:r>
            <w:r>
              <w:rPr>
                <w:rFonts w:hint="default" w:ascii="Times New Roman" w:hAnsi="Times New Roman" w:eastAsia="宋体" w:cs="Times New Roman"/>
                <w:color w:val="auto"/>
                <w:spacing w:val="8"/>
                <w:sz w:val="24"/>
                <w:szCs w:val="24"/>
                <w:highlight w:val="none"/>
                <w:lang w:val="en-US" w:eastAsia="zh-CN"/>
              </w:rPr>
              <w:t xml:space="preserve"> </w:t>
            </w:r>
            <w:r>
              <w:rPr>
                <w:rFonts w:hint="default" w:ascii="Times New Roman" w:hAnsi="Times New Roman" w:cs="Times New Roman"/>
                <w:color w:val="auto"/>
                <w:spacing w:val="8"/>
                <w:sz w:val="24"/>
                <w:szCs w:val="24"/>
                <w:highlight w:val="none"/>
                <w:lang w:val="en-US" w:eastAsia="zh-CN"/>
              </w:rPr>
              <w:t xml:space="preserve">  </w:t>
            </w:r>
            <w:r>
              <w:rPr>
                <w:rFonts w:hint="eastAsia" w:ascii="Times New Roman" w:hAnsi="Times New Roman" w:eastAsia="宋体" w:cs="Times New Roman"/>
                <w:color w:val="auto"/>
                <w:spacing w:val="8"/>
                <w:sz w:val="24"/>
                <w:szCs w:val="24"/>
                <w:highlight w:val="none"/>
                <w:lang w:eastAsia="zh-CN"/>
              </w:rPr>
              <w:t>□</w:t>
            </w:r>
            <w:r>
              <w:rPr>
                <w:rFonts w:hint="default" w:ascii="Times New Roman" w:hAnsi="Times New Roman" w:eastAsia="宋体" w:cs="Times New Roman"/>
                <w:color w:val="auto"/>
                <w:spacing w:val="8"/>
                <w:sz w:val="24"/>
                <w:szCs w:val="24"/>
                <w:highlight w:val="none"/>
                <w:lang w:val="en-US" w:eastAsia="zh-CN"/>
              </w:rPr>
              <w:t>其它</w:t>
            </w:r>
          </w:p>
        </w:tc>
      </w:tr>
      <w:tr w14:paraId="4AFD94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1387" w:type="dxa"/>
            <w:tcBorders>
              <w:tl2br w:val="nil"/>
              <w:tr2bl w:val="nil"/>
            </w:tcBorders>
            <w:noWrap w:val="0"/>
            <w:vAlign w:val="center"/>
          </w:tcPr>
          <w:p w14:paraId="6AFB3222">
            <w:pPr>
              <w:keepNext w:val="0"/>
              <w:keepLines w:val="0"/>
              <w:pageBreakBefore w:val="0"/>
              <w:widowControl w:val="0"/>
              <w:kinsoku/>
              <w:wordWrap/>
              <w:overflowPunct/>
              <w:topLinePunct w:val="0"/>
              <w:autoSpaceDE/>
              <w:autoSpaceDN/>
              <w:bidi w:val="0"/>
              <w:adjustRightInd/>
              <w:snapToGrid/>
              <w:spacing w:line="320" w:lineRule="exact"/>
              <w:ind w:left="74" w:leftChars="0" w:right="17" w:rightChars="0"/>
              <w:jc w:val="center"/>
              <w:textAlignment w:val="auto"/>
              <w:rPr>
                <w:rFonts w:hint="default" w:ascii="Times New Roman" w:hAnsi="Times New Roman" w:eastAsia="黑体" w:cs="Times New Roman"/>
                <w:color w:val="auto"/>
                <w:spacing w:val="5"/>
                <w:kern w:val="2"/>
                <w:sz w:val="24"/>
                <w:szCs w:val="24"/>
                <w:highlight w:val="none"/>
                <w:lang w:val="en-US" w:eastAsia="zh-CN" w:bidi="ar-SA"/>
              </w:rPr>
            </w:pPr>
            <w:r>
              <w:rPr>
                <w:rFonts w:hint="default" w:ascii="Times New Roman" w:hAnsi="Times New Roman" w:eastAsia="黑体" w:cs="Times New Roman"/>
                <w:color w:val="auto"/>
                <w:spacing w:val="5"/>
                <w:sz w:val="24"/>
                <w:szCs w:val="24"/>
                <w:highlight w:val="none"/>
                <w:lang w:val="en-US" w:eastAsia="zh-CN"/>
              </w:rPr>
              <w:t>人员类别</w:t>
            </w:r>
          </w:p>
        </w:tc>
        <w:tc>
          <w:tcPr>
            <w:tcW w:w="8309" w:type="dxa"/>
            <w:gridSpan w:val="5"/>
            <w:tcBorders>
              <w:tl2br w:val="nil"/>
              <w:tr2bl w:val="nil"/>
            </w:tcBorders>
            <w:noWrap w:val="0"/>
            <w:vAlign w:val="center"/>
          </w:tcPr>
          <w:p w14:paraId="3077E5FE">
            <w:pPr>
              <w:keepNext w:val="0"/>
              <w:keepLines w:val="0"/>
              <w:pageBreakBefore w:val="0"/>
              <w:widowControl w:val="0"/>
              <w:kinsoku/>
              <w:wordWrap/>
              <w:overflowPunct/>
              <w:topLinePunct w:val="0"/>
              <w:autoSpaceDE/>
              <w:autoSpaceDN/>
              <w:bidi w:val="0"/>
              <w:adjustRightInd/>
              <w:snapToGrid/>
              <w:spacing w:line="320" w:lineRule="exact"/>
              <w:ind w:left="239" w:leftChars="114" w:firstLine="0" w:firstLineChars="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 xml:space="preserve">城市低保    </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 xml:space="preserve">农村低保    </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 xml:space="preserve">城市低边家庭    </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 xml:space="preserve">农村低边家庭     </w:t>
            </w:r>
          </w:p>
          <w:p w14:paraId="0F24D55B">
            <w:pPr>
              <w:keepNext w:val="0"/>
              <w:keepLines w:val="0"/>
              <w:pageBreakBefore w:val="0"/>
              <w:widowControl w:val="0"/>
              <w:kinsoku/>
              <w:wordWrap/>
              <w:overflowPunct/>
              <w:topLinePunct w:val="0"/>
              <w:autoSpaceDE/>
              <w:autoSpaceDN/>
              <w:bidi w:val="0"/>
              <w:adjustRightInd/>
              <w:snapToGrid/>
              <w:spacing w:line="320" w:lineRule="exact"/>
              <w:ind w:left="239" w:leftChars="114" w:firstLine="0" w:firstLineChars="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 xml:space="preserve">城市特困供养    </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 xml:space="preserve">农村特困供养    </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其它</w:t>
            </w:r>
          </w:p>
        </w:tc>
      </w:tr>
      <w:tr w14:paraId="4FF19F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87" w:type="dxa"/>
            <w:vMerge w:val="restart"/>
            <w:tcBorders>
              <w:tl2br w:val="nil"/>
              <w:tr2bl w:val="nil"/>
            </w:tcBorders>
            <w:noWrap w:val="0"/>
            <w:vAlign w:val="center"/>
          </w:tcPr>
          <w:p w14:paraId="494F85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pacing w:val="7"/>
                <w:sz w:val="24"/>
                <w:szCs w:val="24"/>
                <w:highlight w:val="none"/>
              </w:rPr>
              <w:t>变更情况</w:t>
            </w:r>
          </w:p>
        </w:tc>
        <w:tc>
          <w:tcPr>
            <w:tcW w:w="1646" w:type="dxa"/>
            <w:tcBorders>
              <w:tl2br w:val="nil"/>
              <w:tr2bl w:val="nil"/>
            </w:tcBorders>
            <w:noWrap w:val="0"/>
            <w:vAlign w:val="center"/>
          </w:tcPr>
          <w:p w14:paraId="029ED1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pacing w:val="7"/>
                <w:sz w:val="24"/>
                <w:szCs w:val="24"/>
                <w:highlight w:val="none"/>
                <w:lang w:eastAsia="zh-CN"/>
              </w:rPr>
            </w:pPr>
            <w:r>
              <w:rPr>
                <w:rFonts w:hint="default" w:ascii="Times New Roman" w:hAnsi="Times New Roman" w:eastAsia="黑体" w:cs="Times New Roman"/>
                <w:color w:val="auto"/>
                <w:spacing w:val="7"/>
                <w:sz w:val="24"/>
                <w:szCs w:val="24"/>
                <w:highlight w:val="none"/>
              </w:rPr>
              <w:t>原保障人</w:t>
            </w:r>
            <w:r>
              <w:rPr>
                <w:rFonts w:hint="default" w:ascii="Times New Roman" w:hAnsi="Times New Roman" w:eastAsia="黑体" w:cs="Times New Roman"/>
                <w:color w:val="auto"/>
                <w:spacing w:val="7"/>
                <w:sz w:val="24"/>
                <w:szCs w:val="24"/>
                <w:highlight w:val="none"/>
                <w:lang w:val="en-US" w:eastAsia="zh-CN"/>
              </w:rPr>
              <w:t>数</w:t>
            </w:r>
          </w:p>
        </w:tc>
        <w:tc>
          <w:tcPr>
            <w:tcW w:w="2616" w:type="dxa"/>
            <w:gridSpan w:val="2"/>
            <w:tcBorders>
              <w:tl2br w:val="nil"/>
              <w:tr2bl w:val="nil"/>
            </w:tcBorders>
            <w:noWrap w:val="0"/>
            <w:vAlign w:val="center"/>
          </w:tcPr>
          <w:p w14:paraId="44A2C0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pacing w:val="7"/>
                <w:sz w:val="24"/>
                <w:szCs w:val="24"/>
                <w:highlight w:val="none"/>
                <w:lang w:val="en-US" w:eastAsia="zh-CN"/>
              </w:rPr>
            </w:pPr>
          </w:p>
        </w:tc>
        <w:tc>
          <w:tcPr>
            <w:tcW w:w="1386" w:type="dxa"/>
            <w:tcBorders>
              <w:tl2br w:val="nil"/>
              <w:tr2bl w:val="nil"/>
            </w:tcBorders>
            <w:noWrap w:val="0"/>
            <w:vAlign w:val="center"/>
          </w:tcPr>
          <w:p w14:paraId="446A69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pacing w:val="7"/>
                <w:sz w:val="24"/>
                <w:szCs w:val="24"/>
                <w:highlight w:val="none"/>
              </w:rPr>
            </w:pPr>
            <w:r>
              <w:rPr>
                <w:rFonts w:hint="default" w:ascii="Times New Roman" w:hAnsi="Times New Roman" w:eastAsia="黑体" w:cs="Times New Roman"/>
                <w:color w:val="auto"/>
                <w:spacing w:val="7"/>
                <w:sz w:val="24"/>
                <w:szCs w:val="24"/>
                <w:highlight w:val="none"/>
              </w:rPr>
              <w:t>现保障人</w:t>
            </w:r>
            <w:r>
              <w:rPr>
                <w:rFonts w:hint="default" w:ascii="Times New Roman" w:hAnsi="Times New Roman" w:eastAsia="黑体" w:cs="Times New Roman"/>
                <w:color w:val="auto"/>
                <w:spacing w:val="7"/>
                <w:sz w:val="24"/>
                <w:szCs w:val="24"/>
                <w:highlight w:val="none"/>
                <w:lang w:val="en-US" w:eastAsia="zh-CN"/>
              </w:rPr>
              <w:t>数</w:t>
            </w:r>
          </w:p>
        </w:tc>
        <w:tc>
          <w:tcPr>
            <w:tcW w:w="2661" w:type="dxa"/>
            <w:tcBorders>
              <w:tl2br w:val="nil"/>
              <w:tr2bl w:val="nil"/>
            </w:tcBorders>
            <w:noWrap w:val="0"/>
            <w:vAlign w:val="center"/>
          </w:tcPr>
          <w:p w14:paraId="3782CA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highlight w:val="none"/>
                <w:lang w:val="en-US" w:eastAsia="zh-CN"/>
              </w:rPr>
            </w:pPr>
          </w:p>
        </w:tc>
      </w:tr>
      <w:tr w14:paraId="15FC2C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387" w:type="dxa"/>
            <w:vMerge w:val="continue"/>
            <w:tcBorders>
              <w:tl2br w:val="nil"/>
              <w:tr2bl w:val="nil"/>
            </w:tcBorders>
            <w:noWrap w:val="0"/>
            <w:vAlign w:val="center"/>
          </w:tcPr>
          <w:p w14:paraId="4F41F3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1"/>
                <w:highlight w:val="none"/>
              </w:rPr>
            </w:pPr>
          </w:p>
        </w:tc>
        <w:tc>
          <w:tcPr>
            <w:tcW w:w="1646" w:type="dxa"/>
            <w:tcBorders>
              <w:tl2br w:val="nil"/>
              <w:tr2bl w:val="nil"/>
            </w:tcBorders>
            <w:noWrap w:val="0"/>
            <w:vAlign w:val="center"/>
          </w:tcPr>
          <w:p w14:paraId="26834E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pacing w:val="7"/>
                <w:sz w:val="24"/>
                <w:szCs w:val="24"/>
                <w:highlight w:val="none"/>
              </w:rPr>
            </w:pPr>
            <w:r>
              <w:rPr>
                <w:rFonts w:hint="default" w:ascii="Times New Roman" w:hAnsi="Times New Roman" w:eastAsia="黑体" w:cs="Times New Roman"/>
                <w:color w:val="auto"/>
                <w:spacing w:val="7"/>
                <w:sz w:val="24"/>
                <w:szCs w:val="24"/>
                <w:highlight w:val="none"/>
              </w:rPr>
              <w:t>原</w:t>
            </w:r>
            <w:r>
              <w:rPr>
                <w:rFonts w:hint="default" w:ascii="Times New Roman" w:hAnsi="Times New Roman" w:eastAsia="黑体" w:cs="Times New Roman"/>
                <w:color w:val="auto"/>
                <w:spacing w:val="7"/>
                <w:sz w:val="24"/>
                <w:szCs w:val="24"/>
                <w:highlight w:val="none"/>
                <w:lang w:val="en-US" w:eastAsia="zh-CN"/>
              </w:rPr>
              <w:t>整户月</w:t>
            </w:r>
            <w:r>
              <w:rPr>
                <w:rFonts w:hint="default" w:ascii="Times New Roman" w:hAnsi="Times New Roman" w:eastAsia="黑体" w:cs="Times New Roman"/>
                <w:color w:val="auto"/>
                <w:spacing w:val="7"/>
                <w:sz w:val="24"/>
                <w:szCs w:val="24"/>
                <w:highlight w:val="none"/>
              </w:rPr>
              <w:t>保障金额</w:t>
            </w:r>
          </w:p>
        </w:tc>
        <w:tc>
          <w:tcPr>
            <w:tcW w:w="2616" w:type="dxa"/>
            <w:gridSpan w:val="2"/>
            <w:tcBorders>
              <w:tl2br w:val="nil"/>
              <w:tr2bl w:val="nil"/>
            </w:tcBorders>
            <w:noWrap w:val="0"/>
            <w:vAlign w:val="center"/>
          </w:tcPr>
          <w:p w14:paraId="49FD69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pacing w:val="7"/>
                <w:sz w:val="24"/>
                <w:szCs w:val="24"/>
                <w:highlight w:val="none"/>
                <w:lang w:val="en-US" w:eastAsia="zh-CN"/>
              </w:rPr>
            </w:pPr>
          </w:p>
        </w:tc>
        <w:tc>
          <w:tcPr>
            <w:tcW w:w="1386" w:type="dxa"/>
            <w:tcBorders>
              <w:tl2br w:val="nil"/>
              <w:tr2bl w:val="nil"/>
            </w:tcBorders>
            <w:noWrap w:val="0"/>
            <w:vAlign w:val="center"/>
          </w:tcPr>
          <w:p w14:paraId="073E6E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pacing w:val="7"/>
                <w:sz w:val="24"/>
                <w:szCs w:val="24"/>
                <w:highlight w:val="none"/>
              </w:rPr>
            </w:pPr>
            <w:r>
              <w:rPr>
                <w:rFonts w:hint="default" w:ascii="Times New Roman" w:hAnsi="Times New Roman" w:eastAsia="黑体" w:cs="Times New Roman"/>
                <w:color w:val="auto"/>
                <w:spacing w:val="7"/>
                <w:sz w:val="24"/>
                <w:szCs w:val="24"/>
                <w:highlight w:val="none"/>
              </w:rPr>
              <w:t>现</w:t>
            </w:r>
            <w:r>
              <w:rPr>
                <w:rFonts w:hint="default" w:ascii="Times New Roman" w:hAnsi="Times New Roman" w:eastAsia="黑体" w:cs="Times New Roman"/>
                <w:color w:val="auto"/>
                <w:spacing w:val="7"/>
                <w:sz w:val="24"/>
                <w:szCs w:val="24"/>
                <w:highlight w:val="none"/>
                <w:lang w:val="en-US" w:eastAsia="zh-CN"/>
              </w:rPr>
              <w:t>整户月</w:t>
            </w:r>
            <w:r>
              <w:rPr>
                <w:rFonts w:hint="default" w:ascii="Times New Roman" w:hAnsi="Times New Roman" w:eastAsia="黑体" w:cs="Times New Roman"/>
                <w:color w:val="auto"/>
                <w:spacing w:val="7"/>
                <w:sz w:val="24"/>
                <w:szCs w:val="24"/>
                <w:highlight w:val="none"/>
              </w:rPr>
              <w:t>保障金额</w:t>
            </w:r>
          </w:p>
        </w:tc>
        <w:tc>
          <w:tcPr>
            <w:tcW w:w="2661" w:type="dxa"/>
            <w:tcBorders>
              <w:tl2br w:val="nil"/>
              <w:tr2bl w:val="nil"/>
            </w:tcBorders>
            <w:noWrap w:val="0"/>
            <w:vAlign w:val="center"/>
          </w:tcPr>
          <w:p w14:paraId="1B2653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highlight w:val="none"/>
                <w:lang w:val="en-US" w:eastAsia="zh-CN"/>
              </w:rPr>
            </w:pPr>
          </w:p>
        </w:tc>
      </w:tr>
      <w:tr w14:paraId="58B416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55" w:hRule="atLeast"/>
          <w:jc w:val="center"/>
        </w:trPr>
        <w:tc>
          <w:tcPr>
            <w:tcW w:w="1387" w:type="dxa"/>
            <w:tcBorders>
              <w:tl2br w:val="nil"/>
              <w:tr2bl w:val="nil"/>
            </w:tcBorders>
            <w:noWrap w:val="0"/>
            <w:vAlign w:val="center"/>
          </w:tcPr>
          <w:p w14:paraId="6892C6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pacing w:val="3"/>
                <w:sz w:val="24"/>
                <w:szCs w:val="24"/>
                <w:highlight w:val="none"/>
                <w:lang w:val="en-US" w:eastAsia="zh-CN"/>
              </w:rPr>
              <w:t>村</w:t>
            </w:r>
            <w:r>
              <w:rPr>
                <w:rFonts w:hint="default" w:ascii="Times New Roman" w:hAnsi="Times New Roman" w:eastAsia="黑体" w:cs="Times New Roman"/>
                <w:color w:val="auto"/>
                <w:spacing w:val="3"/>
                <w:sz w:val="24"/>
                <w:szCs w:val="24"/>
                <w:highlight w:val="none"/>
              </w:rPr>
              <w:t>(</w:t>
            </w:r>
            <w:r>
              <w:rPr>
                <w:rFonts w:hint="default" w:ascii="Times New Roman" w:hAnsi="Times New Roman" w:eastAsia="黑体" w:cs="Times New Roman"/>
                <w:color w:val="auto"/>
                <w:spacing w:val="3"/>
                <w:sz w:val="24"/>
                <w:szCs w:val="24"/>
                <w:highlight w:val="none"/>
                <w:lang w:val="en-US" w:eastAsia="zh-CN"/>
              </w:rPr>
              <w:t>社区</w:t>
            </w:r>
            <w:r>
              <w:rPr>
                <w:rFonts w:hint="default" w:ascii="Times New Roman" w:hAnsi="Times New Roman" w:eastAsia="黑体" w:cs="Times New Roman"/>
                <w:color w:val="auto"/>
                <w:spacing w:val="3"/>
                <w:sz w:val="24"/>
                <w:szCs w:val="24"/>
                <w:highlight w:val="none"/>
              </w:rPr>
              <w:t>)</w:t>
            </w:r>
            <w:r>
              <w:rPr>
                <w:rFonts w:hint="default" w:ascii="Times New Roman" w:hAnsi="Times New Roman" w:eastAsia="黑体" w:cs="Times New Roman"/>
                <w:color w:val="auto"/>
                <w:spacing w:val="3"/>
                <w:sz w:val="24"/>
                <w:szCs w:val="24"/>
                <w:highlight w:val="none"/>
                <w:lang w:val="en-US" w:eastAsia="zh-CN"/>
              </w:rPr>
              <w:t>核查</w:t>
            </w:r>
            <w:r>
              <w:rPr>
                <w:rFonts w:hint="default" w:ascii="Times New Roman" w:hAnsi="Times New Roman" w:eastAsia="黑体" w:cs="Times New Roman"/>
                <w:color w:val="auto"/>
                <w:spacing w:val="3"/>
                <w:sz w:val="24"/>
                <w:szCs w:val="24"/>
                <w:highlight w:val="none"/>
              </w:rPr>
              <w:t>意见</w:t>
            </w:r>
          </w:p>
        </w:tc>
        <w:tc>
          <w:tcPr>
            <w:tcW w:w="8309" w:type="dxa"/>
            <w:gridSpan w:val="5"/>
            <w:tcBorders>
              <w:tl2br w:val="nil"/>
              <w:tr2bl w:val="nil"/>
            </w:tcBorders>
            <w:noWrap w:val="0"/>
            <w:vAlign w:val="top"/>
          </w:tcPr>
          <w:p w14:paraId="06EF9384">
            <w:pPr>
              <w:keepNext w:val="0"/>
              <w:keepLines w:val="0"/>
              <w:pageBreakBefore w:val="0"/>
              <w:widowControl w:val="0"/>
              <w:kinsoku/>
              <w:wordWrap/>
              <w:overflowPunct/>
              <w:topLinePunct w:val="0"/>
              <w:autoSpaceDE/>
              <w:autoSpaceDN/>
              <w:bidi w:val="0"/>
              <w:adjustRightInd/>
              <w:snapToGrid/>
              <w:spacing w:line="320" w:lineRule="exact"/>
              <w:ind w:firstLine="520" w:firstLineChars="200"/>
              <w:textAlignment w:val="auto"/>
              <w:rPr>
                <w:rFonts w:hint="default" w:ascii="Times New Roman" w:hAnsi="Times New Roman" w:eastAsia="宋体" w:cs="Times New Roman"/>
                <w:color w:val="auto"/>
                <w:spacing w:val="10"/>
                <w:sz w:val="24"/>
                <w:szCs w:val="24"/>
                <w:highlight w:val="none"/>
              </w:rPr>
            </w:pPr>
          </w:p>
          <w:p w14:paraId="2D9CBA9E">
            <w:pPr>
              <w:keepNext w:val="0"/>
              <w:keepLines w:val="0"/>
              <w:pageBreakBefore w:val="0"/>
              <w:widowControl w:val="0"/>
              <w:kinsoku/>
              <w:wordWrap/>
              <w:overflowPunct/>
              <w:topLinePunct w:val="0"/>
              <w:autoSpaceDE/>
              <w:autoSpaceDN/>
              <w:bidi w:val="0"/>
              <w:adjustRightInd/>
              <w:snapToGrid/>
              <w:spacing w:line="320" w:lineRule="exact"/>
              <w:ind w:firstLine="520" w:firstLineChars="200"/>
              <w:textAlignment w:val="auto"/>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pacing w:val="10"/>
                <w:sz w:val="24"/>
                <w:szCs w:val="24"/>
                <w:highlight w:val="none"/>
              </w:rPr>
              <w:t>该户家庭</w:t>
            </w:r>
            <w:r>
              <w:rPr>
                <w:rFonts w:hint="eastAsia" w:ascii="Times New Roman" w:hAnsi="Times New Roman" w:eastAsia="宋体" w:cs="Times New Roman"/>
                <w:color w:val="auto"/>
                <w:spacing w:val="10"/>
                <w:sz w:val="24"/>
                <w:szCs w:val="24"/>
                <w:highlight w:val="none"/>
                <w:lang w:eastAsia="zh-CN"/>
              </w:rPr>
              <w:t>特殊</w:t>
            </w:r>
            <w:r>
              <w:rPr>
                <w:rFonts w:hint="default" w:ascii="Times New Roman" w:hAnsi="Times New Roman" w:eastAsia="宋体" w:cs="Times New Roman"/>
                <w:color w:val="auto"/>
                <w:spacing w:val="10"/>
                <w:sz w:val="24"/>
                <w:szCs w:val="24"/>
                <w:highlight w:val="none"/>
              </w:rPr>
              <w:t>情况是：</w:t>
            </w:r>
            <w:r>
              <w:rPr>
                <w:rFonts w:hint="eastAsia" w:ascii="Times New Roman" w:hAnsi="Times New Roman" w:cs="Times New Roman"/>
                <w:color w:val="auto"/>
                <w:spacing w:val="10"/>
                <w:sz w:val="24"/>
                <w:szCs w:val="24"/>
                <w:highlight w:val="none"/>
                <w:u w:val="none" w:color="auto"/>
                <w:lang w:val="en-US" w:eastAsia="zh-CN"/>
              </w:rPr>
              <w:t>*********家庭月收入高于低保（低边家庭），但其家庭因医疗</w:t>
            </w:r>
            <w:r>
              <w:rPr>
                <w:rFonts w:hint="eastAsia" w:ascii="Times New Roman" w:hAnsi="Times New Roman" w:cs="Times New Roman"/>
                <w:b w:val="0"/>
                <w:bCs w:val="0"/>
                <w:color w:val="auto"/>
                <w:spacing w:val="10"/>
                <w:sz w:val="24"/>
                <w:szCs w:val="24"/>
                <w:highlight w:val="none"/>
                <w:u w:val="none" w:color="auto"/>
                <w:lang w:val="en-US" w:eastAsia="zh-CN"/>
              </w:rPr>
              <w:t>费用过大，已严重超出可扣减范围，建议将患重病的***以“单人户”纳入</w:t>
            </w:r>
            <w:r>
              <w:rPr>
                <w:rFonts w:hint="default" w:ascii="Times New Roman" w:hAnsi="Times New Roman" w:cs="Times New Roman"/>
                <w:b w:val="0"/>
                <w:bCs w:val="0"/>
                <w:color w:val="auto"/>
                <w:sz w:val="24"/>
                <w:szCs w:val="24"/>
                <w:highlight w:val="none"/>
                <w:u w:val="none" w:color="auto"/>
                <w:lang w:val="en-US" w:eastAsia="zh-CN"/>
              </w:rPr>
              <w:t>低保</w:t>
            </w:r>
            <w:r>
              <w:rPr>
                <w:rFonts w:hint="eastAsia" w:ascii="Times New Roman" w:hAnsi="Times New Roman" w:cs="Times New Roman"/>
                <w:b w:val="0"/>
                <w:bCs w:val="0"/>
                <w:color w:val="auto"/>
                <w:sz w:val="24"/>
                <w:szCs w:val="24"/>
                <w:highlight w:val="none"/>
                <w:u w:val="none" w:color="auto"/>
                <w:lang w:val="en-US" w:eastAsia="zh-CN"/>
              </w:rPr>
              <w:t>范围</w:t>
            </w:r>
            <w:r>
              <w:rPr>
                <w:rFonts w:hint="default" w:ascii="Times New Roman" w:hAnsi="Times New Roman" w:cs="Times New Roman"/>
                <w:b w:val="0"/>
                <w:bCs w:val="0"/>
                <w:color w:val="auto"/>
                <w:sz w:val="24"/>
                <w:szCs w:val="24"/>
                <w:highlight w:val="none"/>
                <w:u w:val="none" w:color="auto"/>
                <w:lang w:val="en-US" w:eastAsia="zh-CN"/>
              </w:rPr>
              <w:t>。</w:t>
            </w:r>
          </w:p>
          <w:p w14:paraId="124C4FE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highlight w:val="none"/>
              </w:rPr>
            </w:pPr>
          </w:p>
          <w:p w14:paraId="7423BDC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color w:val="auto"/>
                <w:spacing w:val="-22"/>
                <w:sz w:val="24"/>
                <w:szCs w:val="24"/>
                <w:highlight w:val="none"/>
              </w:rPr>
            </w:pPr>
            <w:r>
              <w:rPr>
                <w:rFonts w:hint="default" w:ascii="Times New Roman" w:hAnsi="Times New Roman" w:eastAsia="宋体" w:cs="Times New Roman"/>
                <w:color w:val="auto"/>
                <w:sz w:val="24"/>
                <w:szCs w:val="24"/>
                <w:highlight w:val="none"/>
              </w:rPr>
              <w:t>通过</w:t>
            </w:r>
            <w:r>
              <w:rPr>
                <w:rFonts w:hint="eastAsia" w:ascii="Times New Roman" w:hAnsi="Times New Roman" w:cs="Times New Roman"/>
                <w:color w:val="auto"/>
                <w:sz w:val="24"/>
                <w:szCs w:val="24"/>
                <w:highlight w:val="none"/>
                <w:u w:val="single" w:color="auto"/>
                <w:lang w:val="en-US" w:eastAsia="zh-CN"/>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pacing w:val="-115"/>
                <w:sz w:val="24"/>
                <w:szCs w:val="24"/>
                <w:highlight w:val="none"/>
              </w:rPr>
              <w:t xml:space="preserve"> </w:t>
            </w:r>
            <w:r>
              <w:rPr>
                <w:rFonts w:hint="eastAsia" w:ascii="Times New Roman" w:hAnsi="Times New Roman" w:cs="Times New Roman"/>
                <w:color w:val="auto"/>
                <w:sz w:val="24"/>
                <w:szCs w:val="24"/>
                <w:highlight w:val="none"/>
                <w:u w:val="single" w:color="auto"/>
                <w:lang w:val="en-US" w:eastAsia="zh-CN"/>
              </w:rPr>
              <w:t xml:space="preserve">   </w:t>
            </w:r>
            <w:r>
              <w:rPr>
                <w:rFonts w:hint="default"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eastAsia="zh-CN"/>
              </w:rPr>
              <w:t>一事一议会议</w:t>
            </w:r>
            <w:r>
              <w:rPr>
                <w:rFonts w:hint="default" w:ascii="Times New Roman" w:hAnsi="Times New Roman" w:cs="Times New Roman"/>
                <w:color w:val="auto"/>
                <w:sz w:val="24"/>
                <w:szCs w:val="24"/>
                <w:highlight w:val="none"/>
                <w:lang w:val="en-US" w:eastAsia="zh-CN"/>
              </w:rPr>
              <w:t>审议</w:t>
            </w:r>
            <w:r>
              <w:rPr>
                <w:rFonts w:hint="default" w:ascii="Times New Roman" w:hAnsi="Times New Roman" w:eastAsia="宋体" w:cs="Times New Roman"/>
                <w:color w:val="auto"/>
                <w:sz w:val="24"/>
                <w:szCs w:val="24"/>
                <w:highlight w:val="none"/>
              </w:rPr>
              <w:t>，该户家庭情况真实、完整</w:t>
            </w:r>
            <w:r>
              <w:rPr>
                <w:rFonts w:hint="default" w:ascii="Times New Roman" w:hAnsi="Times New Roman" w:eastAsia="宋体" w:cs="Times New Roman"/>
                <w:color w:val="auto"/>
                <w:spacing w:val="-1"/>
                <w:sz w:val="24"/>
                <w:szCs w:val="24"/>
                <w:highlight w:val="none"/>
              </w:rPr>
              <w:t>。</w:t>
            </w:r>
          </w:p>
          <w:p w14:paraId="04D2C9DB">
            <w:pPr>
              <w:keepNext w:val="0"/>
              <w:keepLines w:val="0"/>
              <w:pageBreakBefore w:val="0"/>
              <w:widowControl w:val="0"/>
              <w:kinsoku/>
              <w:wordWrap/>
              <w:overflowPunct/>
              <w:topLinePunct w:val="0"/>
              <w:autoSpaceDE/>
              <w:autoSpaceDN/>
              <w:bidi w:val="0"/>
              <w:adjustRightInd/>
              <w:snapToGrid/>
              <w:spacing w:line="320" w:lineRule="exact"/>
              <w:ind w:left="5861"/>
              <w:textAlignment w:val="auto"/>
              <w:rPr>
                <w:rFonts w:hint="default" w:ascii="Times New Roman" w:hAnsi="Times New Roman" w:eastAsia="宋体" w:cs="Times New Roman"/>
                <w:color w:val="auto"/>
                <w:spacing w:val="-22"/>
                <w:sz w:val="24"/>
                <w:szCs w:val="24"/>
                <w:highlight w:val="none"/>
              </w:rPr>
            </w:pPr>
          </w:p>
          <w:p w14:paraId="34FE41F7">
            <w:pPr>
              <w:keepNext w:val="0"/>
              <w:keepLines w:val="0"/>
              <w:pageBreakBefore w:val="0"/>
              <w:widowControl w:val="0"/>
              <w:kinsoku/>
              <w:wordWrap/>
              <w:overflowPunct/>
              <w:topLinePunct w:val="0"/>
              <w:autoSpaceDE/>
              <w:autoSpaceDN/>
              <w:bidi w:val="0"/>
              <w:adjustRightInd/>
              <w:snapToGrid/>
              <w:spacing w:line="320" w:lineRule="exact"/>
              <w:ind w:left="5861"/>
              <w:textAlignment w:val="auto"/>
              <w:rPr>
                <w:rFonts w:hint="default" w:ascii="Times New Roman" w:hAnsi="Times New Roman" w:eastAsia="宋体" w:cs="Times New Roman"/>
                <w:color w:val="auto"/>
                <w:spacing w:val="-22"/>
                <w:sz w:val="24"/>
                <w:szCs w:val="24"/>
                <w:highlight w:val="none"/>
              </w:rPr>
            </w:pPr>
          </w:p>
          <w:p w14:paraId="3C28BF43">
            <w:pPr>
              <w:keepNext w:val="0"/>
              <w:keepLines w:val="0"/>
              <w:pageBreakBefore w:val="0"/>
              <w:widowControl w:val="0"/>
              <w:kinsoku/>
              <w:wordWrap/>
              <w:overflowPunct/>
              <w:topLinePunct w:val="0"/>
              <w:autoSpaceDE/>
              <w:autoSpaceDN/>
              <w:bidi w:val="0"/>
              <w:adjustRightInd/>
              <w:snapToGrid/>
              <w:spacing w:line="320" w:lineRule="exact"/>
              <w:ind w:left="5861"/>
              <w:textAlignment w:val="auto"/>
              <w:rPr>
                <w:rFonts w:hint="default" w:ascii="Times New Roman" w:hAnsi="Times New Roman" w:eastAsia="宋体" w:cs="Times New Roman"/>
                <w:color w:val="auto"/>
                <w:spacing w:val="-22"/>
                <w:sz w:val="24"/>
                <w:szCs w:val="24"/>
                <w:highlight w:val="none"/>
              </w:rPr>
            </w:pPr>
            <w:r>
              <w:rPr>
                <w:rFonts w:hint="default" w:ascii="Times New Roman" w:hAnsi="Times New Roman" w:eastAsia="宋体" w:cs="Times New Roman"/>
                <w:color w:val="auto"/>
                <w:spacing w:val="-22"/>
                <w:sz w:val="24"/>
                <w:szCs w:val="24"/>
                <w:highlight w:val="none"/>
              </w:rPr>
              <w:t>(</w:t>
            </w:r>
            <w:r>
              <w:rPr>
                <w:rFonts w:hint="default" w:ascii="Times New Roman" w:hAnsi="Times New Roman" w:eastAsia="宋体" w:cs="Times New Roman"/>
                <w:color w:val="auto"/>
                <w:spacing w:val="-28"/>
                <w:sz w:val="24"/>
                <w:szCs w:val="24"/>
                <w:highlight w:val="none"/>
              </w:rPr>
              <w:t xml:space="preserve"> </w:t>
            </w:r>
            <w:r>
              <w:rPr>
                <w:rFonts w:hint="default" w:ascii="Times New Roman" w:hAnsi="Times New Roman" w:eastAsia="宋体" w:cs="Times New Roman"/>
                <w:color w:val="auto"/>
                <w:spacing w:val="-22"/>
                <w:sz w:val="24"/>
                <w:szCs w:val="24"/>
                <w:highlight w:val="none"/>
              </w:rPr>
              <w:t>公</w:t>
            </w:r>
            <w:r>
              <w:rPr>
                <w:rFonts w:hint="default" w:ascii="Times New Roman" w:hAnsi="Times New Roman" w:eastAsia="宋体" w:cs="Times New Roman"/>
                <w:color w:val="auto"/>
                <w:spacing w:val="-28"/>
                <w:sz w:val="24"/>
                <w:szCs w:val="24"/>
                <w:highlight w:val="none"/>
              </w:rPr>
              <w:t xml:space="preserve"> </w:t>
            </w:r>
            <w:r>
              <w:rPr>
                <w:rFonts w:hint="default" w:ascii="Times New Roman" w:hAnsi="Times New Roman" w:eastAsia="宋体" w:cs="Times New Roman"/>
                <w:color w:val="auto"/>
                <w:spacing w:val="-22"/>
                <w:sz w:val="24"/>
                <w:szCs w:val="24"/>
                <w:highlight w:val="none"/>
              </w:rPr>
              <w:t>章</w:t>
            </w:r>
            <w:r>
              <w:rPr>
                <w:rFonts w:hint="default" w:ascii="Times New Roman" w:hAnsi="Times New Roman" w:eastAsia="宋体" w:cs="Times New Roman"/>
                <w:color w:val="auto"/>
                <w:spacing w:val="-35"/>
                <w:sz w:val="24"/>
                <w:szCs w:val="24"/>
                <w:highlight w:val="none"/>
              </w:rPr>
              <w:t xml:space="preserve"> </w:t>
            </w:r>
            <w:r>
              <w:rPr>
                <w:rFonts w:hint="default" w:ascii="Times New Roman" w:hAnsi="Times New Roman" w:eastAsia="宋体" w:cs="Times New Roman"/>
                <w:color w:val="auto"/>
                <w:spacing w:val="-22"/>
                <w:sz w:val="24"/>
                <w:szCs w:val="24"/>
                <w:highlight w:val="none"/>
              </w:rPr>
              <w:t>)</w:t>
            </w:r>
          </w:p>
          <w:p w14:paraId="787A4542">
            <w:pPr>
              <w:keepNext w:val="0"/>
              <w:keepLines w:val="0"/>
              <w:pageBreakBefore w:val="0"/>
              <w:widowControl w:val="0"/>
              <w:kinsoku/>
              <w:wordWrap/>
              <w:overflowPunct/>
              <w:topLinePunct w:val="0"/>
              <w:autoSpaceDE/>
              <w:autoSpaceDN/>
              <w:bidi w:val="0"/>
              <w:adjustRightInd/>
              <w:snapToGrid/>
              <w:spacing w:line="320" w:lineRule="exact"/>
              <w:ind w:right="21" w:firstLine="468"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负责人签名：</w:t>
            </w:r>
            <w:r>
              <w:rPr>
                <w:rFonts w:hint="default" w:ascii="Times New Roman" w:hAnsi="Times New Roman" w:cs="Times New Roman"/>
                <w:color w:val="auto"/>
                <w:spacing w:val="-3"/>
                <w:sz w:val="24"/>
                <w:szCs w:val="24"/>
                <w:highlight w:val="none"/>
                <w:lang w:val="en-US" w:eastAsia="zh-CN"/>
              </w:rPr>
              <w:t>村（社区）书记签字</w:t>
            </w:r>
            <w:r>
              <w:rPr>
                <w:rFonts w:hint="default" w:ascii="Times New Roman" w:hAnsi="Times New Roman" w:eastAsia="宋体" w:cs="Times New Roman"/>
                <w:color w:val="auto"/>
                <w:spacing w:val="3"/>
                <w:sz w:val="24"/>
                <w:szCs w:val="24"/>
                <w:highlight w:val="none"/>
              </w:rPr>
              <w:t xml:space="preserve">   </w:t>
            </w:r>
            <w:r>
              <w:rPr>
                <w:rFonts w:hint="default" w:ascii="Times New Roman" w:hAnsi="Times New Roman" w:cs="Times New Roman"/>
                <w:color w:val="auto"/>
                <w:spacing w:val="3"/>
                <w:sz w:val="24"/>
                <w:szCs w:val="24"/>
                <w:highlight w:val="none"/>
                <w:lang w:val="en-US" w:eastAsia="zh-CN"/>
              </w:rPr>
              <w:t xml:space="preserve">        202</w:t>
            </w:r>
            <w:r>
              <w:rPr>
                <w:rFonts w:hint="eastAsia" w:ascii="Times New Roman" w:hAnsi="Times New Roman" w:cs="Times New Roman"/>
                <w:color w:val="auto"/>
                <w:spacing w:val="3"/>
                <w:sz w:val="24"/>
                <w:szCs w:val="24"/>
                <w:highlight w:val="none"/>
                <w:lang w:val="en-US" w:eastAsia="zh-CN"/>
              </w:rPr>
              <w:t>5</w:t>
            </w:r>
            <w:r>
              <w:rPr>
                <w:rFonts w:hint="default" w:ascii="Times New Roman" w:hAnsi="Times New Roman" w:eastAsia="宋体" w:cs="Times New Roman"/>
                <w:color w:val="auto"/>
                <w:spacing w:val="-9"/>
                <w:sz w:val="24"/>
                <w:szCs w:val="24"/>
                <w:highlight w:val="none"/>
              </w:rPr>
              <w:t>年</w:t>
            </w:r>
            <w:r>
              <w:rPr>
                <w:rFonts w:hint="eastAsia" w:ascii="Times New Roman" w:hAnsi="Times New Roman" w:cs="Times New Roman"/>
                <w:color w:val="auto"/>
                <w:spacing w:val="20"/>
                <w:sz w:val="24"/>
                <w:szCs w:val="24"/>
                <w:highlight w:val="none"/>
                <w:lang w:val="en-US" w:eastAsia="zh-CN"/>
              </w:rPr>
              <w:t xml:space="preserve">  </w:t>
            </w:r>
            <w:r>
              <w:rPr>
                <w:rFonts w:hint="default" w:ascii="Times New Roman" w:hAnsi="Times New Roman" w:eastAsia="宋体" w:cs="Times New Roman"/>
                <w:color w:val="auto"/>
                <w:spacing w:val="-9"/>
                <w:sz w:val="24"/>
                <w:szCs w:val="24"/>
                <w:highlight w:val="none"/>
              </w:rPr>
              <w:t>月</w:t>
            </w:r>
            <w:r>
              <w:rPr>
                <w:rFonts w:hint="eastAsia" w:ascii="Times New Roman" w:hAnsi="Times New Roman" w:cs="Times New Roman"/>
                <w:color w:val="auto"/>
                <w:spacing w:val="33"/>
                <w:sz w:val="24"/>
                <w:szCs w:val="24"/>
                <w:highlight w:val="none"/>
                <w:lang w:val="en-US" w:eastAsia="zh-CN"/>
              </w:rPr>
              <w:t xml:space="preserve">  </w:t>
            </w:r>
            <w:r>
              <w:rPr>
                <w:rFonts w:hint="default" w:ascii="Times New Roman" w:hAnsi="Times New Roman" w:eastAsia="宋体" w:cs="Times New Roman"/>
                <w:color w:val="auto"/>
                <w:spacing w:val="-9"/>
                <w:sz w:val="24"/>
                <w:szCs w:val="24"/>
                <w:highlight w:val="none"/>
              </w:rPr>
              <w:t>日</w:t>
            </w:r>
          </w:p>
        </w:tc>
      </w:tr>
      <w:tr w14:paraId="5AC571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40" w:hRule="atLeast"/>
          <w:jc w:val="center"/>
        </w:trPr>
        <w:tc>
          <w:tcPr>
            <w:tcW w:w="1387" w:type="dxa"/>
            <w:tcBorders>
              <w:tl2br w:val="nil"/>
              <w:tr2bl w:val="nil"/>
            </w:tcBorders>
            <w:noWrap w:val="0"/>
            <w:vAlign w:val="center"/>
          </w:tcPr>
          <w:p w14:paraId="230FC7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1"/>
                <w:highlight w:val="none"/>
              </w:rPr>
            </w:pPr>
          </w:p>
          <w:p w14:paraId="022E60FC">
            <w:pPr>
              <w:keepNext w:val="0"/>
              <w:keepLines w:val="0"/>
              <w:pageBreakBefore w:val="0"/>
              <w:widowControl w:val="0"/>
              <w:kinsoku/>
              <w:wordWrap/>
              <w:overflowPunct/>
              <w:topLinePunct w:val="0"/>
              <w:autoSpaceDE/>
              <w:autoSpaceDN/>
              <w:bidi w:val="0"/>
              <w:adjustRightInd/>
              <w:snapToGrid/>
              <w:spacing w:line="320" w:lineRule="exact"/>
              <w:ind w:left="9" w:leftChars="0" w:hanging="9" w:firstLineChars="0"/>
              <w:jc w:val="center"/>
              <w:textAlignment w:val="auto"/>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pacing w:val="3"/>
                <w:sz w:val="24"/>
                <w:szCs w:val="24"/>
                <w:highlight w:val="none"/>
              </w:rPr>
              <w:t>乡镇(街道)</w:t>
            </w:r>
            <w:r>
              <w:rPr>
                <w:rFonts w:hint="default" w:ascii="Times New Roman" w:hAnsi="Times New Roman" w:eastAsia="黑体" w:cs="Times New Roman"/>
                <w:color w:val="auto"/>
                <w:spacing w:val="3"/>
                <w:sz w:val="24"/>
                <w:szCs w:val="24"/>
                <w:highlight w:val="none"/>
                <w:lang w:eastAsia="zh-CN"/>
              </w:rPr>
              <w:t>初</w:t>
            </w:r>
            <w:r>
              <w:rPr>
                <w:rFonts w:hint="default" w:ascii="Times New Roman" w:hAnsi="Times New Roman" w:eastAsia="黑体" w:cs="Times New Roman"/>
                <w:color w:val="auto"/>
                <w:spacing w:val="3"/>
                <w:sz w:val="24"/>
                <w:szCs w:val="24"/>
                <w:highlight w:val="none"/>
              </w:rPr>
              <w:t>审意见</w:t>
            </w:r>
          </w:p>
        </w:tc>
        <w:tc>
          <w:tcPr>
            <w:tcW w:w="8309" w:type="dxa"/>
            <w:gridSpan w:val="5"/>
            <w:tcBorders>
              <w:tl2br w:val="nil"/>
              <w:tr2bl w:val="nil"/>
            </w:tcBorders>
            <w:noWrap w:val="0"/>
            <w:vAlign w:val="top"/>
          </w:tcPr>
          <w:p w14:paraId="717B6884">
            <w:pPr>
              <w:keepNext w:val="0"/>
              <w:keepLines w:val="0"/>
              <w:pageBreakBefore w:val="0"/>
              <w:widowControl w:val="0"/>
              <w:kinsoku/>
              <w:wordWrap/>
              <w:overflowPunct/>
              <w:topLinePunct w:val="0"/>
              <w:autoSpaceDE/>
              <w:autoSpaceDN/>
              <w:bidi w:val="0"/>
              <w:adjustRightInd/>
              <w:snapToGrid/>
              <w:spacing w:line="320" w:lineRule="exact"/>
              <w:ind w:left="701"/>
              <w:textAlignment w:val="auto"/>
              <w:rPr>
                <w:rFonts w:hint="default" w:ascii="Times New Roman" w:hAnsi="Times New Roman" w:eastAsia="宋体" w:cs="Times New Roman"/>
                <w:color w:val="auto"/>
                <w:spacing w:val="7"/>
                <w:sz w:val="24"/>
                <w:szCs w:val="24"/>
                <w:highlight w:val="none"/>
              </w:rPr>
            </w:pPr>
          </w:p>
          <w:p w14:paraId="73A9AEC3">
            <w:pPr>
              <w:keepNext w:val="0"/>
              <w:keepLines w:val="0"/>
              <w:pageBreakBefore w:val="0"/>
              <w:widowControl w:val="0"/>
              <w:kinsoku/>
              <w:wordWrap/>
              <w:overflowPunct/>
              <w:topLinePunct w:val="0"/>
              <w:autoSpaceDE/>
              <w:autoSpaceDN/>
              <w:bidi w:val="0"/>
              <w:adjustRightInd/>
              <w:snapToGrid/>
              <w:spacing w:line="320" w:lineRule="exact"/>
              <w:ind w:firstLine="508" w:firstLineChars="200"/>
              <w:jc w:val="left"/>
              <w:textAlignment w:val="auto"/>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pacing w:val="7"/>
                <w:sz w:val="24"/>
                <w:szCs w:val="24"/>
                <w:highlight w:val="none"/>
                <w:lang w:eastAsia="zh-CN"/>
              </w:rPr>
              <w:t>经初步审核，拟同意</w:t>
            </w:r>
            <w:r>
              <w:rPr>
                <w:rFonts w:hint="eastAsia" w:ascii="Times New Roman" w:hAnsi="Times New Roman" w:eastAsia="宋体" w:cs="Times New Roman"/>
                <w:color w:val="auto"/>
                <w:spacing w:val="7"/>
                <w:sz w:val="24"/>
                <w:szCs w:val="24"/>
                <w:highlight w:val="none"/>
                <w:lang w:val="en-US" w:eastAsia="zh-CN"/>
              </w:rPr>
              <w:t>***********</w:t>
            </w:r>
          </w:p>
          <w:p w14:paraId="3B982787">
            <w:pPr>
              <w:keepNext w:val="0"/>
              <w:keepLines w:val="0"/>
              <w:pageBreakBefore w:val="0"/>
              <w:widowControl w:val="0"/>
              <w:kinsoku/>
              <w:wordWrap/>
              <w:overflowPunct/>
              <w:topLinePunct w:val="0"/>
              <w:autoSpaceDE/>
              <w:autoSpaceDN/>
              <w:bidi w:val="0"/>
              <w:adjustRightInd/>
              <w:snapToGrid/>
              <w:spacing w:line="320" w:lineRule="exact"/>
              <w:ind w:left="5861"/>
              <w:textAlignment w:val="auto"/>
              <w:rPr>
                <w:rFonts w:hint="default" w:ascii="Times New Roman" w:hAnsi="Times New Roman" w:eastAsia="宋体" w:cs="Times New Roman"/>
                <w:color w:val="auto"/>
                <w:spacing w:val="-22"/>
                <w:sz w:val="24"/>
                <w:szCs w:val="24"/>
                <w:highlight w:val="none"/>
              </w:rPr>
            </w:pPr>
            <w:r>
              <w:rPr>
                <w:rFonts w:hint="default" w:ascii="Times New Roman" w:hAnsi="Times New Roman" w:eastAsia="宋体" w:cs="Times New Roman"/>
                <w:color w:val="auto"/>
                <w:spacing w:val="-22"/>
                <w:sz w:val="24"/>
                <w:szCs w:val="24"/>
                <w:highlight w:val="none"/>
              </w:rPr>
              <w:t>(</w:t>
            </w:r>
            <w:r>
              <w:rPr>
                <w:rFonts w:hint="default" w:ascii="Times New Roman" w:hAnsi="Times New Roman" w:eastAsia="宋体" w:cs="Times New Roman"/>
                <w:color w:val="auto"/>
                <w:spacing w:val="-28"/>
                <w:sz w:val="24"/>
                <w:szCs w:val="24"/>
                <w:highlight w:val="none"/>
              </w:rPr>
              <w:t xml:space="preserve"> </w:t>
            </w:r>
            <w:r>
              <w:rPr>
                <w:rFonts w:hint="default" w:ascii="Times New Roman" w:hAnsi="Times New Roman" w:eastAsia="宋体" w:cs="Times New Roman"/>
                <w:color w:val="auto"/>
                <w:spacing w:val="-22"/>
                <w:sz w:val="24"/>
                <w:szCs w:val="24"/>
                <w:highlight w:val="none"/>
              </w:rPr>
              <w:t>公</w:t>
            </w:r>
            <w:r>
              <w:rPr>
                <w:rFonts w:hint="default" w:ascii="Times New Roman" w:hAnsi="Times New Roman" w:eastAsia="宋体" w:cs="Times New Roman"/>
                <w:color w:val="auto"/>
                <w:spacing w:val="-28"/>
                <w:sz w:val="24"/>
                <w:szCs w:val="24"/>
                <w:highlight w:val="none"/>
              </w:rPr>
              <w:t xml:space="preserve"> </w:t>
            </w:r>
            <w:r>
              <w:rPr>
                <w:rFonts w:hint="default" w:ascii="Times New Roman" w:hAnsi="Times New Roman" w:eastAsia="宋体" w:cs="Times New Roman"/>
                <w:color w:val="auto"/>
                <w:spacing w:val="-22"/>
                <w:sz w:val="24"/>
                <w:szCs w:val="24"/>
                <w:highlight w:val="none"/>
              </w:rPr>
              <w:t>章</w:t>
            </w:r>
            <w:r>
              <w:rPr>
                <w:rFonts w:hint="default" w:ascii="Times New Roman" w:hAnsi="Times New Roman" w:eastAsia="宋体" w:cs="Times New Roman"/>
                <w:color w:val="auto"/>
                <w:spacing w:val="-35"/>
                <w:sz w:val="24"/>
                <w:szCs w:val="24"/>
                <w:highlight w:val="none"/>
              </w:rPr>
              <w:t xml:space="preserve"> </w:t>
            </w:r>
            <w:r>
              <w:rPr>
                <w:rFonts w:hint="default" w:ascii="Times New Roman" w:hAnsi="Times New Roman" w:eastAsia="宋体" w:cs="Times New Roman"/>
                <w:color w:val="auto"/>
                <w:spacing w:val="-22"/>
                <w:sz w:val="24"/>
                <w:szCs w:val="24"/>
                <w:highlight w:val="none"/>
              </w:rPr>
              <w:t>)</w:t>
            </w:r>
          </w:p>
          <w:p w14:paraId="45591E30">
            <w:pPr>
              <w:keepNext w:val="0"/>
              <w:keepLines w:val="0"/>
              <w:pageBreakBefore w:val="0"/>
              <w:widowControl w:val="0"/>
              <w:kinsoku/>
              <w:wordWrap/>
              <w:overflowPunct/>
              <w:topLinePunct w:val="0"/>
              <w:autoSpaceDE/>
              <w:autoSpaceDN/>
              <w:bidi w:val="0"/>
              <w:adjustRightInd/>
              <w:snapToGrid/>
              <w:spacing w:line="320" w:lineRule="exact"/>
              <w:ind w:firstLine="46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负责人签名：</w:t>
            </w:r>
            <w:r>
              <w:rPr>
                <w:rFonts w:hint="default" w:ascii="Times New Roman" w:hAnsi="Times New Roman" w:eastAsia="宋体" w:cs="Times New Roman"/>
                <w:color w:val="auto"/>
                <w:spacing w:val="-3"/>
                <w:sz w:val="24"/>
                <w:szCs w:val="24"/>
                <w:highlight w:val="none"/>
                <w:lang w:val="en-US" w:eastAsia="zh-CN"/>
              </w:rPr>
              <w:t>镇街</w:t>
            </w:r>
            <w:r>
              <w:rPr>
                <w:rFonts w:hint="default" w:ascii="Times New Roman" w:hAnsi="Times New Roman" w:cs="Times New Roman"/>
                <w:color w:val="auto"/>
                <w:spacing w:val="-3"/>
                <w:sz w:val="24"/>
                <w:szCs w:val="24"/>
                <w:highlight w:val="none"/>
                <w:lang w:val="en-US" w:eastAsia="zh-CN"/>
              </w:rPr>
              <w:t>分管领导签字</w:t>
            </w:r>
            <w:r>
              <w:rPr>
                <w:rFonts w:hint="default" w:ascii="Times New Roman" w:hAnsi="Times New Roman" w:eastAsia="宋体" w:cs="Times New Roman"/>
                <w:color w:val="auto"/>
                <w:spacing w:val="3"/>
                <w:sz w:val="24"/>
                <w:szCs w:val="24"/>
                <w:highlight w:val="none"/>
              </w:rPr>
              <w:t xml:space="preserve">       </w:t>
            </w:r>
            <w:r>
              <w:rPr>
                <w:rFonts w:hint="default" w:ascii="Times New Roman" w:hAnsi="Times New Roman" w:cs="Times New Roman"/>
                <w:color w:val="auto"/>
                <w:spacing w:val="3"/>
                <w:sz w:val="24"/>
                <w:szCs w:val="24"/>
                <w:highlight w:val="none"/>
                <w:lang w:val="en-US" w:eastAsia="zh-CN"/>
              </w:rPr>
              <w:t xml:space="preserve"> </w:t>
            </w:r>
            <w:r>
              <w:rPr>
                <w:rFonts w:hint="default" w:ascii="Times New Roman" w:hAnsi="Times New Roman" w:eastAsia="宋体" w:cs="Times New Roman"/>
                <w:color w:val="auto"/>
                <w:spacing w:val="2"/>
                <w:sz w:val="24"/>
                <w:szCs w:val="24"/>
                <w:highlight w:val="none"/>
              </w:rPr>
              <w:t xml:space="preserve"> </w:t>
            </w:r>
            <w:r>
              <w:rPr>
                <w:rFonts w:hint="default" w:ascii="Times New Roman" w:hAnsi="Times New Roman" w:eastAsia="宋体" w:cs="Times New Roman"/>
                <w:color w:val="auto"/>
                <w:spacing w:val="2"/>
                <w:sz w:val="24"/>
                <w:szCs w:val="24"/>
                <w:highlight w:val="none"/>
                <w:lang w:val="en-US" w:eastAsia="zh-CN"/>
              </w:rPr>
              <w:t xml:space="preserve"> </w:t>
            </w:r>
            <w:r>
              <w:rPr>
                <w:rFonts w:hint="default" w:ascii="Times New Roman" w:hAnsi="Times New Roman" w:eastAsia="宋体" w:cs="Times New Roman"/>
                <w:color w:val="auto"/>
                <w:spacing w:val="2"/>
                <w:sz w:val="24"/>
                <w:szCs w:val="24"/>
                <w:highlight w:val="none"/>
              </w:rPr>
              <w:t xml:space="preserve">   </w:t>
            </w:r>
            <w:r>
              <w:rPr>
                <w:rFonts w:hint="default" w:ascii="Times New Roman" w:hAnsi="Times New Roman" w:cs="Times New Roman"/>
                <w:color w:val="auto"/>
                <w:spacing w:val="3"/>
                <w:sz w:val="24"/>
                <w:szCs w:val="24"/>
                <w:highlight w:val="none"/>
                <w:lang w:val="en-US" w:eastAsia="zh-CN"/>
              </w:rPr>
              <w:t>202</w:t>
            </w:r>
            <w:r>
              <w:rPr>
                <w:rFonts w:hint="eastAsia" w:ascii="Times New Roman" w:hAnsi="Times New Roman" w:cs="Times New Roman"/>
                <w:color w:val="auto"/>
                <w:spacing w:val="3"/>
                <w:sz w:val="24"/>
                <w:szCs w:val="24"/>
                <w:highlight w:val="none"/>
                <w:lang w:val="en-US" w:eastAsia="zh-CN"/>
              </w:rPr>
              <w:t>5</w:t>
            </w:r>
            <w:r>
              <w:rPr>
                <w:rFonts w:hint="default" w:ascii="Times New Roman" w:hAnsi="Times New Roman" w:eastAsia="宋体" w:cs="Times New Roman"/>
                <w:color w:val="auto"/>
                <w:spacing w:val="-9"/>
                <w:sz w:val="24"/>
                <w:szCs w:val="24"/>
                <w:highlight w:val="none"/>
              </w:rPr>
              <w:t>年</w:t>
            </w:r>
            <w:r>
              <w:rPr>
                <w:rFonts w:hint="eastAsia" w:ascii="Times New Roman" w:hAnsi="Times New Roman" w:cs="Times New Roman"/>
                <w:color w:val="auto"/>
                <w:spacing w:val="20"/>
                <w:sz w:val="24"/>
                <w:szCs w:val="24"/>
                <w:highlight w:val="none"/>
                <w:lang w:val="en-US" w:eastAsia="zh-CN"/>
              </w:rPr>
              <w:t xml:space="preserve">  </w:t>
            </w:r>
            <w:r>
              <w:rPr>
                <w:rFonts w:hint="default" w:ascii="Times New Roman" w:hAnsi="Times New Roman" w:eastAsia="宋体" w:cs="Times New Roman"/>
                <w:color w:val="auto"/>
                <w:spacing w:val="-9"/>
                <w:sz w:val="24"/>
                <w:szCs w:val="24"/>
                <w:highlight w:val="none"/>
              </w:rPr>
              <w:t>月</w:t>
            </w:r>
            <w:r>
              <w:rPr>
                <w:rFonts w:hint="eastAsia" w:ascii="Times New Roman" w:hAnsi="Times New Roman" w:cs="Times New Roman"/>
                <w:color w:val="auto"/>
                <w:spacing w:val="33"/>
                <w:sz w:val="24"/>
                <w:szCs w:val="24"/>
                <w:highlight w:val="none"/>
                <w:lang w:val="en-US" w:eastAsia="zh-CN"/>
              </w:rPr>
              <w:t xml:space="preserve">  </w:t>
            </w:r>
            <w:r>
              <w:rPr>
                <w:rFonts w:hint="default" w:ascii="Times New Roman" w:hAnsi="Times New Roman" w:eastAsia="宋体" w:cs="Times New Roman"/>
                <w:color w:val="auto"/>
                <w:spacing w:val="-9"/>
                <w:sz w:val="24"/>
                <w:szCs w:val="24"/>
                <w:highlight w:val="none"/>
              </w:rPr>
              <w:t>日</w:t>
            </w:r>
          </w:p>
        </w:tc>
      </w:tr>
      <w:tr w14:paraId="78FCA2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84" w:hRule="atLeast"/>
          <w:jc w:val="center"/>
        </w:trPr>
        <w:tc>
          <w:tcPr>
            <w:tcW w:w="1387" w:type="dxa"/>
            <w:tcBorders>
              <w:tl2br w:val="nil"/>
              <w:tr2bl w:val="nil"/>
            </w:tcBorders>
            <w:noWrap w:val="0"/>
            <w:vAlign w:val="top"/>
          </w:tcPr>
          <w:p w14:paraId="0F3A38F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黑体" w:cs="Times New Roman"/>
                <w:color w:val="auto"/>
                <w:sz w:val="21"/>
                <w:highlight w:val="none"/>
              </w:rPr>
            </w:pPr>
          </w:p>
          <w:p w14:paraId="66285D1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黑体" w:cs="Times New Roman"/>
                <w:color w:val="auto"/>
                <w:sz w:val="21"/>
                <w:highlight w:val="none"/>
              </w:rPr>
            </w:pPr>
          </w:p>
          <w:p w14:paraId="5AA98AA7">
            <w:pPr>
              <w:keepNext w:val="0"/>
              <w:keepLines w:val="0"/>
              <w:pageBreakBefore w:val="0"/>
              <w:widowControl w:val="0"/>
              <w:kinsoku/>
              <w:wordWrap/>
              <w:overflowPunct/>
              <w:topLinePunct w:val="0"/>
              <w:autoSpaceDE/>
              <w:autoSpaceDN/>
              <w:bidi w:val="0"/>
              <w:adjustRightInd/>
              <w:snapToGrid/>
              <w:spacing w:before="78" w:line="320" w:lineRule="exact"/>
              <w:ind w:left="0" w:leftChars="0" w:right="64" w:hanging="3" w:firstLineChars="0"/>
              <w:jc w:val="center"/>
              <w:textAlignment w:val="auto"/>
              <w:rPr>
                <w:rFonts w:hint="default" w:ascii="Times New Roman" w:hAnsi="Times New Roman" w:eastAsia="黑体" w:cs="Times New Roman"/>
                <w:color w:val="auto"/>
                <w:spacing w:val="3"/>
                <w:sz w:val="24"/>
                <w:szCs w:val="24"/>
                <w:highlight w:val="none"/>
                <w:lang w:val="en-US" w:eastAsia="zh-CN"/>
              </w:rPr>
            </w:pPr>
            <w:r>
              <w:rPr>
                <w:rFonts w:hint="eastAsia" w:ascii="Times New Roman" w:hAnsi="Times New Roman" w:eastAsia="黑体" w:cs="Times New Roman"/>
                <w:color w:val="auto"/>
                <w:spacing w:val="3"/>
                <w:sz w:val="24"/>
                <w:szCs w:val="24"/>
                <w:highlight w:val="none"/>
                <w:lang w:eastAsia="zh-CN"/>
              </w:rPr>
              <w:t>县</w:t>
            </w:r>
            <w:r>
              <w:rPr>
                <w:rFonts w:hint="default" w:ascii="Times New Roman" w:hAnsi="Times New Roman" w:eastAsia="黑体" w:cs="Times New Roman"/>
                <w:color w:val="auto"/>
                <w:spacing w:val="3"/>
                <w:sz w:val="24"/>
                <w:szCs w:val="24"/>
                <w:highlight w:val="none"/>
                <w:lang w:val="en-US" w:eastAsia="zh-CN"/>
              </w:rPr>
              <w:t>民政局</w:t>
            </w:r>
          </w:p>
          <w:p w14:paraId="7C3F661C">
            <w:pPr>
              <w:keepNext w:val="0"/>
              <w:keepLines w:val="0"/>
              <w:pageBreakBefore w:val="0"/>
              <w:widowControl w:val="0"/>
              <w:kinsoku/>
              <w:wordWrap/>
              <w:overflowPunct/>
              <w:topLinePunct w:val="0"/>
              <w:autoSpaceDE/>
              <w:autoSpaceDN/>
              <w:bidi w:val="0"/>
              <w:adjustRightInd/>
              <w:snapToGrid/>
              <w:spacing w:before="78" w:line="320" w:lineRule="exact"/>
              <w:ind w:left="0" w:leftChars="0" w:right="64" w:hanging="3" w:firstLineChars="0"/>
              <w:jc w:val="center"/>
              <w:textAlignment w:val="auto"/>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pacing w:val="3"/>
                <w:sz w:val="24"/>
                <w:szCs w:val="24"/>
                <w:highlight w:val="none"/>
              </w:rPr>
              <w:t>审</w:t>
            </w:r>
            <w:r>
              <w:rPr>
                <w:rFonts w:hint="default" w:ascii="Times New Roman" w:hAnsi="Times New Roman" w:eastAsia="黑体" w:cs="Times New Roman"/>
                <w:color w:val="auto"/>
                <w:spacing w:val="3"/>
                <w:sz w:val="24"/>
                <w:szCs w:val="24"/>
                <w:highlight w:val="none"/>
                <w:lang w:eastAsia="zh-CN"/>
              </w:rPr>
              <w:t>批</w:t>
            </w:r>
            <w:r>
              <w:rPr>
                <w:rFonts w:hint="default" w:ascii="Times New Roman" w:hAnsi="Times New Roman" w:eastAsia="黑体" w:cs="Times New Roman"/>
                <w:color w:val="auto"/>
                <w:spacing w:val="3"/>
                <w:sz w:val="24"/>
                <w:szCs w:val="24"/>
                <w:highlight w:val="none"/>
              </w:rPr>
              <w:t>意见</w:t>
            </w:r>
          </w:p>
        </w:tc>
        <w:tc>
          <w:tcPr>
            <w:tcW w:w="8309" w:type="dxa"/>
            <w:gridSpan w:val="5"/>
            <w:tcBorders>
              <w:tl2br w:val="nil"/>
              <w:tr2bl w:val="nil"/>
            </w:tcBorders>
            <w:noWrap w:val="0"/>
            <w:vAlign w:val="top"/>
          </w:tcPr>
          <w:p w14:paraId="4B4C3997">
            <w:pPr>
              <w:keepNext w:val="0"/>
              <w:keepLines w:val="0"/>
              <w:pageBreakBefore w:val="0"/>
              <w:widowControl w:val="0"/>
              <w:kinsoku/>
              <w:wordWrap/>
              <w:overflowPunct/>
              <w:topLinePunct w:val="0"/>
              <w:autoSpaceDE/>
              <w:autoSpaceDN/>
              <w:bidi w:val="0"/>
              <w:adjustRightInd/>
              <w:snapToGrid/>
              <w:spacing w:before="229" w:line="320" w:lineRule="exact"/>
              <w:ind w:firstLine="648" w:firstLineChars="200"/>
              <w:textAlignment w:val="auto"/>
              <w:rPr>
                <w:rFonts w:hint="default" w:ascii="Times New Roman" w:hAnsi="Times New Roman" w:eastAsia="宋体" w:cs="Times New Roman"/>
                <w:color w:val="auto"/>
                <w:spacing w:val="42"/>
                <w:sz w:val="24"/>
                <w:szCs w:val="24"/>
                <w:highlight w:val="none"/>
                <w:lang w:val="en-US" w:eastAsia="zh-CN"/>
              </w:rPr>
            </w:pPr>
            <w:r>
              <w:rPr>
                <w:rFonts w:hint="default" w:ascii="Times New Roman" w:hAnsi="Times New Roman" w:eastAsia="宋体" w:cs="Times New Roman"/>
                <w:color w:val="auto"/>
                <w:spacing w:val="42"/>
                <w:sz w:val="24"/>
                <w:szCs w:val="24"/>
                <w:highlight w:val="none"/>
                <w:lang w:val="en-US" w:eastAsia="zh-CN"/>
              </w:rPr>
              <w:t xml:space="preserve">                  </w:t>
            </w:r>
          </w:p>
          <w:p w14:paraId="70DE5450">
            <w:pPr>
              <w:keepNext w:val="0"/>
              <w:keepLines w:val="0"/>
              <w:pageBreakBefore w:val="0"/>
              <w:widowControl w:val="0"/>
              <w:kinsoku/>
              <w:wordWrap/>
              <w:overflowPunct/>
              <w:topLinePunct w:val="0"/>
              <w:autoSpaceDE/>
              <w:autoSpaceDN/>
              <w:bidi w:val="0"/>
              <w:adjustRightInd/>
              <w:snapToGrid/>
              <w:spacing w:before="229" w:line="320" w:lineRule="exact"/>
              <w:ind w:firstLine="6076" w:firstLineChars="31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2"/>
                <w:sz w:val="24"/>
                <w:szCs w:val="24"/>
                <w:highlight w:val="none"/>
              </w:rPr>
              <w:t>(</w:t>
            </w:r>
            <w:r>
              <w:rPr>
                <w:rFonts w:hint="default" w:ascii="Times New Roman" w:hAnsi="Times New Roman" w:eastAsia="宋体" w:cs="Times New Roman"/>
                <w:color w:val="auto"/>
                <w:spacing w:val="-28"/>
                <w:sz w:val="24"/>
                <w:szCs w:val="24"/>
                <w:highlight w:val="none"/>
              </w:rPr>
              <w:t xml:space="preserve"> </w:t>
            </w:r>
            <w:r>
              <w:rPr>
                <w:rFonts w:hint="default" w:ascii="Times New Roman" w:hAnsi="Times New Roman" w:eastAsia="宋体" w:cs="Times New Roman"/>
                <w:color w:val="auto"/>
                <w:spacing w:val="-22"/>
                <w:sz w:val="24"/>
                <w:szCs w:val="24"/>
                <w:highlight w:val="none"/>
              </w:rPr>
              <w:t>公</w:t>
            </w:r>
            <w:r>
              <w:rPr>
                <w:rFonts w:hint="default" w:ascii="Times New Roman" w:hAnsi="Times New Roman" w:eastAsia="宋体" w:cs="Times New Roman"/>
                <w:color w:val="auto"/>
                <w:spacing w:val="-28"/>
                <w:sz w:val="24"/>
                <w:szCs w:val="24"/>
                <w:highlight w:val="none"/>
              </w:rPr>
              <w:t xml:space="preserve"> </w:t>
            </w:r>
            <w:r>
              <w:rPr>
                <w:rFonts w:hint="default" w:ascii="Times New Roman" w:hAnsi="Times New Roman" w:eastAsia="宋体" w:cs="Times New Roman"/>
                <w:color w:val="auto"/>
                <w:spacing w:val="-22"/>
                <w:sz w:val="24"/>
                <w:szCs w:val="24"/>
                <w:highlight w:val="none"/>
              </w:rPr>
              <w:t>章</w:t>
            </w:r>
            <w:r>
              <w:rPr>
                <w:rFonts w:hint="default" w:ascii="Times New Roman" w:hAnsi="Times New Roman" w:eastAsia="宋体" w:cs="Times New Roman"/>
                <w:color w:val="auto"/>
                <w:spacing w:val="-35"/>
                <w:sz w:val="24"/>
                <w:szCs w:val="24"/>
                <w:highlight w:val="none"/>
              </w:rPr>
              <w:t xml:space="preserve"> </w:t>
            </w:r>
            <w:r>
              <w:rPr>
                <w:rFonts w:hint="default" w:ascii="Times New Roman" w:hAnsi="Times New Roman" w:eastAsia="宋体" w:cs="Times New Roman"/>
                <w:color w:val="auto"/>
                <w:spacing w:val="-22"/>
                <w:sz w:val="24"/>
                <w:szCs w:val="24"/>
                <w:highlight w:val="none"/>
              </w:rPr>
              <w:t>)</w:t>
            </w:r>
          </w:p>
          <w:p w14:paraId="1F232AAC">
            <w:pPr>
              <w:keepNext w:val="0"/>
              <w:keepLines w:val="0"/>
              <w:pageBreakBefore w:val="0"/>
              <w:widowControl w:val="0"/>
              <w:kinsoku/>
              <w:wordWrap/>
              <w:overflowPunct/>
              <w:topLinePunct w:val="0"/>
              <w:autoSpaceDE/>
              <w:autoSpaceDN/>
              <w:bidi w:val="0"/>
              <w:adjustRightInd/>
              <w:snapToGrid/>
              <w:spacing w:before="217" w:line="320" w:lineRule="exact"/>
              <w:ind w:firstLine="468" w:firstLineChars="200"/>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3"/>
                <w:sz w:val="24"/>
                <w:szCs w:val="24"/>
                <w:highlight w:val="none"/>
              </w:rPr>
              <w:t>负责人签名：</w:t>
            </w:r>
            <w:r>
              <w:rPr>
                <w:rFonts w:hint="default" w:ascii="Times New Roman" w:hAnsi="Times New Roman" w:eastAsia="宋体" w:cs="Times New Roman"/>
                <w:color w:val="auto"/>
                <w:spacing w:val="-3"/>
                <w:sz w:val="24"/>
                <w:szCs w:val="24"/>
                <w:highlight w:val="none"/>
                <w:lang w:val="en-US" w:eastAsia="zh-CN"/>
              </w:rPr>
              <w:t>民政局</w:t>
            </w:r>
            <w:r>
              <w:rPr>
                <w:rFonts w:hint="default" w:ascii="Times New Roman" w:hAnsi="Times New Roman" w:cs="Times New Roman"/>
                <w:color w:val="auto"/>
                <w:spacing w:val="-3"/>
                <w:sz w:val="24"/>
                <w:szCs w:val="24"/>
                <w:highlight w:val="none"/>
                <w:lang w:val="en-US" w:eastAsia="zh-CN"/>
              </w:rPr>
              <w:t>分管领导</w:t>
            </w:r>
            <w:r>
              <w:rPr>
                <w:rFonts w:hint="default" w:ascii="Times New Roman" w:hAnsi="Times New Roman" w:eastAsia="宋体" w:cs="Times New Roman"/>
                <w:color w:val="auto"/>
                <w:spacing w:val="3"/>
                <w:sz w:val="24"/>
                <w:szCs w:val="24"/>
                <w:highlight w:val="none"/>
              </w:rPr>
              <w:t xml:space="preserve">    </w:t>
            </w:r>
            <w:r>
              <w:rPr>
                <w:rFonts w:hint="default" w:ascii="Times New Roman" w:hAnsi="Times New Roman" w:eastAsia="宋体" w:cs="Times New Roman"/>
                <w:color w:val="auto"/>
                <w:spacing w:val="2"/>
                <w:sz w:val="24"/>
                <w:szCs w:val="24"/>
                <w:highlight w:val="none"/>
              </w:rPr>
              <w:t xml:space="preserve">  </w:t>
            </w:r>
            <w:r>
              <w:rPr>
                <w:rFonts w:hint="default" w:ascii="Times New Roman" w:hAnsi="Times New Roman" w:eastAsia="宋体" w:cs="Times New Roman"/>
                <w:color w:val="auto"/>
                <w:spacing w:val="2"/>
                <w:sz w:val="24"/>
                <w:szCs w:val="24"/>
                <w:highlight w:val="none"/>
                <w:lang w:val="en-US" w:eastAsia="zh-CN"/>
              </w:rPr>
              <w:t xml:space="preserve">        </w:t>
            </w:r>
            <w:r>
              <w:rPr>
                <w:rFonts w:hint="default" w:ascii="Times New Roman" w:hAnsi="Times New Roman" w:eastAsia="宋体" w:cs="Times New Roman"/>
                <w:color w:val="auto"/>
                <w:spacing w:val="2"/>
                <w:sz w:val="24"/>
                <w:szCs w:val="24"/>
                <w:highlight w:val="none"/>
              </w:rPr>
              <w:t xml:space="preserve"> </w:t>
            </w:r>
            <w:r>
              <w:rPr>
                <w:rFonts w:hint="default" w:ascii="Times New Roman" w:hAnsi="Times New Roman" w:cs="Times New Roman"/>
                <w:color w:val="auto"/>
                <w:spacing w:val="3"/>
                <w:sz w:val="24"/>
                <w:szCs w:val="24"/>
                <w:highlight w:val="none"/>
                <w:lang w:val="en-US" w:eastAsia="zh-CN"/>
              </w:rPr>
              <w:t>202</w:t>
            </w:r>
            <w:r>
              <w:rPr>
                <w:rFonts w:hint="eastAsia" w:ascii="Times New Roman" w:hAnsi="Times New Roman" w:cs="Times New Roman"/>
                <w:color w:val="auto"/>
                <w:spacing w:val="3"/>
                <w:sz w:val="24"/>
                <w:szCs w:val="24"/>
                <w:highlight w:val="none"/>
                <w:lang w:val="en-US" w:eastAsia="zh-CN"/>
              </w:rPr>
              <w:t>5</w:t>
            </w:r>
            <w:r>
              <w:rPr>
                <w:rFonts w:hint="default" w:ascii="Times New Roman" w:hAnsi="Times New Roman" w:eastAsia="宋体" w:cs="Times New Roman"/>
                <w:color w:val="auto"/>
                <w:spacing w:val="-9"/>
                <w:sz w:val="24"/>
                <w:szCs w:val="24"/>
                <w:highlight w:val="none"/>
              </w:rPr>
              <w:t>年</w:t>
            </w:r>
            <w:r>
              <w:rPr>
                <w:rFonts w:hint="eastAsia" w:ascii="Times New Roman" w:hAnsi="Times New Roman" w:cs="Times New Roman"/>
                <w:color w:val="auto"/>
                <w:spacing w:val="20"/>
                <w:sz w:val="24"/>
                <w:szCs w:val="24"/>
                <w:highlight w:val="none"/>
                <w:lang w:val="en-US" w:eastAsia="zh-CN"/>
              </w:rPr>
              <w:t xml:space="preserve">  </w:t>
            </w:r>
            <w:r>
              <w:rPr>
                <w:rFonts w:hint="default" w:ascii="Times New Roman" w:hAnsi="Times New Roman" w:eastAsia="宋体" w:cs="Times New Roman"/>
                <w:color w:val="auto"/>
                <w:spacing w:val="-9"/>
                <w:sz w:val="24"/>
                <w:szCs w:val="24"/>
                <w:highlight w:val="none"/>
              </w:rPr>
              <w:t>月</w:t>
            </w:r>
            <w:r>
              <w:rPr>
                <w:rFonts w:hint="eastAsia" w:ascii="Times New Roman" w:hAnsi="Times New Roman" w:cs="Times New Roman"/>
                <w:color w:val="auto"/>
                <w:spacing w:val="33"/>
                <w:sz w:val="24"/>
                <w:szCs w:val="24"/>
                <w:highlight w:val="none"/>
                <w:lang w:val="en-US" w:eastAsia="zh-CN"/>
              </w:rPr>
              <w:t xml:space="preserve">  </w:t>
            </w:r>
            <w:r>
              <w:rPr>
                <w:rFonts w:hint="default" w:ascii="Times New Roman" w:hAnsi="Times New Roman" w:eastAsia="宋体" w:cs="Times New Roman"/>
                <w:color w:val="auto"/>
                <w:spacing w:val="-9"/>
                <w:sz w:val="24"/>
                <w:szCs w:val="24"/>
                <w:highlight w:val="none"/>
              </w:rPr>
              <w:t>日</w:t>
            </w:r>
          </w:p>
        </w:tc>
      </w:tr>
    </w:tbl>
    <w:p w14:paraId="5E3C1D69">
      <w:pPr>
        <w:keepNext w:val="0"/>
        <w:keepLines w:val="0"/>
        <w:pageBreakBefore w:val="0"/>
        <w:widowControl w:val="0"/>
        <w:kinsoku/>
        <w:wordWrap/>
        <w:overflowPunct/>
        <w:topLinePunct w:val="0"/>
        <w:autoSpaceDE/>
        <w:autoSpaceDN/>
        <w:bidi w:val="0"/>
        <w:adjustRightInd/>
        <w:snapToGrid/>
        <w:spacing w:beforeAutospacing="0" w:after="157" w:afterLines="50" w:line="580" w:lineRule="exact"/>
        <w:ind w:right="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cs="Times New Roman"/>
          <w:color w:val="auto"/>
          <w:sz w:val="21"/>
          <w:highlight w:val="none"/>
        </w:rPr>
        <w:br w:type="page"/>
      </w:r>
      <w:r>
        <w:rPr>
          <w:rFonts w:hint="default" w:ascii="仿宋_GB2312" w:hAnsi="仿宋_GB2312" w:eastAsia="仿宋_GB2312" w:cs="仿宋_GB2312"/>
          <w:color w:val="auto"/>
          <w:sz w:val="28"/>
          <w:szCs w:val="28"/>
          <w:highlight w:val="none"/>
          <w:lang w:val="en-US" w:eastAsia="zh-CN"/>
        </w:rPr>
        <w:t>附件6</w:t>
      </w:r>
    </w:p>
    <w:p w14:paraId="5C5A4AF3">
      <w:pPr>
        <w:keepNext w:val="0"/>
        <w:keepLines w:val="0"/>
        <w:pageBreakBefore w:val="0"/>
        <w:widowControl w:val="0"/>
        <w:kinsoku/>
        <w:wordWrap/>
        <w:overflowPunct/>
        <w:topLinePunct w:val="0"/>
        <w:autoSpaceDE/>
        <w:autoSpaceDN/>
        <w:bidi w:val="0"/>
        <w:adjustRightInd/>
        <w:snapToGrid/>
        <w:spacing w:beforeAutospacing="0" w:line="580" w:lineRule="exact"/>
        <w:ind w:right="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w w:val="90"/>
          <w:sz w:val="44"/>
          <w:szCs w:val="44"/>
          <w:highlight w:val="none"/>
          <w:lang w:val="en-US" w:eastAsia="zh-CN"/>
        </w:rPr>
        <w:t>XX乡镇（场）</w:t>
      </w:r>
      <w:r>
        <w:rPr>
          <w:rFonts w:hint="default" w:ascii="Times New Roman" w:hAnsi="Times New Roman" w:eastAsia="方正小标宋简体" w:cs="Times New Roman"/>
          <w:color w:val="auto"/>
          <w:sz w:val="44"/>
          <w:szCs w:val="44"/>
          <w:highlight w:val="none"/>
          <w:lang w:val="en-US" w:eastAsia="zh-CN"/>
        </w:rPr>
        <w:t>一事一议</w:t>
      </w:r>
      <w:r>
        <w:rPr>
          <w:rFonts w:hint="eastAsia" w:ascii="方正小标宋简体" w:hAnsi="方正小标宋简体" w:eastAsia="方正小标宋简体" w:cs="方正小标宋简体"/>
          <w:color w:val="auto"/>
          <w:w w:val="90"/>
          <w:sz w:val="44"/>
          <w:szCs w:val="44"/>
          <w:highlight w:val="none"/>
          <w:lang w:val="en-US" w:eastAsia="zh-CN"/>
        </w:rPr>
        <w:t>会议记录</w:t>
      </w:r>
    </w:p>
    <w:p w14:paraId="099F4525">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jc w:val="center"/>
        <w:textAlignment w:val="auto"/>
        <w:rPr>
          <w:rFonts w:hint="default" w:ascii="Times New Roman" w:hAnsi="Times New Roman" w:eastAsia="仿宋_GB2312" w:cs="Times New Roman"/>
          <w:color w:val="auto"/>
          <w:sz w:val="32"/>
          <w:szCs w:val="32"/>
          <w:highlight w:val="none"/>
          <w:lang w:val="en-US" w:eastAsia="zh-CN"/>
        </w:rPr>
      </w:pPr>
    </w:p>
    <w:p w14:paraId="66D9E64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会议时间：</w:t>
      </w:r>
      <w:r>
        <w:rPr>
          <w:rFonts w:hint="default" w:ascii="Times New Roman" w:hAnsi="Times New Roman" w:eastAsia="仿宋_GB2312" w:cs="Times New Roman"/>
          <w:color w:val="auto"/>
          <w:sz w:val="32"/>
          <w:szCs w:val="32"/>
          <w:highlight w:val="none"/>
          <w:lang w:val="en-US" w:eastAsia="zh-CN"/>
        </w:rPr>
        <w:t>X年X月X日</w:t>
      </w:r>
    </w:p>
    <w:p w14:paraId="2E675F6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会议地点：</w:t>
      </w:r>
      <w:r>
        <w:rPr>
          <w:rFonts w:hint="default" w:ascii="Times New Roman" w:hAnsi="Times New Roman" w:eastAsia="仿宋_GB2312" w:cs="Times New Roman"/>
          <w:color w:val="auto"/>
          <w:sz w:val="32"/>
          <w:szCs w:val="32"/>
          <w:highlight w:val="none"/>
          <w:lang w:val="en-US" w:eastAsia="zh-CN"/>
        </w:rPr>
        <w:t>XXX</w:t>
      </w:r>
    </w:p>
    <w:p w14:paraId="0119A114">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参会人员：</w:t>
      </w:r>
      <w:r>
        <w:rPr>
          <w:rFonts w:hint="eastAsia" w:ascii="Times New Roman" w:hAnsi="Times New Roman" w:eastAsia="仿宋_GB2312" w:cs="Times New Roman"/>
          <w:color w:val="auto"/>
          <w:sz w:val="32"/>
          <w:szCs w:val="32"/>
          <w:highlight w:val="none"/>
          <w:lang w:val="en-US" w:eastAsia="zh-CN"/>
        </w:rPr>
        <w:t>乡镇</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场</w:t>
      </w:r>
      <w:r>
        <w:rPr>
          <w:rFonts w:hint="default" w:ascii="Times New Roman" w:hAnsi="Times New Roman" w:eastAsia="仿宋_GB2312" w:cs="Times New Roman"/>
          <w:color w:val="auto"/>
          <w:sz w:val="32"/>
          <w:szCs w:val="32"/>
          <w:highlight w:val="none"/>
          <w:lang w:val="en-US" w:eastAsia="zh-CN"/>
        </w:rPr>
        <w:t>）党委成员XXX，XXX,XXX,XXX</w:t>
      </w:r>
    </w:p>
    <w:p w14:paraId="153AA5AA">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主持人姓名及职务：</w:t>
      </w:r>
      <w:r>
        <w:rPr>
          <w:rFonts w:hint="default" w:ascii="Times New Roman" w:hAnsi="Times New Roman" w:eastAsia="仿宋_GB2312" w:cs="Times New Roman"/>
          <w:color w:val="auto"/>
          <w:sz w:val="32"/>
          <w:szCs w:val="32"/>
          <w:highlight w:val="none"/>
          <w:lang w:val="en-US" w:eastAsia="zh-CN"/>
        </w:rPr>
        <w:t>XXX</w:t>
      </w:r>
    </w:p>
    <w:p w14:paraId="6BA52433">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记录人：</w:t>
      </w:r>
      <w:r>
        <w:rPr>
          <w:rFonts w:hint="default" w:ascii="Times New Roman" w:hAnsi="Times New Roman" w:eastAsia="仿宋_GB2312" w:cs="Times New Roman"/>
          <w:color w:val="auto"/>
          <w:sz w:val="32"/>
          <w:szCs w:val="32"/>
          <w:highlight w:val="none"/>
          <w:lang w:val="en-US" w:eastAsia="zh-CN"/>
        </w:rPr>
        <w:t>XXX</w:t>
      </w:r>
    </w:p>
    <w:p w14:paraId="310BBED4">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会议主题：</w:t>
      </w:r>
    </w:p>
    <w:p w14:paraId="438403C1">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关于XX村</w:t>
      </w:r>
      <w:r>
        <w:rPr>
          <w:rFonts w:hint="eastAsia" w:ascii="Times New Roman" w:hAnsi="Times New Roman" w:eastAsia="黑体" w:cs="Times New Roman"/>
          <w:color w:val="auto"/>
          <w:sz w:val="32"/>
          <w:szCs w:val="32"/>
          <w:highlight w:val="none"/>
          <w:lang w:val="en-US" w:eastAsia="zh-CN"/>
        </w:rPr>
        <w:t>（社区）</w:t>
      </w:r>
      <w:r>
        <w:rPr>
          <w:rFonts w:hint="default" w:ascii="Times New Roman" w:hAnsi="Times New Roman" w:eastAsia="黑体" w:cs="Times New Roman"/>
          <w:color w:val="auto"/>
          <w:sz w:val="32"/>
          <w:szCs w:val="32"/>
          <w:highlight w:val="none"/>
          <w:lang w:val="en-US" w:eastAsia="zh-CN"/>
        </w:rPr>
        <w:t>李XX申请低保</w:t>
      </w:r>
      <w:r>
        <w:rPr>
          <w:rFonts w:hint="eastAsia" w:ascii="Times New Roman" w:hAnsi="Times New Roman" w:eastAsia="黑体" w:cs="Times New Roman"/>
          <w:color w:val="auto"/>
          <w:sz w:val="32"/>
          <w:szCs w:val="32"/>
          <w:highlight w:val="none"/>
          <w:lang w:val="en-US" w:eastAsia="zh-CN"/>
        </w:rPr>
        <w:t>（低边家庭）</w:t>
      </w:r>
      <w:r>
        <w:rPr>
          <w:rFonts w:hint="default" w:ascii="Times New Roman" w:hAnsi="Times New Roman" w:eastAsia="黑体" w:cs="Times New Roman"/>
          <w:color w:val="auto"/>
          <w:sz w:val="32"/>
          <w:szCs w:val="32"/>
          <w:highlight w:val="none"/>
          <w:lang w:val="en-US" w:eastAsia="zh-CN"/>
        </w:rPr>
        <w:t>事项</w:t>
      </w:r>
    </w:p>
    <w:p w14:paraId="76BCD6A2">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会议内容：</w:t>
      </w:r>
    </w:p>
    <w:p w14:paraId="03FF157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一、主持人清点到会人员。</w:t>
      </w:r>
      <w:r>
        <w:rPr>
          <w:rFonts w:hint="default" w:ascii="Times New Roman" w:hAnsi="Times New Roman" w:eastAsia="仿宋_GB2312" w:cs="Times New Roman"/>
          <w:color w:val="auto"/>
          <w:sz w:val="32"/>
          <w:szCs w:val="32"/>
          <w:highlight w:val="none"/>
          <w:lang w:val="en-US" w:eastAsia="zh-CN"/>
        </w:rPr>
        <w:t>应参加会议的人员为XX人，实际到会XX人，符合有关规定，可以开会。</w:t>
      </w:r>
    </w:p>
    <w:p w14:paraId="468A3C7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二、情况介绍</w:t>
      </w:r>
    </w:p>
    <w:p w14:paraId="1C6917FA">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村（社区）干部</w:t>
      </w:r>
      <w:r>
        <w:rPr>
          <w:rFonts w:hint="default" w:ascii="Times New Roman" w:hAnsi="Times New Roman" w:eastAsia="仿宋_GB2312" w:cs="Times New Roman"/>
          <w:color w:val="auto"/>
          <w:sz w:val="32"/>
          <w:szCs w:val="32"/>
          <w:highlight w:val="none"/>
          <w:lang w:val="en-US" w:eastAsia="zh-CN"/>
        </w:rPr>
        <w:t>对李XX家庭情况进行介绍</w:t>
      </w:r>
    </w:p>
    <w:p w14:paraId="4C7B94C9">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三、参会人员讨论发言</w:t>
      </w:r>
    </w:p>
    <w:p w14:paraId="0AA4081E">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张三</w:t>
      </w:r>
      <w:r>
        <w:rPr>
          <w:rFonts w:hint="default" w:ascii="Times New Roman" w:hAnsi="Times New Roman" w:eastAsia="仿宋_GB2312" w:cs="Times New Roman"/>
          <w:color w:val="auto"/>
          <w:sz w:val="32"/>
          <w:szCs w:val="32"/>
          <w:highlight w:val="none"/>
          <w:lang w:val="en-US" w:eastAsia="zh-CN"/>
        </w:rPr>
        <w:t>：*****</w:t>
      </w:r>
    </w:p>
    <w:p w14:paraId="30E272AB">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李四</w:t>
      </w:r>
      <w:r>
        <w:rPr>
          <w:rFonts w:hint="default" w:ascii="Times New Roman" w:hAnsi="Times New Roman" w:eastAsia="仿宋_GB2312" w:cs="Times New Roman"/>
          <w:color w:val="auto"/>
          <w:sz w:val="32"/>
          <w:szCs w:val="32"/>
          <w:highlight w:val="none"/>
          <w:lang w:val="en-US" w:eastAsia="zh-CN"/>
        </w:rPr>
        <w:t>：*****</w:t>
      </w:r>
    </w:p>
    <w:p w14:paraId="51866F27">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四、参会人员对议案进行表决</w:t>
      </w:r>
    </w:p>
    <w:p w14:paraId="400D2EBE">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经表决统计，XX人同意，XX人不同意，XX人弃权，同意XX人数达2/3以上，符合会议的相关规定，决议有效。</w:t>
      </w:r>
    </w:p>
    <w:p w14:paraId="73E5603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五、决议</w:t>
      </w:r>
    </w:p>
    <w:p w14:paraId="6D0C561E">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拟同意XX村</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李XX申请低保</w:t>
      </w:r>
      <w:r>
        <w:rPr>
          <w:rFonts w:hint="eastAsia" w:ascii="Times New Roman" w:hAnsi="Times New Roman" w:eastAsia="仿宋_GB2312" w:cs="Times New Roman"/>
          <w:color w:val="auto"/>
          <w:sz w:val="32"/>
          <w:szCs w:val="32"/>
          <w:highlight w:val="none"/>
          <w:lang w:val="en-US" w:eastAsia="zh-CN"/>
        </w:rPr>
        <w:t>（低边家庭）</w:t>
      </w:r>
      <w:r>
        <w:rPr>
          <w:rFonts w:hint="default" w:ascii="Times New Roman" w:hAnsi="Times New Roman" w:eastAsia="仿宋_GB2312" w:cs="Times New Roman"/>
          <w:color w:val="auto"/>
          <w:sz w:val="32"/>
          <w:szCs w:val="32"/>
          <w:highlight w:val="none"/>
          <w:lang w:val="en-US" w:eastAsia="zh-CN"/>
        </w:rPr>
        <w:t>，上报</w:t>
      </w:r>
      <w:r>
        <w:rPr>
          <w:rFonts w:hint="eastAsia"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民政局审批。</w:t>
      </w:r>
    </w:p>
    <w:p w14:paraId="2E2FE71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六、参会人员签字</w:t>
      </w:r>
    </w:p>
    <w:p w14:paraId="2954A70E">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color w:val="auto"/>
          <w:highlight w:val="none"/>
        </w:rPr>
      </w:pPr>
      <w:r>
        <w:rPr>
          <w:rFonts w:hint="default" w:ascii="Times New Roman" w:hAnsi="Times New Roman" w:eastAsia="黑体" w:cs="Times New Roman"/>
          <w:b w:val="0"/>
          <w:bCs/>
          <w:color w:val="auto"/>
          <w:sz w:val="32"/>
          <w:szCs w:val="32"/>
          <w:highlight w:val="none"/>
          <w:lang w:val="en-US" w:eastAsia="zh-CN"/>
        </w:rPr>
        <w:t xml:space="preserve"> ***、***、**、****、***、***</w:t>
      </w:r>
    </w:p>
    <w:p w14:paraId="02A9D098">
      <w:pPr>
        <w:pStyle w:val="17"/>
        <w:keepNext w:val="0"/>
        <w:keepLines w:val="0"/>
        <w:pageBreakBefore w:val="0"/>
        <w:kinsoku/>
        <w:wordWrap/>
        <w:overflowPunct/>
        <w:topLinePunct w:val="0"/>
        <w:bidi w:val="0"/>
        <w:snapToGrid/>
        <w:spacing w:line="580" w:lineRule="exact"/>
        <w:textAlignment w:val="auto"/>
        <w:rPr>
          <w:rFonts w:hint="default"/>
          <w:color w:val="auto"/>
          <w:highlight w:val="none"/>
        </w:rPr>
      </w:pPr>
    </w:p>
    <w:p w14:paraId="7D2ABEEA">
      <w:pPr>
        <w:pStyle w:val="17"/>
        <w:keepNext w:val="0"/>
        <w:keepLines w:val="0"/>
        <w:pageBreakBefore w:val="0"/>
        <w:kinsoku/>
        <w:wordWrap/>
        <w:overflowPunct/>
        <w:topLinePunct w:val="0"/>
        <w:bidi w:val="0"/>
        <w:snapToGrid/>
        <w:spacing w:line="580" w:lineRule="exact"/>
        <w:textAlignment w:val="auto"/>
        <w:rPr>
          <w:rFonts w:hint="default"/>
          <w:color w:val="auto"/>
          <w:highlight w:val="none"/>
        </w:rPr>
      </w:pPr>
    </w:p>
    <w:p w14:paraId="32B591D9">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6695023E">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13939DC4">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79BB4D3D">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706D46B0">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253AFD01">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01DFC4E2">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67B78C79">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258F3285">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70D31832">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7870EE2B">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717CE898">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1530397D">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3578BA4D">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7A6A9F68">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24C50F80">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046E66AD">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highlight w:val="none"/>
        </w:rPr>
      </w:pPr>
    </w:p>
    <w:p w14:paraId="1F8B54B7">
      <w:pPr>
        <w:pStyle w:val="17"/>
        <w:rPr>
          <w:rFonts w:hint="default"/>
          <w:color w:val="auto"/>
          <w:highlight w:val="none"/>
        </w:rPr>
      </w:pPr>
    </w:p>
    <w:p w14:paraId="7A7C25EA">
      <w:pPr>
        <w:spacing w:before="48" w:beforeLines="20" w:after="48" w:afterLines="20" w:line="440" w:lineRule="exact"/>
        <w:ind w:firstLine="280" w:firstLineChars="100"/>
        <w:rPr>
          <w:rFonts w:hint="eastAsia" w:ascii="Times New Roman" w:hAnsi="Times New Roman" w:eastAsia="仿宋_GB2312" w:cs="仿宋_GB2312"/>
          <w:color w:val="auto"/>
          <w:kern w:val="2"/>
          <w:sz w:val="32"/>
          <w:szCs w:val="32"/>
          <w:highlight w:val="none"/>
          <w:lang w:eastAsia="zh-CN"/>
        </w:rPr>
      </w:pPr>
      <w:r>
        <w:rPr>
          <w:rFonts w:hint="default" w:ascii="Times New Roman" w:hAnsi="Times New Roman" w:eastAsia="仿宋_GB2312" w:cs="Times New Roman"/>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23495</wp:posOffset>
                </wp:positionV>
                <wp:extent cx="5584190" cy="16510"/>
                <wp:effectExtent l="0" t="4445" r="16510" b="7620"/>
                <wp:wrapNone/>
                <wp:docPr id="5" name="直接连接符 5"/>
                <wp:cNvGraphicFramePr/>
                <a:graphic xmlns:a="http://schemas.openxmlformats.org/drawingml/2006/main">
                  <a:graphicData uri="http://schemas.microsoft.com/office/word/2010/wordprocessingShape">
                    <wps:wsp>
                      <wps:cNvCnPr/>
                      <wps:spPr>
                        <a:xfrm flipV="1">
                          <a:off x="0" y="0"/>
                          <a:ext cx="5584190" cy="1651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5pt;margin-top:1.85pt;height:1.3pt;width:439.7pt;z-index:251660288;mso-width-relative:page;mso-height-relative:page;" filled="f" stroked="t" coordsize="21600,21600" o:gfxdata="UEsDBAoAAAAAAIdO4kAAAAAAAAAAAAAAAAAEAAAAZHJzL1BLAwQUAAAACACHTuJA0IN9J9IAAAAF&#10;AQAADwAAAGRycy9kb3ducmV2LnhtbE2OwU7DMBBE70j8g7VI3KhTLEpI4/RQFK6IloqrG2/jqPE6&#10;it2k/D3LCU6j0YxmXrm5+l5MOMYukIblIgOB1ATbUavhc18/5CBiMmRNHwg1fGOETXV7U5rChpk+&#10;cNqlVvAIxcJocCkNhZSxcehNXIQBibNTGL1JbMdW2tHMPO57+ZhlK+lNR/zgzIBbh815d/Ea5q+n&#10;DuvD27upT6/RHeKktnLS+v5uma1BJLymvzL84jM6VMx0DBeyUfQa1AsXWZ5BcJrnSoE4algpkFUp&#10;/9NXP1BLAwQUAAAACACHTuJAcZTglQICAADyAwAADgAAAGRycy9lMm9Eb2MueG1srVNLjhMxEN0j&#10;cQfLe9LpUTIaWunMYsKwQRCJz97xp9uSf3I56eQSXACJHaxYsuc2DMeg7A6ZYdhkQS+ssqv61XvP&#10;5cX13hqykxG0dy2tJ1NKpONeaNe19P2722dXlEBiTjDjnWzpQQK9Xj59shhCIy98742QkSCIg2YI&#10;Le1TCk1VAe+lZTDxQTpMKh8tS7iNXSUiGxDdmupiOr2sBh9FiJ5LADxdjUl6RIznAHqlNJcrz7dW&#10;ujSiRmlYQknQ6wB0WdgqJXl6oxTIRExLUWkqKzbBeJPXarlgTRdZ6DU/UmDnUHikyTLtsOkJasUS&#10;I9uo/4GymkcPXqUJ97YahRRHUEU9feTN254FWbSg1RBOpsP/g+Wvd+tItGjpnBLHLF743afvPz9+&#10;+fXjM653376SeTZpCNBg7Y1bx+MOwjpmxXsVLVFGhw84TcUDVEX2xeLDyWK5T4Tj4Xx+Naufo/sc&#10;c/XlvC5XUI0wGS5ESC+ltyQHLTXaZQdYw3avIGFrLP1Tko+NI0NLZ7MZ0ucMx1HhGGBoA0oC15V/&#10;wRstbrUx+Q+I3ebGRLJjeSTKlwUi7l9lucmKQT/WldQ4LL1k4oUTJB0CmuXwjdBMwUpBiZH4pHKE&#10;gKxJTJtzKrG1ccggezy6mqONFwe8mm2IuuvRibqwzBkchcL3OLZ51h7uC9L9U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CDfSfSAAAABQEAAA8AAAAAAAAAAQAgAAAAIgAAAGRycy9kb3ducmV2&#10;LnhtbFBLAQIUABQAAAAIAIdO4kBxlOCVAgIAAPIDAAAOAAAAAAAAAAEAIAAAACEBAABkcnMvZTJv&#10;RG9jLnhtbFBLBQYAAAAABgAGAFkBAACVBQAAAAA=&#10;">
                <v:fill on="f" focussize="0,0"/>
                <v:stroke weight="0.35pt" color="#000000" joinstyle="round"/>
                <v:imagedata o:title=""/>
                <o:lock v:ext="edit" aspectratio="f"/>
              </v:line>
            </w:pict>
          </mc:Fallback>
        </mc:AlternateContent>
      </w:r>
      <w:r>
        <w:rPr>
          <w:rFonts w:hint="default" w:ascii="Times New Roman" w:hAnsi="Times New Roman" w:eastAsia="仿宋_GB2312" w:cs="Times New Roman"/>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319405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25.15pt;height:0pt;width:441pt;z-index:251659264;mso-width-relative:page;mso-height-relative:page;" filled="f" stroked="t" coordsize="21600,21600" o:gfxdata="UEsDBAoAAAAAAIdO4kAAAAAAAAAAAAAAAAAEAAAAZHJzL1BLAwQUAAAACACHTuJA7tk80NUAAAAH&#10;AQAADwAAAGRycy9kb3ducmV2LnhtbE2OzU7CQBSF9ya+w+SauJMZIJCmdkrSBhcsNBFI1N3QubaN&#10;nTu1MwV8e69xAcvzk3O+bHV2nTjiEFpPGqYTBQKp8ralWsN+9/SQgAjRkDWdJ9TwgwFW+e1NZlLr&#10;T/SKx22sBY9QSI2GJsY+lTJUDToTJr5H4uzTD85ElkMt7WBOPO46OVNqKZ1piR8a02PZYPW1HZ2G&#10;GN7eX+K4+S6WxXOJu+KjXMuN1vd3U/UIIuI5Xsrwh8/okDPTwY9kg+hYL7ioYaHmIDhOkjkbh39D&#10;5pm85s9/AVBLAwQUAAAACACHTuJAHoYtLfQBAADkAwAADgAAAGRycy9lMm9Eb2MueG1srVM7jhQx&#10;EM2RuIPlnOmeZT+oNT0b7LAkCEYCDlBju7st+SeX53cJLoBEBhEhObdhOQZl9+wsLMkEdOAuu8qv&#10;6r0qz6531rCNiqi9a/l0UnOmnPBSu77lH97fPnvBGSZwEox3quV7hfx6/vTJbBsadeYHb6SKjEAc&#10;NtvQ8iGl0FQVikFZwIkPypGz89FCom3sKxlhS+jWVGd1fVltfZQheqEQ6XQxOvkBMZ4C6LtOC7Xw&#10;Ym2VSyNqVAYSUcJBB+TzUm3XKZHedh2qxEzLiWkqKyUhe5XXaj6Dpo8QBi0OJcApJTziZEE7SnqE&#10;WkACto76HyirRfTouzQR3lYjkaIIsZjWj7R5N0BQhQtJjeEoOv4/WPFms4xMy5afc+bAUsPvPn3/&#10;+fHLrx+fab379pWdZ5G2ARuKvXHLeNhhWMbMeNdFm//Ehe2KsPujsGqXmKDDi8u6vqpJc3Hvqx4u&#10;hojplfKWZaPlRrvMGRrYvMZEySj0PiQfG8e2LX8+vbogOKAB7KjxZNpAJND15S56o+WtNibfwNiv&#10;bkxkG8hDUL5MiXD/CstJFoDDGFdc43gMCuRLJ1naB5LH0avguQSrJGdG0SPKFgFCk0CbUyIptXFU&#10;QVZ11DFbKy/31Ix1iLofSIlpqTJ7qPml3sOg5un6c1+QHh7n/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2TzQ1QAAAAcBAAAPAAAAAAAAAAEAIAAAACIAAABkcnMvZG93bnJldi54bWxQSwECFAAU&#10;AAAACACHTuJAHoYtLfQBAADkAwAADgAAAAAAAAABACAAAAAkAQAAZHJzL2Uyb0RvYy54bWxQSwUG&#10;AAAAAAYABgBZAQAAigUAAAAA&#10;">
                <v:fill on="f" focussize="0,0"/>
                <v:stroke weight="0.25pt" color="#000000" joinstyle="round"/>
                <v:imagedata o:title=""/>
                <o:lock v:ext="edit" aspectratio="f"/>
              </v:line>
            </w:pict>
          </mc:Fallback>
        </mc:AlternateContent>
      </w:r>
      <w:r>
        <w:rPr>
          <w:rFonts w:hint="eastAsia" w:ascii="Times New Roman" w:hAnsi="Times New Roman" w:eastAsia="仿宋_GB2312" w:cs="Times New Roman"/>
          <w:color w:val="auto"/>
          <w:sz w:val="28"/>
          <w:szCs w:val="28"/>
          <w:highlight w:val="none"/>
          <w:lang w:eastAsia="zh-CN"/>
        </w:rPr>
        <w:t>炎陵县</w:t>
      </w:r>
      <w:r>
        <w:rPr>
          <w:rFonts w:hint="default" w:ascii="Times New Roman" w:hAnsi="Times New Roman" w:eastAsia="仿宋_GB2312" w:cs="Times New Roman"/>
          <w:color w:val="auto"/>
          <w:sz w:val="28"/>
          <w:szCs w:val="28"/>
          <w:highlight w:val="none"/>
        </w:rPr>
        <w:t>民政局办公室                　</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20</w:t>
      </w:r>
      <w:r>
        <w:rPr>
          <w:rFonts w:hint="default" w:ascii="Times New Roman" w:hAnsi="Times New Roman" w:eastAsia="仿宋_GB2312" w:cs="Times New Roman"/>
          <w:color w:val="auto"/>
          <w:sz w:val="28"/>
          <w:szCs w:val="28"/>
          <w:highlight w:val="none"/>
          <w:lang w:val="en-US" w:eastAsia="zh-CN"/>
        </w:rPr>
        <w:t>25</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日印发</w:t>
      </w:r>
    </w:p>
    <w:sectPr>
      <w:headerReference r:id="rId8" w:type="default"/>
      <w:footerReference r:id="rId9" w:type="default"/>
      <w:pgSz w:w="11906" w:h="16838"/>
      <w:pgMar w:top="2098" w:right="1531" w:bottom="1701" w:left="1531"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ì.">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A95C2">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DF16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00DF16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4AD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C346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2C346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33C5">
    <w:pPr>
      <w:spacing w:line="173" w:lineRule="auto"/>
      <w:ind w:left="12985"/>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7899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777899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F530F">
    <w:pPr>
      <w:pStyle w:val="4"/>
      <w:ind w:right="360" w:firstLine="360"/>
      <w:jc w:val="center"/>
      <w:rPr>
        <w:rFonts w:ascii="Times New Roman" w:hAns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7D168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87D168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E329B46">
    <w:pPr>
      <w:pStyle w:val="4"/>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3FF6E">
    <w:pPr>
      <w:pStyle w:val="5"/>
      <w:pBdr>
        <w:bottom w:val="none" w:color="auto" w:sz="0" w:space="1"/>
      </w:pBdr>
      <w:jc w:val="both"/>
      <w:rPr>
        <w:rFonts w:hint="eastAsia" w:ascii="仿宋_GB2312" w:hAnsi="仿宋_GB2312" w:eastAsia="仿宋_GB2312" w:cs="仿宋_GB2312"/>
        <w:b w:val="0"/>
        <w:bCs w:val="0"/>
        <w:sz w:val="32"/>
        <w:szCs w:val="32"/>
        <w:lang w:val="en-US" w:eastAsia="zh-CN"/>
      </w:rPr>
    </w:pPr>
  </w:p>
  <w:p w14:paraId="3A7A1B9F">
    <w:pPr>
      <w:pStyle w:val="5"/>
      <w:pBdr>
        <w:bottom w:val="none" w:color="auto" w:sz="0" w:space="1"/>
      </w:pBdr>
      <w:jc w:val="both"/>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175A">
    <w:pPr>
      <w:pStyle w:val="5"/>
      <w:pBdr>
        <w:bottom w:val="none" w:color="auto" w:sz="0" w:space="1"/>
      </w:pBdr>
      <w:jc w:val="both"/>
      <w:rPr>
        <w:rFonts w:hint="eastAsia" w:ascii="仿宋_GB2312" w:hAnsi="仿宋_GB2312" w:eastAsia="仿宋_GB2312" w:cs="仿宋_GB2312"/>
        <w:b w:val="0"/>
        <w:bCs w:val="0"/>
        <w:sz w:val="32"/>
        <w:szCs w:val="32"/>
        <w:lang w:val="en-US" w:eastAsia="zh-CN"/>
      </w:rPr>
    </w:pPr>
  </w:p>
  <w:p w14:paraId="13EC68D9">
    <w:pPr>
      <w:pStyle w:val="5"/>
      <w:pBdr>
        <w:bottom w:val="none" w:color="auto" w:sz="0" w:space="1"/>
      </w:pBd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YLDR-2025-06002</w:t>
    </w:r>
  </w:p>
  <w:p w14:paraId="3F22DC01">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AFC4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ZjdiZWU3NzJjMjc3M2MxZDY4MjYwZWQzNjkxMDUifQ=="/>
  </w:docVars>
  <w:rsids>
    <w:rsidRoot w:val="00F846DB"/>
    <w:rsid w:val="000836E7"/>
    <w:rsid w:val="00092E03"/>
    <w:rsid w:val="001A04EE"/>
    <w:rsid w:val="00204EFA"/>
    <w:rsid w:val="002079E8"/>
    <w:rsid w:val="002B523E"/>
    <w:rsid w:val="002D6A74"/>
    <w:rsid w:val="00407F6C"/>
    <w:rsid w:val="004B193B"/>
    <w:rsid w:val="00500D19"/>
    <w:rsid w:val="005A18A0"/>
    <w:rsid w:val="005A45AE"/>
    <w:rsid w:val="00661611"/>
    <w:rsid w:val="00664F2F"/>
    <w:rsid w:val="0066670E"/>
    <w:rsid w:val="006822C4"/>
    <w:rsid w:val="006C37DD"/>
    <w:rsid w:val="009A3352"/>
    <w:rsid w:val="009C1662"/>
    <w:rsid w:val="00A11E6E"/>
    <w:rsid w:val="00A9153A"/>
    <w:rsid w:val="00BD1B80"/>
    <w:rsid w:val="00C3114C"/>
    <w:rsid w:val="00C338AC"/>
    <w:rsid w:val="00C60337"/>
    <w:rsid w:val="00C82150"/>
    <w:rsid w:val="00D234CD"/>
    <w:rsid w:val="00DA5342"/>
    <w:rsid w:val="00DE6BEB"/>
    <w:rsid w:val="00EE33B9"/>
    <w:rsid w:val="00EF4339"/>
    <w:rsid w:val="00F74834"/>
    <w:rsid w:val="00F846DB"/>
    <w:rsid w:val="01566E16"/>
    <w:rsid w:val="02480C71"/>
    <w:rsid w:val="02BC3862"/>
    <w:rsid w:val="03045434"/>
    <w:rsid w:val="03232622"/>
    <w:rsid w:val="035450FB"/>
    <w:rsid w:val="04141342"/>
    <w:rsid w:val="05B747B5"/>
    <w:rsid w:val="080603DE"/>
    <w:rsid w:val="08B4450F"/>
    <w:rsid w:val="08E9737B"/>
    <w:rsid w:val="090829A7"/>
    <w:rsid w:val="0963504E"/>
    <w:rsid w:val="09AB136C"/>
    <w:rsid w:val="0A5A45AA"/>
    <w:rsid w:val="0B9335CE"/>
    <w:rsid w:val="0C2D659E"/>
    <w:rsid w:val="0C5E5D10"/>
    <w:rsid w:val="0D464D9C"/>
    <w:rsid w:val="0E341099"/>
    <w:rsid w:val="0F9D0FD3"/>
    <w:rsid w:val="11643A43"/>
    <w:rsid w:val="121239F2"/>
    <w:rsid w:val="13107D21"/>
    <w:rsid w:val="13DE3AB9"/>
    <w:rsid w:val="149E5971"/>
    <w:rsid w:val="16EF0253"/>
    <w:rsid w:val="16F43844"/>
    <w:rsid w:val="17514A69"/>
    <w:rsid w:val="175F08EE"/>
    <w:rsid w:val="17FF5699"/>
    <w:rsid w:val="18901BCB"/>
    <w:rsid w:val="19D471A7"/>
    <w:rsid w:val="1A7D7F74"/>
    <w:rsid w:val="1CF30371"/>
    <w:rsid w:val="1D1520AE"/>
    <w:rsid w:val="1E5F6B76"/>
    <w:rsid w:val="1E713F7F"/>
    <w:rsid w:val="1EE2369C"/>
    <w:rsid w:val="1FEB1FA4"/>
    <w:rsid w:val="1FFE8C85"/>
    <w:rsid w:val="210E250E"/>
    <w:rsid w:val="23580771"/>
    <w:rsid w:val="239C7A3C"/>
    <w:rsid w:val="249C00B9"/>
    <w:rsid w:val="249C5982"/>
    <w:rsid w:val="252D0008"/>
    <w:rsid w:val="25EE385C"/>
    <w:rsid w:val="2819006C"/>
    <w:rsid w:val="28CF4E13"/>
    <w:rsid w:val="2A4915D0"/>
    <w:rsid w:val="2AEF64CB"/>
    <w:rsid w:val="2BFE5E7B"/>
    <w:rsid w:val="2C0C3E8E"/>
    <w:rsid w:val="2C29790B"/>
    <w:rsid w:val="2C2F13F4"/>
    <w:rsid w:val="2D9668EF"/>
    <w:rsid w:val="2FC82F97"/>
    <w:rsid w:val="2FD14C2F"/>
    <w:rsid w:val="31104BF6"/>
    <w:rsid w:val="31FE88C7"/>
    <w:rsid w:val="320B002E"/>
    <w:rsid w:val="32133148"/>
    <w:rsid w:val="34433534"/>
    <w:rsid w:val="35FFB0AF"/>
    <w:rsid w:val="36460106"/>
    <w:rsid w:val="37B87094"/>
    <w:rsid w:val="37BFB3DA"/>
    <w:rsid w:val="381E0458"/>
    <w:rsid w:val="38627604"/>
    <w:rsid w:val="387B47BC"/>
    <w:rsid w:val="39F44118"/>
    <w:rsid w:val="3B5E3245"/>
    <w:rsid w:val="3B845183"/>
    <w:rsid w:val="3BC677A0"/>
    <w:rsid w:val="3C7FD11F"/>
    <w:rsid w:val="3CA63945"/>
    <w:rsid w:val="3DDE0983"/>
    <w:rsid w:val="3DEB3295"/>
    <w:rsid w:val="3EDB5FC4"/>
    <w:rsid w:val="3FD3741E"/>
    <w:rsid w:val="404D13CC"/>
    <w:rsid w:val="41F06527"/>
    <w:rsid w:val="4206694B"/>
    <w:rsid w:val="42685C48"/>
    <w:rsid w:val="42693CB4"/>
    <w:rsid w:val="43E25066"/>
    <w:rsid w:val="45A8633B"/>
    <w:rsid w:val="461D4DA3"/>
    <w:rsid w:val="469F0A9E"/>
    <w:rsid w:val="486444D5"/>
    <w:rsid w:val="49D767A1"/>
    <w:rsid w:val="4B164A9B"/>
    <w:rsid w:val="4B6FFA6B"/>
    <w:rsid w:val="4B814C16"/>
    <w:rsid w:val="4BF058F8"/>
    <w:rsid w:val="4C5A622E"/>
    <w:rsid w:val="4D0A4797"/>
    <w:rsid w:val="4DCB4C72"/>
    <w:rsid w:val="4F242DD2"/>
    <w:rsid w:val="4F7B2FCE"/>
    <w:rsid w:val="4FF329A5"/>
    <w:rsid w:val="50BB1BE7"/>
    <w:rsid w:val="52736C8E"/>
    <w:rsid w:val="52C12DCD"/>
    <w:rsid w:val="53D062BC"/>
    <w:rsid w:val="53DE3CA4"/>
    <w:rsid w:val="54AA07AA"/>
    <w:rsid w:val="54D7766D"/>
    <w:rsid w:val="55F850EE"/>
    <w:rsid w:val="55FF6CE2"/>
    <w:rsid w:val="565D1DDC"/>
    <w:rsid w:val="57B7B180"/>
    <w:rsid w:val="57C06AC6"/>
    <w:rsid w:val="57F80C60"/>
    <w:rsid w:val="58A472D4"/>
    <w:rsid w:val="58EA204C"/>
    <w:rsid w:val="59BFD93D"/>
    <w:rsid w:val="5B63061C"/>
    <w:rsid w:val="5B6F58EB"/>
    <w:rsid w:val="5C1898C5"/>
    <w:rsid w:val="5CC06AA7"/>
    <w:rsid w:val="5D2418A5"/>
    <w:rsid w:val="5DAA5341"/>
    <w:rsid w:val="5DFC70AD"/>
    <w:rsid w:val="5E831E3D"/>
    <w:rsid w:val="5EB71386"/>
    <w:rsid w:val="5EFDFBC6"/>
    <w:rsid w:val="5EFE8FD3"/>
    <w:rsid w:val="5F7DBFDD"/>
    <w:rsid w:val="5FA9FD4D"/>
    <w:rsid w:val="5FDD33FF"/>
    <w:rsid w:val="5FFD9927"/>
    <w:rsid w:val="624E47FD"/>
    <w:rsid w:val="625D7E9D"/>
    <w:rsid w:val="639A466F"/>
    <w:rsid w:val="63E30421"/>
    <w:rsid w:val="646042A5"/>
    <w:rsid w:val="65762EDA"/>
    <w:rsid w:val="6593581A"/>
    <w:rsid w:val="65AA44C4"/>
    <w:rsid w:val="666376F2"/>
    <w:rsid w:val="667D75EA"/>
    <w:rsid w:val="66DFACDE"/>
    <w:rsid w:val="67FFB8AF"/>
    <w:rsid w:val="68E00D1F"/>
    <w:rsid w:val="68F706C8"/>
    <w:rsid w:val="69FB6224"/>
    <w:rsid w:val="6A835585"/>
    <w:rsid w:val="6B377CD1"/>
    <w:rsid w:val="6BDF9C72"/>
    <w:rsid w:val="6BE253AF"/>
    <w:rsid w:val="6D2D3999"/>
    <w:rsid w:val="6E0E00D8"/>
    <w:rsid w:val="6E4A4457"/>
    <w:rsid w:val="6EA40C39"/>
    <w:rsid w:val="6F1A8147"/>
    <w:rsid w:val="6F836E34"/>
    <w:rsid w:val="6FF7BB61"/>
    <w:rsid w:val="6FFFAA2D"/>
    <w:rsid w:val="708B2818"/>
    <w:rsid w:val="728F08A9"/>
    <w:rsid w:val="735FCFED"/>
    <w:rsid w:val="73764072"/>
    <w:rsid w:val="73C848F9"/>
    <w:rsid w:val="73CF4F4A"/>
    <w:rsid w:val="74D80A35"/>
    <w:rsid w:val="757061B5"/>
    <w:rsid w:val="762B84D4"/>
    <w:rsid w:val="76C573BD"/>
    <w:rsid w:val="771700A9"/>
    <w:rsid w:val="776F0D16"/>
    <w:rsid w:val="777F9B51"/>
    <w:rsid w:val="77D9D327"/>
    <w:rsid w:val="78ED3757"/>
    <w:rsid w:val="791329C6"/>
    <w:rsid w:val="79D40881"/>
    <w:rsid w:val="79FE6F00"/>
    <w:rsid w:val="7A3E06D8"/>
    <w:rsid w:val="7AFB47D9"/>
    <w:rsid w:val="7B6B372F"/>
    <w:rsid w:val="7B7DE09B"/>
    <w:rsid w:val="7B7FD42F"/>
    <w:rsid w:val="7BD6D982"/>
    <w:rsid w:val="7C7FD1B4"/>
    <w:rsid w:val="7C8D080B"/>
    <w:rsid w:val="7CBBC3E0"/>
    <w:rsid w:val="7CBE0186"/>
    <w:rsid w:val="7D5B28E2"/>
    <w:rsid w:val="7D6A1BA2"/>
    <w:rsid w:val="7DCDB772"/>
    <w:rsid w:val="7DDFBAEF"/>
    <w:rsid w:val="7E2F6A52"/>
    <w:rsid w:val="7E8A04DC"/>
    <w:rsid w:val="7EF7D445"/>
    <w:rsid w:val="7EFF9B44"/>
    <w:rsid w:val="7FDFBCB1"/>
    <w:rsid w:val="7FECF865"/>
    <w:rsid w:val="7FEDF1C0"/>
    <w:rsid w:val="7FEFC8CF"/>
    <w:rsid w:val="7FF5E1D8"/>
    <w:rsid w:val="7FFD7D21"/>
    <w:rsid w:val="7FFF70BE"/>
    <w:rsid w:val="7FFFBC4D"/>
    <w:rsid w:val="7FFFCE4F"/>
    <w:rsid w:val="7FFFD296"/>
    <w:rsid w:val="8EDB7B3E"/>
    <w:rsid w:val="90FE2C44"/>
    <w:rsid w:val="99DDEA83"/>
    <w:rsid w:val="9DDB5DDC"/>
    <w:rsid w:val="9F3F25EF"/>
    <w:rsid w:val="9FF66026"/>
    <w:rsid w:val="A3C7469F"/>
    <w:rsid w:val="AECFFE96"/>
    <w:rsid w:val="AFF720E2"/>
    <w:rsid w:val="B6FF8981"/>
    <w:rsid w:val="BB579AF6"/>
    <w:rsid w:val="BBCF2ED2"/>
    <w:rsid w:val="BDFC298A"/>
    <w:rsid w:val="BFFC18EF"/>
    <w:rsid w:val="C7778A60"/>
    <w:rsid w:val="CBF6A41D"/>
    <w:rsid w:val="CDFC5D35"/>
    <w:rsid w:val="CEED898D"/>
    <w:rsid w:val="CFDDD99E"/>
    <w:rsid w:val="D35F5D25"/>
    <w:rsid w:val="D3790DD9"/>
    <w:rsid w:val="D5ED8F3A"/>
    <w:rsid w:val="D7AF1DA1"/>
    <w:rsid w:val="D7D76286"/>
    <w:rsid w:val="D93F974B"/>
    <w:rsid w:val="DDBF11CF"/>
    <w:rsid w:val="DF69A602"/>
    <w:rsid w:val="DFF65C11"/>
    <w:rsid w:val="E5E351C3"/>
    <w:rsid w:val="E74FD4FC"/>
    <w:rsid w:val="EBB75D03"/>
    <w:rsid w:val="EBD63524"/>
    <w:rsid w:val="EBFBF139"/>
    <w:rsid w:val="EEFCBC5E"/>
    <w:rsid w:val="EFBFAC05"/>
    <w:rsid w:val="EFFBA998"/>
    <w:rsid w:val="F2EF9560"/>
    <w:rsid w:val="F547CEFB"/>
    <w:rsid w:val="F5BF7E38"/>
    <w:rsid w:val="F5FDB7C9"/>
    <w:rsid w:val="F6BD576A"/>
    <w:rsid w:val="F6FCEBD7"/>
    <w:rsid w:val="F6FF43D8"/>
    <w:rsid w:val="F71E72B2"/>
    <w:rsid w:val="F7547CE7"/>
    <w:rsid w:val="F7555C6F"/>
    <w:rsid w:val="F7B33B17"/>
    <w:rsid w:val="F99709A5"/>
    <w:rsid w:val="FA6E409C"/>
    <w:rsid w:val="FA87870D"/>
    <w:rsid w:val="FB3D9F7B"/>
    <w:rsid w:val="FB6D9EF5"/>
    <w:rsid w:val="FBFBC9D7"/>
    <w:rsid w:val="FCFFC292"/>
    <w:rsid w:val="FD130E58"/>
    <w:rsid w:val="FD6FC32F"/>
    <w:rsid w:val="FDF6B7A9"/>
    <w:rsid w:val="FED26EA1"/>
    <w:rsid w:val="FED6283D"/>
    <w:rsid w:val="FEFF3F54"/>
    <w:rsid w:val="FF33048A"/>
    <w:rsid w:val="FF570202"/>
    <w:rsid w:val="FFBB7B39"/>
    <w:rsid w:val="FFBBC6BD"/>
    <w:rsid w:val="FFDC79F5"/>
    <w:rsid w:val="FFF633A7"/>
    <w:rsid w:val="FFFE43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30"/>
    </w:pPr>
    <w:rPr>
      <w:rFonts w:eastAsia="仿宋_GB2312"/>
      <w:sz w:val="32"/>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jc w:val="left"/>
    </w:pPr>
    <w:rPr>
      <w:rFonts w:ascii="宋体" w:hAnsi="宋体" w:eastAsia="宋体" w:cs="宋体"/>
      <w:kern w:val="0"/>
      <w:sz w:val="24"/>
      <w:szCs w:val="24"/>
    </w:rPr>
  </w:style>
  <w:style w:type="paragraph" w:styleId="7">
    <w:name w:val="Body Text First Indent 2"/>
    <w:basedOn w:val="2"/>
    <w:qFormat/>
    <w:uiPriority w:val="0"/>
    <w:pPr>
      <w:ind w:firstLine="420" w:firstLineChars="200"/>
    </w:pPr>
  </w:style>
  <w:style w:type="table" w:styleId="9">
    <w:name w:val="Table Grid"/>
    <w:basedOn w:val="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semiHidden/>
    <w:qFormat/>
    <w:uiPriority w:val="99"/>
    <w:rPr>
      <w:sz w:val="18"/>
      <w:szCs w:val="18"/>
    </w:rPr>
  </w:style>
  <w:style w:type="character" w:customStyle="1" w:styleId="14">
    <w:name w:val="批注框文本 Char"/>
    <w:basedOn w:val="10"/>
    <w:link w:val="3"/>
    <w:semiHidden/>
    <w:qFormat/>
    <w:uiPriority w:val="99"/>
    <w:rPr>
      <w:rFonts w:asciiTheme="minorHAnsi" w:hAnsiTheme="minorHAnsi" w:eastAsiaTheme="minorEastAsia" w:cstheme="minorBidi"/>
      <w:kern w:val="2"/>
      <w:sz w:val="18"/>
      <w:szCs w:val="18"/>
    </w:rPr>
  </w:style>
  <w:style w:type="paragraph" w:customStyle="1" w:styleId="15">
    <w:name w:val="Table caption|1"/>
    <w:basedOn w:val="1"/>
    <w:qFormat/>
    <w:uiPriority w:val="0"/>
    <w:pPr>
      <w:spacing w:line="262" w:lineRule="auto"/>
      <w:ind w:left="530" w:firstLine="420"/>
      <w:jc w:val="left"/>
    </w:pPr>
    <w:rPr>
      <w:rFonts w:ascii="宋体" w:hAnsi="宋体" w:cs="宋体"/>
      <w:b/>
      <w:bCs/>
      <w:kern w:val="0"/>
      <w:sz w:val="22"/>
      <w:szCs w:val="20"/>
      <w:lang w:val="zh-TW" w:eastAsia="zh-TW" w:bidi="zh-TW"/>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Default"/>
    <w:basedOn w:val="18"/>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18">
    <w:name w:val="正文1"/>
    <w:qFormat/>
    <w:uiPriority w:val="0"/>
    <w:pPr>
      <w:jc w:val="both"/>
    </w:pPr>
    <w:rPr>
      <w:rFonts w:ascii="Calibri" w:hAnsi="Calibri" w:eastAsia="宋体" w:cs="Times New Roman"/>
      <w:sz w:val="32"/>
      <w:szCs w:val="32"/>
      <w:lang w:val="en-US" w:eastAsia="zh-CN" w:bidi="ar-SA"/>
    </w:rPr>
  </w:style>
  <w:style w:type="paragraph" w:customStyle="1" w:styleId="1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5127</Words>
  <Characters>5176</Characters>
  <Lines>29</Lines>
  <Paragraphs>8</Paragraphs>
  <TotalTime>14</TotalTime>
  <ScaleCrop>false</ScaleCrop>
  <LinksUpToDate>false</LinksUpToDate>
  <CharactersWithSpaces>6357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2021-05-11T00:26:00Z</dcterms:created>
  <dc:creator>Administrator</dc:creator>
  <cp:lastModifiedBy>Administrator</cp:lastModifiedBy>
  <cp:lastPrinted>2025-12-08T09:24:00Z</cp:lastPrinted>
  <dcterms:modified xsi:type="dcterms:W3CDTF">2025-12-10T06:57:26Z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B1ED0B3BC6F447C9BA81F35E352F8C1E_12</vt:lpwstr>
  </property>
  <property fmtid="{D5CDD505-2E9C-101B-9397-08002B2CF9AE}" pid="4" name="KSOTemplateDocerSaveRecord">
    <vt:lpwstr>eyJoZGlkIjoiNGFiYTc1YjA5NGZlNjFlYjBhNmE1MDM1OTA0MGI3NjgiLCJ1c2VySWQiOiIxMzE0MjYzMTY0In0=</vt:lpwstr>
  </property>
</Properties>
</file>