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8F5F">
      <w:pPr>
        <w:keepNext w:val="0"/>
        <w:keepLines w:val="0"/>
        <w:pageBreakBefore w:val="0"/>
        <w:tabs>
          <w:tab w:val="left" w:pos="3518"/>
        </w:tabs>
        <w:kinsoku/>
        <w:wordWrap/>
        <w:overflowPunct/>
        <w:topLinePunct w:val="0"/>
        <w:autoSpaceDE/>
        <w:autoSpaceDN/>
        <w:bidi w:val="0"/>
        <w:adjustRightInd/>
        <w:spacing w:before="191" w:line="360" w:lineRule="auto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株洲市渌口区</w:t>
      </w:r>
      <w:r>
        <w:rPr>
          <w:rFonts w:hint="eastAsia" w:ascii="方正小标宋_GBK" w:hAnsi="方正小标宋_GBK" w:eastAsia="方正小标宋_GBK" w:cs="方正小标宋_GBK"/>
          <w:b/>
          <w:spacing w:val="-2"/>
          <w:sz w:val="44"/>
          <w:szCs w:val="44"/>
        </w:rPr>
        <w:t>市场监督管理局</w:t>
      </w:r>
    </w:p>
    <w:p w14:paraId="534EB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" w:line="360" w:lineRule="auto"/>
        <w:jc w:val="center"/>
        <w:rPr>
          <w:rFonts w:hint="eastAsia" w:ascii="宋体" w:hAnsi="宋体" w:eastAsia="宋体" w:cs="宋体"/>
          <w:spacing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行政处罚决定书</w:t>
      </w:r>
    </w:p>
    <w:p w14:paraId="615A4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" w:line="360" w:lineRule="auto"/>
        <w:jc w:val="center"/>
        <w:rPr>
          <w:rFonts w:hint="eastAsia" w:ascii="楷体" w:hAnsi="楷体" w:eastAsia="楷体" w:cs="楷体"/>
          <w:spacing w:val="-7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株渌</w:t>
      </w:r>
      <w:r>
        <w:rPr>
          <w:rFonts w:hint="eastAsia" w:ascii="楷体" w:hAnsi="楷体" w:eastAsia="楷体" w:cs="楷体"/>
          <w:spacing w:val="-7"/>
          <w:sz w:val="30"/>
          <w:szCs w:val="30"/>
        </w:rPr>
        <w:t>市监处罚〔</w:t>
      </w:r>
      <w:r>
        <w:rPr>
          <w:rFonts w:hint="eastAsia" w:ascii="楷体" w:hAnsi="楷体" w:eastAsia="楷体" w:cs="楷体"/>
          <w:spacing w:val="-7"/>
          <w:sz w:val="30"/>
          <w:szCs w:val="30"/>
          <w:lang w:val="en-US" w:eastAsia="zh-CN"/>
        </w:rPr>
        <w:t>2025</w:t>
      </w:r>
      <w:r>
        <w:rPr>
          <w:rFonts w:hint="eastAsia" w:ascii="楷体" w:hAnsi="楷体" w:eastAsia="楷体" w:cs="楷体"/>
          <w:spacing w:val="-7"/>
          <w:sz w:val="30"/>
          <w:szCs w:val="30"/>
        </w:rPr>
        <w:t>〕</w:t>
      </w:r>
      <w:r>
        <w:rPr>
          <w:rFonts w:hint="eastAsia" w:ascii="楷体" w:hAnsi="楷体" w:eastAsia="楷体" w:cs="楷体"/>
          <w:spacing w:val="-7"/>
          <w:sz w:val="30"/>
          <w:szCs w:val="30"/>
          <w:lang w:val="en-US" w:eastAsia="zh-CN"/>
        </w:rPr>
        <w:t>14</w:t>
      </w:r>
      <w:r>
        <w:rPr>
          <w:rFonts w:hint="eastAsia" w:ascii="楷体" w:hAnsi="楷体" w:eastAsia="楷体" w:cs="楷体"/>
          <w:spacing w:val="-7"/>
          <w:sz w:val="30"/>
          <w:szCs w:val="30"/>
        </w:rPr>
        <w:t>号</w:t>
      </w:r>
    </w:p>
    <w:p w14:paraId="4627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" w:line="360" w:lineRule="auto"/>
        <w:jc w:val="center"/>
        <w:rPr>
          <w:rFonts w:hint="eastAsia" w:ascii="Times New Roman" w:hAnsi="Times New Roman" w:eastAsia="方正仿宋_GBK" w:cs="方正仿宋_GBK"/>
          <w:spacing w:val="-7"/>
          <w:sz w:val="30"/>
          <w:szCs w:val="30"/>
        </w:rPr>
      </w:pPr>
    </w:p>
    <w:p w14:paraId="2DE4C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当事人：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株洲市渌口区子克辰百货店（个体工商户）；</w:t>
      </w:r>
    </w:p>
    <w:p w14:paraId="1B7563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主体资格证照名称：营业执照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eastAsia="zh-CN"/>
        </w:rPr>
        <w:t>；</w:t>
      </w:r>
    </w:p>
    <w:p w14:paraId="5E6BD7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eastAsia="zh-CN"/>
        </w:rPr>
        <w:t>统一社会信用代码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92430221MAED48CUXD；</w:t>
      </w:r>
    </w:p>
    <w:p w14:paraId="3CB015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shd w:val="clear" w:color="auto" w:fill="auto"/>
          <w:lang w:val="en-US" w:eastAsia="zh-CN"/>
        </w:rPr>
        <w:t>经营场所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shd w:val="clear" w:color="auto" w:fill="auto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湖南省株洲市渌口区南洲镇江边村南洲产业园B2栋1单元5楼9265室；</w:t>
      </w:r>
    </w:p>
    <w:p w14:paraId="2E88C5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eastAsia="zh-CN"/>
        </w:rPr>
        <w:t>经营者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王玮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，女，1990年6月4日出生，籍贯：江苏省沭阳县；</w:t>
      </w:r>
    </w:p>
    <w:p w14:paraId="6376F8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身份证件号码：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3213XXXXXXXXXXXXXX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；</w:t>
      </w:r>
    </w:p>
    <w:p w14:paraId="7EAB28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shd w:val="clear" w:color="auto" w:fill="auto"/>
        </w:rPr>
        <w:t>经营范围：一般项目：日用百货销售；服装服饰零售；服装服饰批发；棉、麻销售；林业产品销售；针纺织品及原料销售；游艺及娱乐用品销售；家用电器销售；仪器仪表销售；办公设备销售；特种劳动防护用品销售；劳动保护用品销售；家具零配件销售；家用电器零配件销售；针纺织品销售；鞋帽零售；化妆品零售；个人卫生用品销售；厨具卫具及日用杂品零售；日用品销售；礼品花卉销售；母婴用品销售；钟表销售；眼镜销售（不含隐形眼镜）；箱包销售；文具用品零售；体育用品及器材零售；户外用品销售；珠宝首饰零售；工艺美术品及收藏品零售（象牙及其制品除外）；照相器材及望远镜零售；乐器零售；玩具、动漫及游艺用品销售；二手日用百货销售；家用视听设备销售；日用家电零售；计算机软硬件及辅助设备零售；通信设备销售；五金产品零售；灯具销售；家具销售；涂料销售（不含危险化学品）；卫生洁具销售；建筑装饰材料销售；旧货销售；互联网销售（除销售需要许可的商品）；机械零件、零部件销售；皮革销售；电子元器件零售；汽车装饰用品销售；皮革制品销售；电子产品销售；个人互联网直播服务；美发饰品销售。（除依法须经批准的项目外，凭营业执照依法自主开展经营活动）</w:t>
      </w:r>
    </w:p>
    <w:p w14:paraId="2C11E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2025年4月-7月，我局陆续收到“湖南市场监管投诉举报平台”转来的投诉举报单5份，株洲市12345市长热线来电交办单5份，投诉举报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在拼多多平台上经营的店铺“淮海果树苗木培育场”销售的苗木种子与广告宣传的不一致，涉嫌虚假宣传等问题。2025年5月6日，我局执法人员依据线索到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的经营场地进行现场检查，发现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未在营业执照核准的经营场所开展经营活动，于2025年5月6日列入经营异常名录。至2025年5月29日，执法人员到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的经营场地进行现场检查，发现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仍然未在营业执照核准的经营场所开展经营活动。当日执法人员向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送达《责令改正通知书》（株（渌）市监责改〔2025〕0529-3号），要求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在2025年6月10日前改正。2025年8月4日，执法人员再次来到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核准的注册经营场地进行现场检查，未见变更迁回，也未办理注销登记。本局于2025年8月4日予以立案调查，通过现场核查、查询登记档案等方式调查，现已查明：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于2025年2月25日向株洲市渌口区市场监督管理局申请设立个体经营户登记，经登记机关核准，名称：株洲市渌口区子克辰百货店；经营者：王玮；经营场所：湖南省株洲市渌口区南洲镇江边村南洲产业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园B2栋1单元5楼9265室，资金数额为1万元。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设立登记后，未在实际的登记地址经营，且经责令改正拒不改正。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的上述行为违反了《中华人民共和国市场主体登记管理条例》第二十七条 市场主体变更住所或者主要经营场所跨登记机关辖区的，应当在迁入新的住所或者主要经营场所前，向迁入地登记机关申请变更登记的规定，存在主观故意。</w:t>
      </w:r>
    </w:p>
    <w:p w14:paraId="44DC6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上述事实，主要有以下证据证明：</w:t>
      </w:r>
    </w:p>
    <w:p w14:paraId="77D5D83B">
      <w:pPr>
        <w:keepNext w:val="0"/>
        <w:keepLines w:val="0"/>
        <w:pageBreakBefore w:val="0"/>
        <w:widowControl w:val="0"/>
        <w:tabs>
          <w:tab w:val="left" w:pos="2725"/>
        </w:tabs>
        <w:kinsoku/>
        <w:wordWrap/>
        <w:overflowPunct/>
        <w:topLinePunct w:val="0"/>
        <w:autoSpaceDE/>
        <w:autoSpaceDN/>
        <w:bidi w:val="0"/>
        <w:adjustRightInd/>
        <w:spacing w:before="31" w:line="44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一、湖南市场监管投诉举报平台投诉举报单5份，株洲市12345市长热线来电交办单5份。证明案件的来源、当事人连续被消费者举报、投诉，涉嫌违法行为无法查证，消费纠纷无法解决，情节严重的事实；</w:t>
      </w:r>
    </w:p>
    <w:p w14:paraId="63380A00">
      <w:pPr>
        <w:keepNext w:val="0"/>
        <w:keepLines w:val="0"/>
        <w:pageBreakBefore w:val="0"/>
        <w:widowControl w:val="0"/>
        <w:tabs>
          <w:tab w:val="left" w:pos="2725"/>
        </w:tabs>
        <w:kinsoku/>
        <w:wordWrap/>
        <w:overflowPunct/>
        <w:topLinePunct w:val="0"/>
        <w:autoSpaceDE/>
        <w:autoSpaceDN/>
        <w:bidi w:val="0"/>
        <w:adjustRightInd/>
        <w:spacing w:before="31" w:line="44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二、个体工商户登记基本信息表一份，证明当事人的主体资格；</w:t>
      </w:r>
    </w:p>
    <w:p w14:paraId="45888A5D">
      <w:pPr>
        <w:keepNext w:val="0"/>
        <w:keepLines w:val="0"/>
        <w:pageBreakBefore w:val="0"/>
        <w:widowControl w:val="0"/>
        <w:tabs>
          <w:tab w:val="left" w:pos="2725"/>
        </w:tabs>
        <w:kinsoku/>
        <w:wordWrap/>
        <w:overflowPunct/>
        <w:topLinePunct w:val="0"/>
        <w:autoSpaceDE/>
        <w:autoSpaceDN/>
        <w:bidi w:val="0"/>
        <w:adjustRightInd/>
        <w:spacing w:before="31" w:line="44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三、株洲市渌口区市场监督管理局企业住所（经营场地)现场检查记录表三份，现场检查照片打印三份，《责令改正通知书》的国内挂号信函收据和物流轨迹查询截图打印一份，证明当事人未在登记住所经营，且经责令改正拒不改正的事实；</w:t>
      </w:r>
    </w:p>
    <w:p w14:paraId="7FDFEF8C">
      <w:pPr>
        <w:keepNext w:val="0"/>
        <w:keepLines w:val="0"/>
        <w:pageBreakBefore w:val="0"/>
        <w:widowControl w:val="0"/>
        <w:tabs>
          <w:tab w:val="left" w:pos="2725"/>
        </w:tabs>
        <w:kinsoku/>
        <w:wordWrap/>
        <w:overflowPunct/>
        <w:topLinePunct w:val="0"/>
        <w:autoSpaceDE/>
        <w:autoSpaceDN/>
        <w:bidi w:val="0"/>
        <w:adjustRightInd/>
        <w:spacing w:before="31" w:line="44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四、南洲产业园入驻企业名单一份，证明当事人没有入驻该产业园；</w:t>
      </w:r>
    </w:p>
    <w:p w14:paraId="5E720D88">
      <w:pPr>
        <w:keepNext w:val="0"/>
        <w:keepLines w:val="0"/>
        <w:pageBreakBefore w:val="0"/>
        <w:widowControl w:val="0"/>
        <w:tabs>
          <w:tab w:val="left" w:pos="2725"/>
        </w:tabs>
        <w:kinsoku/>
        <w:wordWrap/>
        <w:overflowPunct/>
        <w:topLinePunct w:val="0"/>
        <w:autoSpaceDE/>
        <w:autoSpaceDN/>
        <w:bidi w:val="0"/>
        <w:adjustRightInd/>
        <w:spacing w:before="31" w:line="44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以上证据均依照法定程序收集，并分别由提供人签名、盖章确认，符合法定形式，与违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法事实相关，我局予以采信。</w:t>
      </w:r>
    </w:p>
    <w:p w14:paraId="28AA0028">
      <w:pPr>
        <w:keepNext w:val="0"/>
        <w:keepLines w:val="0"/>
        <w:pageBreakBefore w:val="0"/>
        <w:widowControl w:val="0"/>
        <w:tabs>
          <w:tab w:val="left" w:pos="2725"/>
        </w:tabs>
        <w:kinsoku/>
        <w:wordWrap/>
        <w:overflowPunct/>
        <w:topLinePunct w:val="0"/>
        <w:autoSpaceDE/>
        <w:autoSpaceDN/>
        <w:bidi w:val="0"/>
        <w:adjustRightInd/>
        <w:spacing w:before="31" w:line="44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根据上述查明的事实，我局在作出处罚决定前的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2025年9月5日向当事人依法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送达了株渌市监罚告〔2025〕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号《行政处罚告知书》，告知当事人拟作出行政处罚的事实、理由、依据和处罚内容，并告知了当事人有陈述、申辩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对证据发表意见，要求听证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</w:rPr>
        <w:t>的权利，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当事人在规定的期限内没有陈述、申辩，未对证据发表意见，也未要求听证。</w:t>
      </w:r>
    </w:p>
    <w:p w14:paraId="0916D2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color w:val="auto"/>
          <w:spacing w:val="0"/>
          <w:w w:val="1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0"/>
          <w:szCs w:val="30"/>
          <w:highlight w:val="none"/>
          <w:lang w:val="en-US" w:eastAsia="zh-CN"/>
        </w:rPr>
        <w:t>综上，我局认为：当事人的上述行为违反了《中华人民共和国市场主体登记管理条例》第二十七条 市场主体变更住所或者主要经营场所跨登记机关辖区的，应当在迁入新的住所或者主要经营场所前，向迁入地登记机关申请变更登记的规定，构成了《中华人民共和国市场主体登记管理条例》第四十六条 市场主体未依照本条例办理变更登记的，由登记机关责令改正；拒不改正的，处1万元以上10万元以下的罚款；情节严重的，吊销营业执照的行为。</w:t>
      </w:r>
    </w:p>
    <w:p w14:paraId="5BA962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0"/>
          <w:szCs w:val="30"/>
          <w:highlight w:val="none"/>
          <w:lang w:val="en-US" w:eastAsia="zh-CN"/>
        </w:rPr>
        <w:t>依据《中华人民共和国市场主体登记管理条例》第四十六条 市场主体未依照本条例办理变更登记的，由登记机关责令改正;拒不改正的，处1万元以上10万元以下的罚款;情节严重的，吊销营业执照的规定。鉴于当事人未在登记的经营场所常驻和经营，在收到《责令改正通知书》后逾期未改正违法行为，连续被消费者举报、投诉，涉嫌违法行为无法查证，消费纠纷无法解决，情节严重。依照《中华人民共和国行政处罚法》第五条第二款 设定和实施行政处罚必须以事实为依据，与违法行为的事实、性质、情节以及社会危害程度相当。第三十四条 行政机关可以依法制定行政处罚裁量基准，规范行使行政处罚裁量权。行政处罚裁量基准应当向社会公布。参照《湖南省市场监督管理行政处罚裁量权基准》第一章市场主体登记监督管理第二节《中华人民共和国市场主体登记管理条例》《中华人民共和国市场主体登记管理条例实施细则》行政处罚裁量基准 五、违法行为：市场主体未依照《中华人民共和国市场主体登记管理条例》办理变更登记的【裁量基准】4．从重情形：情节严重的，吊销营业执照的裁量基准。经研究，决定吊销当事人（株洲市渌口区子克辰百货店）的营业执照。</w:t>
      </w:r>
    </w:p>
    <w:p w14:paraId="4A3D5DF9"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0"/>
          <w:szCs w:val="30"/>
          <w:highlight w:val="none"/>
          <w:lang w:val="en-US" w:eastAsia="zh-CN"/>
        </w:rPr>
        <w:t>依照《市场监督管理严重违法失信名单管理办法》第二条第一款、第二款第二项、第十三条第一款、第十四条第一款，第十五条的规定现拟将当事人列入严重违法失信名单，通过国家企业信用信息公示系统公示，并实施相应管理措施。列入期限自做出决定书之日起，自列入期满一年后，当事人可依据《市场监督管理严重违法失信名单管理办法》第十六条、第十七条规定向本局申请提前移出严重违法失信名单，停止公示相关信息并解除相应管理措施。</w:t>
      </w:r>
    </w:p>
    <w:p w14:paraId="6682DC1E"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当事人如不服本处罚决定，可在收到本处罚决定书之日起六十日内向株洲市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渌口区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人民政府申请复议，也可在六个月内直接向株洲市芦淞区人民法院提起诉讼。</w:t>
      </w:r>
    </w:p>
    <w:p w14:paraId="40A1FA7E"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6493B166"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株洲市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渌口区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市场监督管理局 </w:t>
      </w:r>
    </w:p>
    <w:p w14:paraId="70961096"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firstLine="600" w:firstLineChars="200"/>
        <w:textAlignment w:val="auto"/>
        <w:rPr>
          <w:rFonts w:hint="eastAsia" w:ascii="Times New Roman" w:hAnsi="Times New Roman" w:eastAsia="仿宋"/>
          <w:spacing w:val="-16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2025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22D397A5">
      <w:pPr>
        <w:pStyle w:val="2"/>
        <w:spacing w:before="1" w:line="360" w:lineRule="auto"/>
        <w:ind w:left="0" w:leftChars="0" w:firstLine="0" w:firstLineChars="0"/>
        <w:jc w:val="both"/>
        <w:rPr>
          <w:rFonts w:hint="eastAsia" w:ascii="Times New Roman" w:hAnsi="Times New Roman" w:eastAsia="仿宋"/>
          <w:spacing w:val="-16"/>
          <w:sz w:val="30"/>
          <w:szCs w:val="30"/>
        </w:rPr>
      </w:pPr>
    </w:p>
    <w:p w14:paraId="01F97EB3">
      <w:pPr>
        <w:pStyle w:val="2"/>
        <w:spacing w:before="1" w:line="360" w:lineRule="auto"/>
        <w:ind w:left="0" w:leftChars="0" w:firstLine="0" w:firstLineChars="0"/>
        <w:jc w:val="both"/>
        <w:rPr>
          <w:rFonts w:hint="eastAsia" w:ascii="Times New Roman" w:hAnsi="Times New Roman" w:eastAsia="仿宋"/>
          <w:spacing w:val="-16"/>
          <w:sz w:val="30"/>
          <w:szCs w:val="30"/>
        </w:rPr>
      </w:pPr>
    </w:p>
    <w:p w14:paraId="267AF428">
      <w:pPr>
        <w:pStyle w:val="2"/>
        <w:spacing w:before="1" w:line="360" w:lineRule="auto"/>
        <w:jc w:val="center"/>
        <w:rPr>
          <w:rFonts w:ascii="Times New Roman" w:hAnsi="Times New Roman" w:eastAsia="仿宋" w:cs="仿宋"/>
          <w:bCs/>
          <w:sz w:val="24"/>
        </w:rPr>
      </w:pPr>
      <w:r>
        <w:rPr>
          <w:rFonts w:hint="eastAsia" w:ascii="Times New Roman" w:hAnsi="Times New Roman" w:eastAsia="仿宋"/>
          <w:spacing w:val="-16"/>
          <w:sz w:val="30"/>
          <w:szCs w:val="30"/>
        </w:rPr>
        <w:t>（市场监督管理部门将依法向社会公开行政处罚决定信息）</w:t>
      </w:r>
    </w:p>
    <w:p w14:paraId="218C9B45">
      <w:pPr>
        <w:spacing w:line="360" w:lineRule="auto"/>
        <w:jc w:val="center"/>
        <w:rPr>
          <w:rFonts w:hint="eastAsia" w:ascii="Times New Roman" w:hAnsi="Times New Roman" w:eastAsia="华文仿宋" w:cs="华文仿宋"/>
          <w:i w:val="0"/>
          <w:iCs w:val="0"/>
          <w:caps w:val="0"/>
          <w:color w:val="163188"/>
          <w:spacing w:val="0"/>
          <w:sz w:val="30"/>
          <w:szCs w:val="30"/>
          <w:shd w:val="clear" w:fill="F3F4F4"/>
        </w:rPr>
      </w:pPr>
      <w:r>
        <w:rPr>
          <w:rFonts w:ascii="Times New Roman" w:hAnsi="Times New Roman" w:eastAsia="仿宋" w:cs="仿宋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0GhrUAAAABAEAAA8AAAAAAAAAAQAgAAAAIgAAAGRycy9kb3ducmV2LnhtbFBL&#10;AQIUABQAAAAIAIdO4kCvlpBC+gEAAPU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 w:cs="仿宋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GlcB1/QEAAPMDAAAOAAAAZHJzL2Uyb0RvYy54bWytU82O&#10;0zAQviPxDpbvNG3QdiFquoctywVBJeABpo6TWPIfHrdpX4IXQOIGJ47c921YHoOxU8qyXHogB2fs&#10;GX8z3+eZ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Pfjd&#10;p+8/Pn75efuZ1rtvX1mZRBo8VhR7bdfhuEO/Donxvg0m/YkL22dhDydh5T4yQYcXl/NyXl5wJsg3&#10;Ky+z7sWfuz5gfCmdYcmouVY20YYKdq8wUj4K/R2SjrVlQ82fP53TKwqgHsQPZBhPLNB2+SY6rZob&#10;pXWKx9BtrnVgO0hdkL/EiVD/CkspVoD9GJddY3/0EpoXtmHx4EkfS2PBUwFGNpxpSVOULAKEKoLS&#10;50RSam3TBZl79MgyiTzKmqyNaw70NlsfVNeTKrNcc/JQL+Tqj32bmu3+nuz7s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AGlcB1/QEAAPM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" w:cs="仿宋_GB2312"/>
          <w:bCs/>
          <w:sz w:val="30"/>
          <w:szCs w:val="30"/>
        </w:rPr>
        <w:t>本文书一式</w:t>
      </w:r>
      <w:r>
        <w:rPr>
          <w:rFonts w:hint="eastAsia" w:ascii="Times New Roman" w:hAnsi="Times New Roman" w:eastAsia="仿宋" w:cs="仿宋_GB2312"/>
          <w:bCs/>
          <w:sz w:val="30"/>
          <w:szCs w:val="30"/>
          <w:lang w:eastAsia="zh-CN"/>
        </w:rPr>
        <w:t>三</w:t>
      </w:r>
      <w:r>
        <w:rPr>
          <w:rFonts w:hint="eastAsia" w:ascii="Times New Roman" w:hAnsi="Times New Roman" w:eastAsia="仿宋" w:cs="仿宋_GB2312"/>
          <w:bCs/>
          <w:sz w:val="30"/>
          <w:szCs w:val="30"/>
        </w:rPr>
        <w:t>份，</w:t>
      </w:r>
      <w:r>
        <w:rPr>
          <w:rFonts w:hint="eastAsia" w:ascii="Times New Roman" w:hAnsi="Times New Roman" w:eastAsia="仿宋" w:cs="仿宋_GB2312"/>
          <w:bCs/>
          <w:sz w:val="30"/>
          <w:szCs w:val="30"/>
          <w:lang w:eastAsia="zh-CN"/>
        </w:rPr>
        <w:t>一</w:t>
      </w:r>
      <w:r>
        <w:rPr>
          <w:rFonts w:hint="eastAsia" w:ascii="Times New Roman" w:hAnsi="Times New Roman" w:eastAsia="仿宋" w:cs="仿宋_GB2312"/>
          <w:bCs/>
          <w:sz w:val="30"/>
          <w:szCs w:val="30"/>
        </w:rPr>
        <w:t>份送达，</w:t>
      </w:r>
      <w:r>
        <w:rPr>
          <w:rFonts w:hint="eastAsia" w:ascii="Times New Roman" w:hAnsi="Times New Roman" w:eastAsia="仿宋" w:cs="仿宋_GB2312"/>
          <w:bCs/>
          <w:sz w:val="30"/>
          <w:szCs w:val="30"/>
          <w:lang w:eastAsia="zh-CN"/>
        </w:rPr>
        <w:t>一</w:t>
      </w:r>
      <w:r>
        <w:rPr>
          <w:rFonts w:hint="eastAsia" w:ascii="Times New Roman" w:hAnsi="Times New Roman" w:eastAsia="仿宋" w:cs="仿宋_GB2312"/>
          <w:bCs/>
          <w:sz w:val="30"/>
          <w:szCs w:val="30"/>
        </w:rPr>
        <w:t>份归档</w:t>
      </w:r>
      <w:r>
        <w:rPr>
          <w:rFonts w:hint="eastAsia" w:ascii="Times New Roman" w:hAnsi="Times New Roman" w:eastAsia="仿宋" w:cs="仿宋_GB2312"/>
          <w:bCs/>
          <w:sz w:val="30"/>
          <w:szCs w:val="30"/>
          <w:lang w:eastAsia="zh-CN"/>
        </w:rPr>
        <w:t>，一份交信用监管股。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TcwY2I1Zjc3MjMyYjJiZGY2NDQxY2QwOTFjNDAifQ=="/>
  </w:docVars>
  <w:rsids>
    <w:rsidRoot w:val="717A711F"/>
    <w:rsid w:val="01D45D8F"/>
    <w:rsid w:val="02F96864"/>
    <w:rsid w:val="0616772D"/>
    <w:rsid w:val="093205BE"/>
    <w:rsid w:val="0A1B7A08"/>
    <w:rsid w:val="0B9C6927"/>
    <w:rsid w:val="0F3A448D"/>
    <w:rsid w:val="1145536B"/>
    <w:rsid w:val="138E747B"/>
    <w:rsid w:val="14E9404B"/>
    <w:rsid w:val="15F17251"/>
    <w:rsid w:val="179C6CCA"/>
    <w:rsid w:val="188D7D23"/>
    <w:rsid w:val="192A70CD"/>
    <w:rsid w:val="19566367"/>
    <w:rsid w:val="1B29088D"/>
    <w:rsid w:val="1BBB0703"/>
    <w:rsid w:val="21AD71E3"/>
    <w:rsid w:val="2354115E"/>
    <w:rsid w:val="23AB7467"/>
    <w:rsid w:val="2E0C4DEE"/>
    <w:rsid w:val="336B225A"/>
    <w:rsid w:val="3B1F30E8"/>
    <w:rsid w:val="3B8F5EF2"/>
    <w:rsid w:val="3DE14F55"/>
    <w:rsid w:val="41AF64D2"/>
    <w:rsid w:val="443912FD"/>
    <w:rsid w:val="4AB75633"/>
    <w:rsid w:val="4F7F90B7"/>
    <w:rsid w:val="51F31F14"/>
    <w:rsid w:val="53A9470E"/>
    <w:rsid w:val="54E16725"/>
    <w:rsid w:val="564B4929"/>
    <w:rsid w:val="57F678EB"/>
    <w:rsid w:val="591F1D47"/>
    <w:rsid w:val="5A2A0227"/>
    <w:rsid w:val="5AE14D89"/>
    <w:rsid w:val="5FE538BD"/>
    <w:rsid w:val="5FFB31D4"/>
    <w:rsid w:val="61290D5F"/>
    <w:rsid w:val="65794698"/>
    <w:rsid w:val="66AB0941"/>
    <w:rsid w:val="699D5FD4"/>
    <w:rsid w:val="6B5D0FD2"/>
    <w:rsid w:val="6BFDE672"/>
    <w:rsid w:val="6CB0280D"/>
    <w:rsid w:val="6CFF5543"/>
    <w:rsid w:val="717A711F"/>
    <w:rsid w:val="740E2F75"/>
    <w:rsid w:val="74827086"/>
    <w:rsid w:val="74FFE102"/>
    <w:rsid w:val="7CD932F2"/>
    <w:rsid w:val="7FFC9F63"/>
    <w:rsid w:val="82FED54D"/>
    <w:rsid w:val="9FDFCF25"/>
    <w:rsid w:val="ADE2A7FA"/>
    <w:rsid w:val="CDEFCF6C"/>
    <w:rsid w:val="DBAF8091"/>
    <w:rsid w:val="FBFDAEDB"/>
    <w:rsid w:val="FEFFC0BD"/>
    <w:rsid w:val="FFCB8363"/>
    <w:rsid w:val="FFFFF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Arial Unicode MS" w:hAnsi="Arial Unicode MS" w:eastAsia="Arial Unicode MS"/>
      <w:sz w:val="32"/>
      <w:szCs w:val="32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2761</Words>
  <Characters>2868</Characters>
  <Lines>0</Lines>
  <Paragraphs>0</Paragraphs>
  <TotalTime>175</TotalTime>
  <ScaleCrop>false</ScaleCrop>
  <LinksUpToDate>false</LinksUpToDate>
  <CharactersWithSpaces>2909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2023-12-27T17:15:00Z</dcterms:created>
  <dc:creator>小傻瓜</dc:creator>
  <cp:lastModifiedBy>肖磊</cp:lastModifiedBy>
  <cp:lastPrinted>2024-10-01T19:17:00Z</cp:lastPrinted>
  <dcterms:modified xsi:type="dcterms:W3CDTF">2025-12-09T03:17:46Z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0EE15925083B477E858CE4DAB2C54D24_13</vt:lpwstr>
  </property>
  <property fmtid="{D5CDD505-2E9C-101B-9397-08002B2CF9AE}" pid="4" name="KSOTemplateDocerSaveRecord">
    <vt:lpwstr>eyJoZGlkIjoiZGNmMTA1MGYyNDkyYTg1Yzk5ZjNlZjZiZGEyOWFjNDUiLCJ1c2VySWQiOiI2NzkwNzk2MDQifQ==</vt:lpwstr>
  </property>
</Properties>
</file>