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EF53F">
      <w:pPr>
        <w:spacing w:line="560" w:lineRule="exact"/>
        <w:rPr>
          <w:rFonts w:eastAsia="黑体"/>
          <w:bCs/>
          <w:kern w:val="0"/>
          <w:sz w:val="32"/>
          <w:szCs w:val="32"/>
        </w:rPr>
      </w:pPr>
      <w:r>
        <w:rPr>
          <w:rFonts w:hAnsi="黑体" w:eastAsia="黑体"/>
          <w:bCs/>
          <w:kern w:val="0"/>
          <w:sz w:val="32"/>
          <w:szCs w:val="32"/>
        </w:rPr>
        <w:t>附件</w:t>
      </w:r>
      <w:r>
        <w:rPr>
          <w:rFonts w:eastAsia="黑体"/>
          <w:bCs/>
          <w:kern w:val="0"/>
          <w:sz w:val="32"/>
          <w:szCs w:val="32"/>
        </w:rPr>
        <w:t>2</w:t>
      </w:r>
    </w:p>
    <w:p w14:paraId="4018A907">
      <w:pPr>
        <w:spacing w:line="600" w:lineRule="exact"/>
        <w:jc w:val="center"/>
        <w:rPr>
          <w:rFonts w:eastAsia="方正小标宋_GBK"/>
          <w:sz w:val="32"/>
          <w:szCs w:val="32"/>
        </w:rPr>
      </w:pPr>
      <w:r>
        <w:rPr>
          <w:rFonts w:eastAsia="方正小标宋_GBK"/>
          <w:sz w:val="36"/>
          <w:szCs w:val="36"/>
        </w:rPr>
        <w:t>部门整体支出绩效评价报告</w:t>
      </w:r>
    </w:p>
    <w:p w14:paraId="63C31079">
      <w:pPr>
        <w:widowControl/>
        <w:spacing w:line="360" w:lineRule="auto"/>
        <w:ind w:firstLine="640" w:firstLineChars="200"/>
        <w:rPr>
          <w:rFonts w:hint="eastAsia" w:ascii="Times New Roman" w:hAnsi="Times New Roman" w:eastAsia="黑体"/>
          <w:sz w:val="32"/>
          <w:szCs w:val="32"/>
          <w:lang w:val="en-US" w:eastAsia="zh-CN"/>
        </w:rPr>
      </w:pPr>
    </w:p>
    <w:p w14:paraId="24726C46">
      <w:pPr>
        <w:widowControl/>
        <w:spacing w:line="360" w:lineRule="auto"/>
        <w:ind w:firstLine="640" w:firstLineChars="200"/>
        <w:rPr>
          <w:rFonts w:hint="eastAsia" w:ascii="Times New Roman" w:hAnsi="Times New Roman" w:eastAsia="黑体"/>
          <w:sz w:val="32"/>
          <w:szCs w:val="32"/>
          <w:lang w:val="en-US" w:eastAsia="zh-CN"/>
        </w:rPr>
      </w:pPr>
    </w:p>
    <w:p w14:paraId="3A73FBDA">
      <w:pPr>
        <w:widowControl/>
        <w:spacing w:line="360" w:lineRule="auto"/>
        <w:ind w:firstLine="640" w:firstLineChars="200"/>
        <w:rPr>
          <w:rFonts w:ascii="Times New Roman" w:hAnsi="Times New Roman" w:eastAsia="黑体"/>
          <w:sz w:val="32"/>
          <w:szCs w:val="32"/>
        </w:rPr>
      </w:pPr>
      <w:r>
        <w:rPr>
          <w:rFonts w:hint="eastAsia" w:ascii="Times New Roman" w:hAnsi="Times New Roman" w:eastAsia="黑体"/>
          <w:sz w:val="32"/>
          <w:szCs w:val="32"/>
          <w:lang w:val="en-US" w:eastAsia="zh-CN"/>
        </w:rPr>
        <w:t>一、</w:t>
      </w:r>
      <w:r>
        <w:rPr>
          <w:rFonts w:ascii="Times New Roman" w:hAnsi="Times New Roman" w:eastAsia="黑体"/>
          <w:sz w:val="32"/>
          <w:szCs w:val="32"/>
        </w:rPr>
        <w:t>部门、单位基本情况</w:t>
      </w:r>
    </w:p>
    <w:p w14:paraId="2AFF8B6D">
      <w:pPr>
        <w:widowControl/>
        <w:spacing w:line="360" w:lineRule="auto"/>
        <w:ind w:firstLine="640" w:firstLineChars="200"/>
        <w:rPr>
          <w:rFonts w:hint="eastAsia" w:eastAsia="仿宋_GB2312"/>
          <w:sz w:val="32"/>
          <w:szCs w:val="32"/>
          <w:lang w:eastAsia="zh-CN"/>
        </w:rPr>
      </w:pPr>
      <w:r>
        <w:rPr>
          <w:rFonts w:hint="eastAsia" w:ascii="仿宋_GB2312" w:hAnsi="仿宋" w:eastAsia="仿宋_GB2312"/>
          <w:sz w:val="32"/>
          <w:szCs w:val="32"/>
          <w:lang w:val="en-US" w:eastAsia="zh-CN"/>
        </w:rPr>
        <w:t>1</w:t>
      </w:r>
      <w:r>
        <w:rPr>
          <w:rFonts w:hint="eastAsia" w:ascii="仿宋_GB2312" w:hAnsi="仿宋" w:eastAsia="仿宋_GB2312"/>
          <w:sz w:val="32"/>
          <w:szCs w:val="32"/>
        </w:rPr>
        <w:t>．主要职能</w:t>
      </w:r>
      <w:r>
        <w:rPr>
          <w:rFonts w:hint="eastAsia" w:eastAsia="仿宋_GB2312"/>
          <w:sz w:val="32"/>
          <w:szCs w:val="32"/>
          <w:lang w:eastAsia="zh-CN"/>
        </w:rPr>
        <w:t>。</w:t>
      </w:r>
    </w:p>
    <w:p w14:paraId="390433BB">
      <w:pPr>
        <w:snapToGrid w:val="0"/>
        <w:spacing w:line="520" w:lineRule="exact"/>
        <w:ind w:firstLine="620" w:firstLineChars="200"/>
        <w:rPr>
          <w:rFonts w:hint="default" w:ascii="仿宋_GB2312" w:hAnsi="微软雅黑" w:eastAsia="仿宋_GB2312" w:cs="仿宋_GB2312"/>
          <w:color w:val="333333"/>
          <w:sz w:val="31"/>
          <w:szCs w:val="31"/>
          <w:shd w:val="clear" w:fill="FFFFFF"/>
        </w:rPr>
      </w:pPr>
      <w:r>
        <w:rPr>
          <w:rFonts w:hint="default" w:ascii="仿宋_GB2312" w:hAnsi="微软雅黑" w:eastAsia="仿宋_GB2312" w:cs="仿宋_GB2312"/>
          <w:color w:val="333333"/>
          <w:sz w:val="31"/>
          <w:szCs w:val="31"/>
          <w:shd w:val="clear" w:fill="FFFFFF"/>
        </w:rPr>
        <w:t>根据县委办2016年2月5日下发的炎办〔2016〕9号文件规定，鹿原镇机关承担的主要职责如下：</w:t>
      </w:r>
    </w:p>
    <w:p w14:paraId="374A32CC">
      <w:pPr>
        <w:snapToGrid w:val="0"/>
        <w:spacing w:line="520" w:lineRule="exact"/>
        <w:ind w:firstLine="620" w:firstLineChars="200"/>
        <w:rPr>
          <w:rFonts w:hint="eastAsia" w:ascii="仿宋_GB2312" w:hAnsi="微软雅黑" w:eastAsia="仿宋_GB2312" w:cs="仿宋_GB2312"/>
          <w:color w:val="333333"/>
          <w:sz w:val="31"/>
          <w:szCs w:val="31"/>
          <w:shd w:val="clear" w:fill="FFFFFF"/>
        </w:rPr>
      </w:pPr>
      <w:r>
        <w:rPr>
          <w:rFonts w:hint="default" w:ascii="仿宋_GB2312" w:hAnsi="微软雅黑" w:eastAsia="仿宋_GB2312" w:cs="仿宋_GB2312"/>
          <w:color w:val="333333"/>
          <w:sz w:val="31"/>
          <w:szCs w:val="31"/>
          <w:shd w:val="clear" w:fill="FFFFFF"/>
        </w:rPr>
        <w:t>（1）贯彻落实党和国家在农村的各项方针政策和法律法规，对村民进行思想政治教育和社会主义法制教育，依法保障村民合法权益。</w:t>
      </w:r>
    </w:p>
    <w:p w14:paraId="6D0C1355">
      <w:pPr>
        <w:snapToGrid w:val="0"/>
        <w:spacing w:line="520" w:lineRule="exact"/>
        <w:ind w:firstLine="620" w:firstLineChars="200"/>
        <w:rPr>
          <w:rFonts w:hint="eastAsia" w:ascii="仿宋_GB2312" w:hAnsi="微软雅黑" w:eastAsia="仿宋_GB2312" w:cs="仿宋_GB2312"/>
          <w:color w:val="333333"/>
          <w:sz w:val="31"/>
          <w:szCs w:val="31"/>
          <w:shd w:val="clear" w:fill="FFFFFF"/>
        </w:rPr>
      </w:pPr>
      <w:r>
        <w:rPr>
          <w:rFonts w:hint="default" w:ascii="仿宋_GB2312" w:hAnsi="微软雅黑" w:eastAsia="仿宋_GB2312" w:cs="仿宋_GB2312"/>
          <w:color w:val="333333"/>
          <w:sz w:val="31"/>
          <w:szCs w:val="31"/>
          <w:shd w:val="clear" w:fill="FFFFFF"/>
        </w:rPr>
        <w:t>（2）组织拟定镇村产业发展规划，推动产业结构调整，示范引导农村合作经济组织，形成地域产业特色；积极提供政策和信息服务，促进农业新技术的推广应用，着重营造良好的发展环境和条件；加强农村市场的监管和安全生产的监督；加强农村土地规划和土地综合开发利用工作。</w:t>
      </w:r>
    </w:p>
    <w:p w14:paraId="54C68E5A">
      <w:pPr>
        <w:snapToGrid w:val="0"/>
        <w:spacing w:line="520" w:lineRule="exact"/>
        <w:ind w:firstLine="620" w:firstLineChars="200"/>
        <w:rPr>
          <w:rFonts w:hint="eastAsia" w:ascii="仿宋_GB2312" w:hAnsi="微软雅黑" w:eastAsia="仿宋_GB2312" w:cs="仿宋_GB2312"/>
          <w:color w:val="333333"/>
          <w:sz w:val="31"/>
          <w:szCs w:val="31"/>
          <w:shd w:val="clear" w:fill="FFFFFF"/>
        </w:rPr>
      </w:pPr>
      <w:r>
        <w:rPr>
          <w:rFonts w:hint="default" w:ascii="仿宋_GB2312" w:hAnsi="微软雅黑" w:eastAsia="仿宋_GB2312" w:cs="仿宋_GB2312"/>
          <w:color w:val="333333"/>
          <w:sz w:val="31"/>
          <w:szCs w:val="31"/>
          <w:shd w:val="clear" w:fill="FFFFFF"/>
        </w:rPr>
        <w:t>（3）抓好基层组织建设；加强农村基础设施建设和新型农村服务体系建设，落实强农惠农措施；加强公共卫生和食品药品安全体系、农村基础教育、科学技术、文化体育、社会主义精神文明建设；加强农村社会保障、民政优抚、计划生育和劳动力素质培训等工作。</w:t>
      </w:r>
    </w:p>
    <w:p w14:paraId="0D4ECC1A">
      <w:pPr>
        <w:snapToGrid w:val="0"/>
        <w:spacing w:line="520" w:lineRule="exact"/>
        <w:ind w:firstLine="620" w:firstLineChars="200"/>
        <w:rPr>
          <w:rFonts w:hint="eastAsia" w:ascii="仿宋_GB2312" w:hAnsi="微软雅黑" w:eastAsia="仿宋_GB2312" w:cs="仿宋_GB2312"/>
          <w:color w:val="333333"/>
          <w:sz w:val="31"/>
          <w:szCs w:val="31"/>
          <w:shd w:val="clear" w:fill="FFFFFF"/>
        </w:rPr>
      </w:pPr>
      <w:r>
        <w:rPr>
          <w:rFonts w:hint="default" w:ascii="仿宋_GB2312" w:hAnsi="微软雅黑" w:eastAsia="仿宋_GB2312" w:cs="仿宋_GB2312"/>
          <w:color w:val="333333"/>
          <w:sz w:val="31"/>
          <w:szCs w:val="31"/>
          <w:shd w:val="clear" w:fill="FFFFFF"/>
        </w:rPr>
        <w:t>（4）加强社会管理综合治理和环境保护，维护社会稳定，妥善处理社会性、群体性事件，调节和处理好各种利益矛盾和纠纷。</w:t>
      </w:r>
    </w:p>
    <w:p w14:paraId="3D83441E">
      <w:pPr>
        <w:snapToGrid w:val="0"/>
        <w:spacing w:line="520" w:lineRule="exact"/>
        <w:ind w:firstLine="620" w:firstLineChars="200"/>
        <w:rPr>
          <w:rFonts w:hint="eastAsia" w:ascii="仿宋_GB2312" w:hAnsi="微软雅黑" w:eastAsia="仿宋_GB2312" w:cs="仿宋_GB2312"/>
          <w:color w:val="333333"/>
          <w:sz w:val="31"/>
          <w:szCs w:val="31"/>
          <w:shd w:val="clear" w:fill="FFFFFF"/>
        </w:rPr>
      </w:pPr>
      <w:r>
        <w:rPr>
          <w:rFonts w:hint="default" w:ascii="仿宋_GB2312" w:hAnsi="微软雅黑" w:eastAsia="仿宋_GB2312" w:cs="仿宋_GB2312"/>
          <w:color w:val="333333"/>
          <w:sz w:val="31"/>
          <w:szCs w:val="31"/>
          <w:shd w:val="clear" w:fill="FFFFFF"/>
        </w:rPr>
        <w:t>（5）指导村民自治，推动农村社区建设，促进社会组织健康发展，增强社会自治功能。</w:t>
      </w:r>
    </w:p>
    <w:p w14:paraId="2B0ADF3B">
      <w:pPr>
        <w:snapToGrid w:val="0"/>
        <w:spacing w:line="520" w:lineRule="exact"/>
        <w:ind w:firstLine="620" w:firstLineChars="200"/>
        <w:rPr>
          <w:rFonts w:hint="eastAsia" w:ascii="仿宋_GB2312" w:hAnsi="微软雅黑" w:eastAsia="仿宋_GB2312" w:cs="仿宋_GB2312"/>
          <w:color w:val="333333"/>
          <w:sz w:val="31"/>
          <w:szCs w:val="31"/>
          <w:shd w:val="clear" w:fill="FFFFFF"/>
        </w:rPr>
      </w:pPr>
      <w:r>
        <w:rPr>
          <w:rFonts w:hint="default" w:ascii="仿宋_GB2312" w:hAnsi="微软雅黑" w:eastAsia="仿宋_GB2312" w:cs="仿宋_GB2312"/>
          <w:color w:val="333333"/>
          <w:sz w:val="31"/>
          <w:szCs w:val="31"/>
          <w:shd w:val="clear" w:fill="FFFFFF"/>
        </w:rPr>
        <w:t>（6）抓好征兵工作，组织民兵训练，开展国防教育等工作。</w:t>
      </w:r>
    </w:p>
    <w:p w14:paraId="0E4F2AE7">
      <w:pPr>
        <w:snapToGrid w:val="0"/>
        <w:spacing w:line="520" w:lineRule="exact"/>
        <w:ind w:firstLine="620" w:firstLineChars="200"/>
        <w:rPr>
          <w:rFonts w:hint="eastAsia" w:eastAsia="仿宋_GB2312"/>
          <w:sz w:val="32"/>
          <w:szCs w:val="32"/>
          <w:lang w:eastAsia="zh-CN"/>
        </w:rPr>
      </w:pPr>
      <w:r>
        <w:rPr>
          <w:rFonts w:hint="default" w:ascii="仿宋_GB2312" w:hAnsi="微软雅黑" w:eastAsia="仿宋_GB2312" w:cs="仿宋_GB2312"/>
          <w:color w:val="333333"/>
          <w:sz w:val="31"/>
          <w:szCs w:val="31"/>
          <w:shd w:val="clear" w:fill="FFFFFF"/>
        </w:rPr>
        <w:t>（7）完成县委、县政府交办的其他工作任务。</w:t>
      </w:r>
    </w:p>
    <w:p w14:paraId="5CAB20FE">
      <w:pPr>
        <w:widowControl/>
        <w:numPr>
          <w:ilvl w:val="0"/>
          <w:numId w:val="0"/>
        </w:numPr>
        <w:spacing w:line="360" w:lineRule="auto"/>
        <w:ind w:firstLine="640" w:firstLineChars="200"/>
        <w:jc w:val="left"/>
        <w:rPr>
          <w:rFonts w:hint="eastAsia" w:ascii="仿宋_GB2312" w:hAnsi="仿宋" w:eastAsia="仿宋_GB2312"/>
          <w:sz w:val="32"/>
          <w:szCs w:val="32"/>
          <w:lang w:eastAsia="zh-CN"/>
        </w:rPr>
      </w:pPr>
      <w:r>
        <w:rPr>
          <w:rFonts w:hint="eastAsia" w:ascii="仿宋_GB2312" w:hAnsi="仿宋" w:eastAsia="仿宋_GB2312"/>
          <w:sz w:val="32"/>
          <w:szCs w:val="32"/>
        </w:rPr>
        <w:t>2．机构情况</w:t>
      </w:r>
      <w:r>
        <w:rPr>
          <w:rFonts w:hint="eastAsia" w:ascii="仿宋_GB2312" w:hAnsi="仿宋" w:eastAsia="仿宋_GB2312"/>
          <w:sz w:val="32"/>
          <w:szCs w:val="32"/>
          <w:lang w:eastAsia="zh-CN"/>
        </w:rPr>
        <w:t>。</w:t>
      </w:r>
    </w:p>
    <w:p w14:paraId="1D920988">
      <w:pPr>
        <w:widowControl/>
        <w:spacing w:line="640" w:lineRule="exact"/>
        <w:ind w:firstLine="620" w:firstLineChars="200"/>
        <w:rPr>
          <w:rFonts w:hint="eastAsia" w:ascii="仿宋_GB2312" w:hAnsi="微软雅黑" w:eastAsia="仿宋_GB2312" w:cs="仿宋_GB2312"/>
          <w:color w:val="333333"/>
          <w:sz w:val="31"/>
          <w:szCs w:val="31"/>
          <w:highlight w:val="yellow"/>
          <w:shd w:val="clear" w:fill="FFFFFF"/>
          <w:lang w:eastAsia="zh-CN"/>
        </w:rPr>
      </w:pPr>
      <w:r>
        <w:rPr>
          <w:rFonts w:hint="default" w:ascii="仿宋_GB2312" w:hAnsi="微软雅黑" w:eastAsia="仿宋_GB2312" w:cs="仿宋_GB2312"/>
          <w:color w:val="auto"/>
          <w:sz w:val="31"/>
          <w:szCs w:val="31"/>
          <w:highlight w:val="none"/>
          <w:shd w:val="clear" w:fill="FFFFFF"/>
        </w:rPr>
        <w:t>我镇分设</w:t>
      </w:r>
      <w:r>
        <w:rPr>
          <w:rFonts w:hint="eastAsia" w:ascii="仿宋_GB2312" w:hAnsi="微软雅黑" w:eastAsia="仿宋_GB2312" w:cs="仿宋_GB2312"/>
          <w:color w:val="auto"/>
          <w:sz w:val="31"/>
          <w:szCs w:val="31"/>
          <w:highlight w:val="none"/>
          <w:shd w:val="clear" w:fill="FFFFFF"/>
          <w:lang w:val="en-US" w:eastAsia="zh-CN"/>
        </w:rPr>
        <w:t>11</w:t>
      </w:r>
      <w:r>
        <w:rPr>
          <w:rFonts w:hint="default" w:ascii="仿宋_GB2312" w:hAnsi="微软雅黑" w:eastAsia="仿宋_GB2312" w:cs="仿宋_GB2312"/>
          <w:color w:val="auto"/>
          <w:sz w:val="31"/>
          <w:szCs w:val="31"/>
          <w:highlight w:val="none"/>
          <w:shd w:val="clear" w:fill="FFFFFF"/>
        </w:rPr>
        <w:t>个部门机构，即</w:t>
      </w:r>
      <w:r>
        <w:rPr>
          <w:rFonts w:hint="eastAsia" w:ascii="仿宋" w:hAnsi="仿宋" w:eastAsia="仿宋" w:cs="Times New Roman"/>
          <w:bCs/>
          <w:color w:val="auto"/>
          <w:kern w:val="0"/>
          <w:sz w:val="32"/>
          <w:szCs w:val="32"/>
          <w:highlight w:val="none"/>
          <w:lang w:val="en-US" w:eastAsia="zh-CN"/>
        </w:rPr>
        <w:t>党</w:t>
      </w:r>
      <w:r>
        <w:rPr>
          <w:rFonts w:hint="eastAsia" w:ascii="仿宋" w:hAnsi="仿宋" w:eastAsia="仿宋" w:cs="Times New Roman"/>
          <w:bCs/>
          <w:kern w:val="0"/>
          <w:sz w:val="32"/>
          <w:szCs w:val="32"/>
          <w:highlight w:val="none"/>
          <w:lang w:val="en-US" w:eastAsia="zh-CN"/>
        </w:rPr>
        <w:t>政办公室、党建办公室、经济发展办公室、民生事务办公室、平安法治、应急管理办公室、财政办公室、农业综合服务中心、生态事务中心、退役军人服务站和综合行政执法大队。</w:t>
      </w:r>
    </w:p>
    <w:p w14:paraId="1EF95137">
      <w:pPr>
        <w:widowControl/>
        <w:numPr>
          <w:ilvl w:val="0"/>
          <w:numId w:val="0"/>
        </w:numPr>
        <w:spacing w:line="360" w:lineRule="auto"/>
        <w:ind w:firstLine="640" w:firstLineChars="200"/>
        <w:jc w:val="left"/>
        <w:rPr>
          <w:rFonts w:hint="eastAsia" w:ascii="仿宋_GB2312" w:hAnsi="仿宋" w:eastAsia="仿宋_GB2312"/>
          <w:sz w:val="32"/>
          <w:szCs w:val="32"/>
          <w:lang w:eastAsia="zh-CN"/>
        </w:rPr>
      </w:pPr>
      <w:r>
        <w:rPr>
          <w:rFonts w:hint="eastAsia" w:ascii="仿宋_GB2312" w:hAnsi="仿宋" w:eastAsia="仿宋_GB2312"/>
          <w:sz w:val="32"/>
          <w:szCs w:val="32"/>
          <w:lang w:val="en-US" w:eastAsia="zh-CN"/>
        </w:rPr>
        <w:t>3.人员</w:t>
      </w:r>
      <w:r>
        <w:rPr>
          <w:rFonts w:hint="eastAsia" w:ascii="仿宋_GB2312" w:hAnsi="仿宋" w:eastAsia="仿宋_GB2312"/>
          <w:sz w:val="32"/>
          <w:szCs w:val="32"/>
        </w:rPr>
        <w:t>情况</w:t>
      </w:r>
      <w:r>
        <w:rPr>
          <w:rFonts w:hint="eastAsia" w:ascii="仿宋_GB2312" w:hAnsi="仿宋" w:eastAsia="仿宋_GB2312"/>
          <w:sz w:val="32"/>
          <w:szCs w:val="32"/>
          <w:lang w:eastAsia="zh-CN"/>
        </w:rPr>
        <w:t>。</w:t>
      </w:r>
    </w:p>
    <w:p w14:paraId="2CFF1C5D">
      <w:pPr>
        <w:pStyle w:val="6"/>
        <w:keepNext w:val="0"/>
        <w:keepLines w:val="0"/>
        <w:pageBreakBefore w:val="0"/>
        <w:widowControl/>
        <w:kinsoku/>
        <w:wordWrap/>
        <w:overflowPunct/>
        <w:topLinePunct w:val="0"/>
        <w:autoSpaceDE/>
        <w:autoSpaceDN/>
        <w:bidi w:val="0"/>
        <w:adjustRightInd/>
        <w:snapToGrid/>
        <w:spacing w:line="520" w:lineRule="exact"/>
        <w:ind w:left="0" w:leftChars="0" w:firstLine="620" w:firstLineChars="200"/>
        <w:textAlignment w:val="auto"/>
        <w:rPr>
          <w:rFonts w:hint="default" w:ascii="仿宋_GB2312" w:hAnsi="微软雅黑" w:eastAsia="仿宋_GB2312" w:cs="仿宋_GB2312"/>
          <w:color w:val="333333"/>
          <w:sz w:val="31"/>
          <w:szCs w:val="31"/>
          <w:shd w:val="clear" w:fill="FFFFFF"/>
        </w:rPr>
      </w:pPr>
      <w:r>
        <w:rPr>
          <w:rFonts w:hint="default" w:ascii="仿宋_GB2312" w:hAnsi="微软雅黑" w:eastAsia="仿宋_GB2312" w:cs="仿宋_GB2312"/>
          <w:color w:val="333333"/>
          <w:sz w:val="31"/>
          <w:szCs w:val="31"/>
          <w:shd w:val="clear" w:fill="FFFFFF"/>
        </w:rPr>
        <w:t>鹿原镇总编制数</w:t>
      </w:r>
      <w:r>
        <w:rPr>
          <w:rFonts w:hint="eastAsia" w:ascii="仿宋_GB2312" w:hAnsi="微软雅黑" w:eastAsia="仿宋_GB2312" w:cs="仿宋_GB2312"/>
          <w:color w:val="333333"/>
          <w:sz w:val="31"/>
          <w:szCs w:val="31"/>
          <w:shd w:val="clear" w:fill="FFFFFF"/>
          <w:lang w:val="en-US" w:eastAsia="zh-CN"/>
        </w:rPr>
        <w:t>80</w:t>
      </w:r>
      <w:r>
        <w:rPr>
          <w:rFonts w:hint="default" w:ascii="仿宋_GB2312" w:hAnsi="微软雅黑" w:eastAsia="仿宋_GB2312" w:cs="仿宋_GB2312"/>
          <w:color w:val="333333"/>
          <w:sz w:val="31"/>
          <w:szCs w:val="31"/>
          <w:shd w:val="clear" w:fill="FFFFFF"/>
        </w:rPr>
        <w:t>人，其中：行政编制</w:t>
      </w:r>
      <w:r>
        <w:rPr>
          <w:rFonts w:hint="eastAsia" w:ascii="仿宋_GB2312" w:hAnsi="微软雅黑" w:eastAsia="仿宋_GB2312" w:cs="仿宋_GB2312"/>
          <w:color w:val="333333"/>
          <w:sz w:val="31"/>
          <w:szCs w:val="31"/>
          <w:shd w:val="clear" w:fill="FFFFFF"/>
          <w:lang w:val="en-US" w:eastAsia="zh-CN"/>
        </w:rPr>
        <w:t>33</w:t>
      </w:r>
      <w:r>
        <w:rPr>
          <w:rFonts w:hint="default" w:ascii="仿宋_GB2312" w:hAnsi="微软雅黑" w:eastAsia="仿宋_GB2312" w:cs="仿宋_GB2312"/>
          <w:color w:val="333333"/>
          <w:sz w:val="31"/>
          <w:szCs w:val="31"/>
          <w:shd w:val="clear" w:fill="FFFFFF"/>
        </w:rPr>
        <w:t>人、事业编制</w:t>
      </w:r>
      <w:r>
        <w:rPr>
          <w:rFonts w:hint="eastAsia" w:ascii="仿宋_GB2312" w:hAnsi="微软雅黑" w:eastAsia="仿宋_GB2312" w:cs="仿宋_GB2312"/>
          <w:color w:val="333333"/>
          <w:sz w:val="31"/>
          <w:szCs w:val="31"/>
          <w:shd w:val="clear" w:fill="FFFFFF"/>
          <w:lang w:val="en-US" w:eastAsia="zh-CN"/>
        </w:rPr>
        <w:t>33</w:t>
      </w:r>
      <w:r>
        <w:rPr>
          <w:rFonts w:hint="default" w:ascii="仿宋_GB2312" w:hAnsi="微软雅黑" w:eastAsia="仿宋_GB2312" w:cs="仿宋_GB2312"/>
          <w:color w:val="333333"/>
          <w:sz w:val="31"/>
          <w:szCs w:val="31"/>
          <w:shd w:val="clear" w:fill="FFFFFF"/>
        </w:rPr>
        <w:t>人。202</w:t>
      </w:r>
      <w:r>
        <w:rPr>
          <w:rFonts w:hint="eastAsia" w:ascii="仿宋_GB2312" w:hAnsi="微软雅黑" w:eastAsia="仿宋_GB2312" w:cs="仿宋_GB2312"/>
          <w:color w:val="333333"/>
          <w:sz w:val="31"/>
          <w:szCs w:val="31"/>
          <w:shd w:val="clear" w:fill="FFFFFF"/>
          <w:lang w:val="en-US" w:eastAsia="zh-CN"/>
        </w:rPr>
        <w:t>4</w:t>
      </w:r>
      <w:r>
        <w:rPr>
          <w:rFonts w:hint="default" w:ascii="仿宋_GB2312" w:hAnsi="微软雅黑" w:eastAsia="仿宋_GB2312" w:cs="仿宋_GB2312"/>
          <w:color w:val="333333"/>
          <w:sz w:val="31"/>
          <w:szCs w:val="31"/>
          <w:shd w:val="clear" w:fill="FFFFFF"/>
        </w:rPr>
        <w:t>年末全镇实有在职人数为66人 按部门科目：政府办公厅（室）及相关机构事务</w:t>
      </w:r>
      <w:r>
        <w:rPr>
          <w:rFonts w:hint="eastAsia" w:ascii="仿宋_GB2312" w:hAnsi="微软雅黑" w:eastAsia="仿宋_GB2312" w:cs="仿宋_GB2312"/>
          <w:color w:val="333333"/>
          <w:sz w:val="31"/>
          <w:szCs w:val="31"/>
          <w:shd w:val="clear" w:fill="FFFFFF"/>
          <w:lang w:val="en-US" w:eastAsia="zh-CN"/>
        </w:rPr>
        <w:t>33</w:t>
      </w:r>
      <w:r>
        <w:rPr>
          <w:rFonts w:hint="default" w:ascii="仿宋_GB2312" w:hAnsi="微软雅黑" w:eastAsia="仿宋_GB2312" w:cs="仿宋_GB2312"/>
          <w:color w:val="333333"/>
          <w:sz w:val="31"/>
          <w:szCs w:val="31"/>
          <w:shd w:val="clear" w:fill="FFFFFF"/>
        </w:rPr>
        <w:t>人、农业农村</w:t>
      </w:r>
      <w:r>
        <w:rPr>
          <w:rFonts w:hint="eastAsia" w:ascii="仿宋_GB2312" w:hAnsi="微软雅黑" w:eastAsia="仿宋_GB2312" w:cs="仿宋_GB2312"/>
          <w:color w:val="333333"/>
          <w:sz w:val="31"/>
          <w:szCs w:val="31"/>
          <w:shd w:val="clear" w:fill="FFFFFF"/>
          <w:lang w:val="en-US" w:eastAsia="zh-CN"/>
        </w:rPr>
        <w:t>33</w:t>
      </w:r>
      <w:r>
        <w:rPr>
          <w:rFonts w:hint="default" w:ascii="仿宋_GB2312" w:hAnsi="微软雅黑" w:eastAsia="仿宋_GB2312" w:cs="仿宋_GB2312"/>
          <w:color w:val="333333"/>
          <w:sz w:val="31"/>
          <w:szCs w:val="31"/>
          <w:shd w:val="clear" w:fill="FFFFFF"/>
        </w:rPr>
        <w:t>人。202</w:t>
      </w:r>
      <w:r>
        <w:rPr>
          <w:rFonts w:hint="eastAsia" w:ascii="仿宋_GB2312" w:hAnsi="微软雅黑" w:eastAsia="仿宋_GB2312" w:cs="仿宋_GB2312"/>
          <w:color w:val="333333"/>
          <w:sz w:val="31"/>
          <w:szCs w:val="31"/>
          <w:shd w:val="clear" w:fill="FFFFFF"/>
          <w:lang w:val="en-US" w:eastAsia="zh-CN"/>
        </w:rPr>
        <w:t>4</w:t>
      </w:r>
      <w:r>
        <w:rPr>
          <w:rFonts w:hint="default" w:ascii="仿宋_GB2312" w:hAnsi="微软雅黑" w:eastAsia="仿宋_GB2312" w:cs="仿宋_GB2312"/>
          <w:color w:val="333333"/>
          <w:sz w:val="31"/>
          <w:szCs w:val="31"/>
          <w:shd w:val="clear" w:fill="FFFFFF"/>
        </w:rPr>
        <w:t>年度共计退休</w:t>
      </w:r>
      <w:r>
        <w:rPr>
          <w:rFonts w:hint="eastAsia" w:ascii="仿宋_GB2312" w:hAnsi="微软雅黑" w:eastAsia="仿宋_GB2312" w:cs="仿宋_GB2312"/>
          <w:color w:val="333333"/>
          <w:sz w:val="31"/>
          <w:szCs w:val="31"/>
          <w:shd w:val="clear" w:fill="FFFFFF"/>
          <w:lang w:val="en-US" w:eastAsia="zh-CN"/>
        </w:rPr>
        <w:t>3</w:t>
      </w:r>
      <w:r>
        <w:rPr>
          <w:rFonts w:hint="default" w:ascii="仿宋_GB2312" w:hAnsi="微软雅黑" w:eastAsia="仿宋_GB2312" w:cs="仿宋_GB2312"/>
          <w:color w:val="333333"/>
          <w:sz w:val="31"/>
          <w:szCs w:val="31"/>
          <w:shd w:val="clear" w:fill="FFFFFF"/>
        </w:rPr>
        <w:t>人，新进</w:t>
      </w:r>
      <w:r>
        <w:rPr>
          <w:rFonts w:hint="eastAsia" w:ascii="仿宋_GB2312" w:hAnsi="微软雅黑" w:eastAsia="仿宋_GB2312" w:cs="仿宋_GB2312"/>
          <w:color w:val="333333"/>
          <w:sz w:val="31"/>
          <w:szCs w:val="31"/>
          <w:shd w:val="clear" w:fill="FFFFFF"/>
          <w:lang w:val="en-US" w:eastAsia="zh-CN"/>
        </w:rPr>
        <w:t>7</w:t>
      </w:r>
      <w:r>
        <w:rPr>
          <w:rFonts w:hint="default" w:ascii="仿宋_GB2312" w:hAnsi="微软雅黑" w:eastAsia="仿宋_GB2312" w:cs="仿宋_GB2312"/>
          <w:color w:val="333333"/>
          <w:sz w:val="31"/>
          <w:szCs w:val="31"/>
          <w:shd w:val="clear" w:fill="FFFFFF"/>
        </w:rPr>
        <w:t>人。</w:t>
      </w:r>
    </w:p>
    <w:p w14:paraId="1037560E">
      <w:pPr>
        <w:pStyle w:val="6"/>
        <w:keepNext w:val="0"/>
        <w:keepLines w:val="0"/>
        <w:pageBreakBefore w:val="0"/>
        <w:widowControl/>
        <w:kinsoku/>
        <w:wordWrap/>
        <w:overflowPunct/>
        <w:topLinePunct w:val="0"/>
        <w:autoSpaceDE/>
        <w:autoSpaceDN/>
        <w:bidi w:val="0"/>
        <w:adjustRightInd/>
        <w:snapToGrid/>
        <w:spacing w:line="520" w:lineRule="exact"/>
        <w:ind w:left="0" w:leftChars="0"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lang w:val="en-US" w:eastAsia="zh-CN"/>
        </w:rPr>
        <w:t>二、</w:t>
      </w:r>
      <w:r>
        <w:rPr>
          <w:rFonts w:ascii="Times New Roman" w:hAnsi="Times New Roman" w:eastAsia="黑体"/>
          <w:sz w:val="32"/>
          <w:szCs w:val="32"/>
        </w:rPr>
        <w:t>一般公共预算支出情况</w:t>
      </w:r>
    </w:p>
    <w:p w14:paraId="63ADE26A">
      <w:pPr>
        <w:pStyle w:val="6"/>
        <w:keepNext w:val="0"/>
        <w:keepLines w:val="0"/>
        <w:pageBreakBefore w:val="0"/>
        <w:widowControl/>
        <w:kinsoku/>
        <w:wordWrap/>
        <w:overflowPunct/>
        <w:topLinePunct w:val="0"/>
        <w:autoSpaceDE/>
        <w:autoSpaceDN/>
        <w:bidi w:val="0"/>
        <w:adjustRightInd/>
        <w:snapToGrid/>
        <w:spacing w:line="520" w:lineRule="exact"/>
        <w:ind w:left="640" w:firstLine="0" w:firstLineChars="0"/>
        <w:textAlignment w:val="auto"/>
        <w:rPr>
          <w:rFonts w:ascii="Times New Roman" w:hAnsi="Times New Roman" w:eastAsia="黑体"/>
          <w:sz w:val="32"/>
          <w:szCs w:val="32"/>
        </w:rPr>
      </w:pPr>
      <w:r>
        <w:rPr>
          <w:rFonts w:hint="eastAsia" w:ascii="Times New Roman" w:hAnsi="Times New Roman" w:eastAsia="黑体"/>
          <w:sz w:val="32"/>
          <w:szCs w:val="32"/>
        </w:rPr>
        <w:t>（一）</w:t>
      </w:r>
      <w:r>
        <w:rPr>
          <w:rFonts w:ascii="Times New Roman" w:hAnsi="Times New Roman" w:eastAsia="黑体"/>
          <w:sz w:val="32"/>
          <w:szCs w:val="32"/>
        </w:rPr>
        <w:t>基本支出情况</w:t>
      </w:r>
    </w:p>
    <w:p w14:paraId="677E0EE5">
      <w:pPr>
        <w:widowControl/>
        <w:numPr>
          <w:ilvl w:val="0"/>
          <w:numId w:val="0"/>
        </w:numPr>
        <w:ind w:firstLine="640" w:firstLineChars="200"/>
        <w:rPr>
          <w:rFonts w:hint="default" w:ascii="Times New Roman" w:hAnsi="Times New Roman" w:eastAsia="黑体"/>
          <w:sz w:val="32"/>
          <w:szCs w:val="32"/>
          <w:lang w:val="en-US"/>
        </w:rPr>
      </w:pPr>
      <w:r>
        <w:rPr>
          <w:rFonts w:hint="eastAsia" w:ascii="仿宋_GB2312" w:hAnsi="仿宋_GB2312" w:eastAsia="仿宋_GB2312" w:cs="仿宋_GB2312"/>
          <w:b w:val="0"/>
          <w:bCs w:val="0"/>
          <w:kern w:val="0"/>
          <w:sz w:val="32"/>
          <w:szCs w:val="32"/>
          <w:lang w:eastAsia="zh-CN"/>
        </w:rPr>
        <w:t>全年一般公共预算财政拨款总支出</w:t>
      </w:r>
      <w:r>
        <w:rPr>
          <w:rFonts w:hint="eastAsia" w:ascii="仿宋_GB2312" w:hAnsi="仿宋_GB2312" w:eastAsia="仿宋_GB2312" w:cs="仿宋_GB2312"/>
          <w:b w:val="0"/>
          <w:bCs w:val="0"/>
          <w:kern w:val="0"/>
          <w:sz w:val="32"/>
          <w:szCs w:val="32"/>
          <w:lang w:val="en-US" w:eastAsia="zh-CN"/>
        </w:rPr>
        <w:t>2458.58万元，其中一般公共服务支出821.61万元，公共安全支出4.25万元，科学技术支出416.74万元，文化旅游体育与传媒支出4.75万元，社会保障与就业支出201.7万元，卫生健康支出46.91万元，节能环保支出1.33万元，城乡社区支出415.09万元，农林水支出663.55万元，交通运输支出69.9万元，住房保障支出70.17万元。</w:t>
      </w:r>
    </w:p>
    <w:p w14:paraId="1077749D">
      <w:pPr>
        <w:pStyle w:val="6"/>
        <w:keepNext w:val="0"/>
        <w:keepLines w:val="0"/>
        <w:pageBreakBefore w:val="0"/>
        <w:widowControl/>
        <w:numPr>
          <w:ilvl w:val="0"/>
          <w:numId w:val="1"/>
        </w:numPr>
        <w:kinsoku/>
        <w:wordWrap/>
        <w:overflowPunct/>
        <w:topLinePunct w:val="0"/>
        <w:autoSpaceDE/>
        <w:autoSpaceDN/>
        <w:bidi w:val="0"/>
        <w:adjustRightInd/>
        <w:snapToGrid/>
        <w:spacing w:line="520" w:lineRule="exact"/>
        <w:ind w:left="640" w:firstLine="0" w:firstLineChars="0"/>
        <w:textAlignment w:val="auto"/>
        <w:rPr>
          <w:rFonts w:ascii="Times New Roman" w:hAnsi="Times New Roman" w:eastAsia="黑体"/>
          <w:sz w:val="32"/>
          <w:szCs w:val="32"/>
        </w:rPr>
      </w:pPr>
      <w:r>
        <w:rPr>
          <w:rFonts w:ascii="Times New Roman" w:hAnsi="Times New Roman" w:eastAsia="黑体"/>
          <w:sz w:val="32"/>
          <w:szCs w:val="32"/>
        </w:rPr>
        <w:t>项目支出情况</w:t>
      </w:r>
    </w:p>
    <w:p w14:paraId="2F3583F7">
      <w:pPr>
        <w:pStyle w:val="6"/>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无。</w:t>
      </w:r>
    </w:p>
    <w:p w14:paraId="62DA2B93">
      <w:pPr>
        <w:numPr>
          <w:ilvl w:val="0"/>
          <w:numId w:val="2"/>
        </w:numPr>
        <w:snapToGrid w:val="0"/>
        <w:spacing w:line="360" w:lineRule="auto"/>
        <w:ind w:firstLine="640" w:firstLineChars="200"/>
        <w:rPr>
          <w:rFonts w:ascii="Times New Roman" w:hAnsi="Times New Roman" w:eastAsia="黑体"/>
          <w:sz w:val="32"/>
          <w:szCs w:val="32"/>
        </w:rPr>
      </w:pPr>
      <w:r>
        <w:rPr>
          <w:rFonts w:ascii="Times New Roman" w:hAnsi="Times New Roman" w:eastAsia="黑体"/>
          <w:sz w:val="32"/>
          <w:szCs w:val="32"/>
        </w:rPr>
        <w:t>政府性基金预算支出情况</w:t>
      </w:r>
    </w:p>
    <w:p w14:paraId="0AC778BD">
      <w:pPr>
        <w:numPr>
          <w:ilvl w:val="0"/>
          <w:numId w:val="0"/>
        </w:numPr>
        <w:snapToGrid w:val="0"/>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政府性基金预算财政拨款</w:t>
      </w:r>
      <w:r>
        <w:rPr>
          <w:rFonts w:hint="eastAsia" w:ascii="仿宋" w:hAnsi="仿宋" w:eastAsia="仿宋" w:cs="仿宋"/>
          <w:sz w:val="32"/>
          <w:szCs w:val="32"/>
          <w:lang w:eastAsia="zh-CN"/>
        </w:rPr>
        <w:t>收支</w:t>
      </w:r>
      <w:r>
        <w:rPr>
          <w:rFonts w:hint="eastAsia" w:ascii="仿宋" w:hAnsi="仿宋" w:eastAsia="仿宋" w:cs="仿宋"/>
          <w:sz w:val="32"/>
          <w:szCs w:val="32"/>
          <w:lang w:val="en-US" w:eastAsia="zh-CN"/>
        </w:rPr>
        <w:t>472.47</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主要是用于基础设施建设和经济发展项经费及社会公共服务经费的支出。</w:t>
      </w:r>
    </w:p>
    <w:p w14:paraId="65CF8454">
      <w:pPr>
        <w:pStyle w:val="6"/>
        <w:keepNext w:val="0"/>
        <w:keepLines w:val="0"/>
        <w:pageBreakBefore w:val="0"/>
        <w:widowControl/>
        <w:numPr>
          <w:ilvl w:val="0"/>
          <w:numId w:val="2"/>
        </w:numPr>
        <w:kinsoku/>
        <w:wordWrap/>
        <w:overflowPunct/>
        <w:topLinePunct w:val="0"/>
        <w:autoSpaceDE/>
        <w:autoSpaceDN/>
        <w:bidi w:val="0"/>
        <w:adjustRightInd/>
        <w:snapToGrid/>
        <w:spacing w:line="520" w:lineRule="exact"/>
        <w:ind w:left="0" w:leftChars="0" w:firstLine="640" w:firstLineChars="200"/>
        <w:jc w:val="left"/>
        <w:textAlignment w:val="auto"/>
        <w:rPr>
          <w:rFonts w:ascii="Times New Roman" w:hAnsi="Times New Roman" w:eastAsia="黑体"/>
          <w:sz w:val="32"/>
          <w:szCs w:val="32"/>
        </w:rPr>
      </w:pPr>
      <w:r>
        <w:rPr>
          <w:rFonts w:ascii="Times New Roman" w:hAnsi="Times New Roman" w:eastAsia="黑体"/>
          <w:sz w:val="32"/>
          <w:szCs w:val="32"/>
        </w:rPr>
        <w:t>社会保险基金预算支出情况</w:t>
      </w:r>
    </w:p>
    <w:p w14:paraId="73688ED2">
      <w:pPr>
        <w:pStyle w:val="6"/>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无</w:t>
      </w:r>
      <w:r>
        <w:rPr>
          <w:rFonts w:hint="eastAsia" w:ascii="宋体" w:hAnsi="宋体" w:cs="宋体"/>
          <w:sz w:val="32"/>
          <w:szCs w:val="32"/>
          <w:lang w:val="en-US" w:eastAsia="zh-CN"/>
        </w:rPr>
        <w:t>。</w:t>
      </w:r>
    </w:p>
    <w:p w14:paraId="7B54489B">
      <w:pPr>
        <w:keepNext w:val="0"/>
        <w:keepLines w:val="0"/>
        <w:pageBreakBefore w:val="0"/>
        <w:widowControl/>
        <w:kinsoku/>
        <w:wordWrap/>
        <w:overflowPunct/>
        <w:topLinePunct w:val="0"/>
        <w:autoSpaceDE/>
        <w:autoSpaceDN/>
        <w:bidi w:val="0"/>
        <w:adjustRightInd/>
        <w:snapToGrid/>
        <w:spacing w:line="520" w:lineRule="exact"/>
        <w:ind w:firstLine="645"/>
        <w:jc w:val="left"/>
        <w:textAlignment w:val="auto"/>
        <w:rPr>
          <w:rFonts w:eastAsia="黑体"/>
          <w:sz w:val="32"/>
          <w:szCs w:val="32"/>
        </w:rPr>
      </w:pPr>
      <w:r>
        <w:rPr>
          <w:rFonts w:hint="eastAsia" w:eastAsia="黑体"/>
          <w:sz w:val="32"/>
          <w:szCs w:val="32"/>
          <w:lang w:val="en-US" w:eastAsia="zh-CN"/>
        </w:rPr>
        <w:t>五</w:t>
      </w:r>
      <w:r>
        <w:rPr>
          <w:rFonts w:eastAsia="黑体"/>
          <w:sz w:val="32"/>
          <w:szCs w:val="32"/>
        </w:rPr>
        <w:t>、部门整体支出绩效情况</w:t>
      </w:r>
    </w:p>
    <w:p w14:paraId="65C317DD">
      <w:pPr>
        <w:keepNext w:val="0"/>
        <w:keepLines w:val="0"/>
        <w:pageBreakBefore w:val="0"/>
        <w:widowControl/>
        <w:kinsoku/>
        <w:wordWrap/>
        <w:overflowPunct/>
        <w:topLinePunct w:val="0"/>
        <w:autoSpaceDE/>
        <w:autoSpaceDN/>
        <w:bidi w:val="0"/>
        <w:adjustRightInd/>
        <w:snapToGrid/>
        <w:spacing w:line="520" w:lineRule="exact"/>
        <w:ind w:firstLine="645"/>
        <w:jc w:val="left"/>
        <w:textAlignment w:val="auto"/>
        <w:rPr>
          <w:rFonts w:hint="default" w:eastAsia="仿宋_GB2312"/>
          <w:color w:val="000000"/>
          <w:sz w:val="32"/>
          <w:szCs w:val="32"/>
          <w:lang w:val="en-US" w:eastAsia="zh-CN"/>
        </w:rPr>
      </w:pPr>
      <w:r>
        <w:rPr>
          <w:rFonts w:hint="eastAsia" w:eastAsia="仿宋_GB2312"/>
          <w:color w:val="000000"/>
          <w:sz w:val="32"/>
          <w:szCs w:val="32"/>
          <w:lang w:val="en-US" w:eastAsia="zh-CN"/>
        </w:rPr>
        <w:t>一般公共预算、政府性基金预算完成年度绩效目标任务，保障了政府各部门资金正常使用，保障了政府各部门的正常运转，实现了一般公共预算、政府性基金预算资金的使用效益。发挥</w:t>
      </w:r>
      <w:r>
        <w:rPr>
          <w:rFonts w:eastAsia="仿宋_GB2312"/>
          <w:color w:val="000000"/>
          <w:sz w:val="32"/>
          <w:szCs w:val="32"/>
        </w:rPr>
        <w:t>部门职责</w:t>
      </w:r>
      <w:r>
        <w:rPr>
          <w:rFonts w:hint="eastAsia" w:eastAsia="仿宋_GB2312"/>
          <w:color w:val="000000"/>
          <w:sz w:val="32"/>
          <w:szCs w:val="32"/>
          <w:lang w:eastAsia="zh-CN"/>
        </w:rPr>
        <w:t>，</w:t>
      </w:r>
      <w:r>
        <w:rPr>
          <w:rFonts w:hint="eastAsia" w:eastAsia="仿宋_GB2312"/>
          <w:color w:val="000000"/>
          <w:sz w:val="32"/>
          <w:szCs w:val="32"/>
          <w:lang w:val="en-US" w:eastAsia="zh-CN"/>
        </w:rPr>
        <w:t>严格执行</w:t>
      </w:r>
      <w:r>
        <w:rPr>
          <w:rFonts w:eastAsia="仿宋_GB2312"/>
          <w:color w:val="000000"/>
          <w:sz w:val="32"/>
          <w:szCs w:val="32"/>
        </w:rPr>
        <w:t>预算资金管理</w:t>
      </w:r>
      <w:r>
        <w:rPr>
          <w:rFonts w:hint="eastAsia" w:eastAsia="仿宋_GB2312"/>
          <w:color w:val="000000"/>
          <w:sz w:val="32"/>
          <w:szCs w:val="32"/>
          <w:lang w:eastAsia="zh-CN"/>
        </w:rPr>
        <w:t>，</w:t>
      </w:r>
      <w:r>
        <w:rPr>
          <w:rFonts w:hint="eastAsia" w:eastAsia="仿宋_GB2312"/>
          <w:color w:val="000000"/>
          <w:sz w:val="32"/>
          <w:szCs w:val="32"/>
          <w:lang w:val="en-US" w:eastAsia="zh-CN"/>
        </w:rPr>
        <w:t>一般公共预算、政府性基金预算资金年度在</w:t>
      </w:r>
      <w:r>
        <w:rPr>
          <w:rFonts w:eastAsia="仿宋_GB2312"/>
          <w:color w:val="000000"/>
          <w:sz w:val="32"/>
          <w:szCs w:val="32"/>
        </w:rPr>
        <w:t>履职效能、社会效应等方面，</w:t>
      </w:r>
      <w:r>
        <w:rPr>
          <w:rFonts w:hint="eastAsia" w:eastAsia="仿宋_GB2312"/>
          <w:color w:val="000000"/>
          <w:sz w:val="32"/>
          <w:szCs w:val="32"/>
          <w:lang w:val="en-US" w:eastAsia="zh-CN"/>
        </w:rPr>
        <w:t>发挥了资金使用的最大效益，为我镇可持续发展、</w:t>
      </w:r>
      <w:r>
        <w:rPr>
          <w:rFonts w:hint="eastAsia" w:eastAsia="仿宋_GB2312"/>
          <w:sz w:val="32"/>
          <w:szCs w:val="32"/>
          <w:lang w:eastAsia="zh-CN"/>
        </w:rPr>
        <w:t>发展经济、公共服务</w:t>
      </w:r>
      <w:r>
        <w:rPr>
          <w:rFonts w:hint="eastAsia" w:eastAsia="仿宋_GB2312"/>
          <w:sz w:val="32"/>
          <w:szCs w:val="32"/>
          <w:lang w:val="en-US" w:eastAsia="zh-CN"/>
        </w:rPr>
        <w:t>发挥巨大作用。</w:t>
      </w:r>
    </w:p>
    <w:p w14:paraId="728570AA">
      <w:pPr>
        <w:numPr>
          <w:ilvl w:val="0"/>
          <w:numId w:val="2"/>
        </w:numPr>
        <w:spacing w:line="560" w:lineRule="exact"/>
        <w:ind w:left="0" w:leftChars="0" w:firstLine="640" w:firstLineChars="200"/>
        <w:jc w:val="left"/>
        <w:rPr>
          <w:rFonts w:ascii="Times New Roman" w:hAnsi="Times New Roman" w:eastAsia="黑体"/>
          <w:sz w:val="32"/>
          <w:szCs w:val="32"/>
        </w:rPr>
      </w:pPr>
      <w:r>
        <w:rPr>
          <w:rFonts w:ascii="Times New Roman" w:hAnsi="Times New Roman" w:eastAsia="黑体"/>
          <w:sz w:val="32"/>
          <w:szCs w:val="32"/>
        </w:rPr>
        <w:t>存在的问题及原因分析</w:t>
      </w:r>
    </w:p>
    <w:p w14:paraId="7AE9E89D">
      <w:pPr>
        <w:keepNext w:val="0"/>
        <w:keepLines w:val="0"/>
        <w:pageBreakBefore w:val="0"/>
        <w:widowControl/>
        <w:kinsoku/>
        <w:wordWrap/>
        <w:overflowPunct/>
        <w:topLinePunct w:val="0"/>
        <w:autoSpaceDE/>
        <w:autoSpaceDN/>
        <w:bidi w:val="0"/>
        <w:adjustRightInd/>
        <w:snapToGrid/>
        <w:spacing w:line="520" w:lineRule="exact"/>
        <w:ind w:firstLine="645"/>
        <w:jc w:val="left"/>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1、支出口子大，无财力支撑，每年财政赤字大。</w:t>
      </w:r>
    </w:p>
    <w:p w14:paraId="71DD7D2C">
      <w:pPr>
        <w:keepNext w:val="0"/>
        <w:keepLines w:val="0"/>
        <w:pageBreakBefore w:val="0"/>
        <w:widowControl/>
        <w:kinsoku/>
        <w:wordWrap/>
        <w:overflowPunct/>
        <w:topLinePunct w:val="0"/>
        <w:autoSpaceDE/>
        <w:autoSpaceDN/>
        <w:bidi w:val="0"/>
        <w:adjustRightInd/>
        <w:snapToGrid/>
        <w:spacing w:line="520" w:lineRule="exact"/>
        <w:ind w:firstLine="645"/>
        <w:jc w:val="left"/>
        <w:textAlignment w:val="auto"/>
        <w:rPr>
          <w:rFonts w:hint="eastAsia" w:ascii="仿宋" w:hAnsi="仿宋" w:eastAsia="仿宋" w:cs="仿宋"/>
          <w:b w:val="0"/>
          <w:bCs w:val="0"/>
          <w:sz w:val="28"/>
          <w:szCs w:val="28"/>
        </w:rPr>
      </w:pPr>
      <w:r>
        <w:rPr>
          <w:rFonts w:hint="eastAsia" w:eastAsia="仿宋_GB2312"/>
          <w:color w:val="000000"/>
          <w:sz w:val="32"/>
          <w:szCs w:val="32"/>
          <w:lang w:val="en-US" w:eastAsia="zh-CN"/>
        </w:rPr>
        <w:t>2、财政收入目标任务压力大，无税源支撑，目标任务难以完成。</w:t>
      </w:r>
    </w:p>
    <w:p w14:paraId="6201C3A9">
      <w:pPr>
        <w:keepNext w:val="0"/>
        <w:keepLines w:val="0"/>
        <w:pageBreakBefore w:val="0"/>
        <w:widowControl/>
        <w:numPr>
          <w:ilvl w:val="0"/>
          <w:numId w:val="3"/>
        </w:numPr>
        <w:kinsoku/>
        <w:wordWrap/>
        <w:overflowPunct/>
        <w:topLinePunct w:val="0"/>
        <w:autoSpaceDE/>
        <w:autoSpaceDN/>
        <w:bidi w:val="0"/>
        <w:adjustRightInd/>
        <w:snapToGrid/>
        <w:spacing w:line="520" w:lineRule="exact"/>
        <w:ind w:firstLine="640" w:firstLineChars="200"/>
        <w:jc w:val="left"/>
        <w:textAlignment w:val="auto"/>
        <w:rPr>
          <w:rFonts w:eastAsia="黑体"/>
          <w:sz w:val="32"/>
          <w:szCs w:val="32"/>
        </w:rPr>
      </w:pPr>
      <w:r>
        <w:rPr>
          <w:rFonts w:eastAsia="黑体"/>
          <w:sz w:val="32"/>
          <w:szCs w:val="32"/>
        </w:rPr>
        <w:t>下一步改进措施</w:t>
      </w:r>
    </w:p>
    <w:p w14:paraId="3BAD6D5C">
      <w:pPr>
        <w:keepNext w:val="0"/>
        <w:keepLines w:val="0"/>
        <w:pageBreakBefore w:val="0"/>
        <w:widowControl/>
        <w:kinsoku/>
        <w:wordWrap/>
        <w:overflowPunct/>
        <w:topLinePunct w:val="0"/>
        <w:autoSpaceDE/>
        <w:autoSpaceDN/>
        <w:bidi w:val="0"/>
        <w:adjustRightInd/>
        <w:snapToGrid/>
        <w:spacing w:line="520" w:lineRule="exact"/>
        <w:ind w:firstLine="645"/>
        <w:jc w:val="left"/>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进一步加大预算执行力度，高效率使用每一笔资金，把每一笔资金都用在刀刃上。</w:t>
      </w:r>
    </w:p>
    <w:p w14:paraId="745AAED2">
      <w:pPr>
        <w:keepNext w:val="0"/>
        <w:keepLines w:val="0"/>
        <w:pageBreakBefore w:val="0"/>
        <w:widowControl/>
        <w:kinsoku/>
        <w:wordWrap/>
        <w:overflowPunct/>
        <w:topLinePunct w:val="0"/>
        <w:autoSpaceDE/>
        <w:autoSpaceDN/>
        <w:bidi w:val="0"/>
        <w:adjustRightInd/>
        <w:snapToGrid/>
        <w:spacing w:line="520" w:lineRule="exact"/>
        <w:ind w:firstLine="645"/>
        <w:jc w:val="left"/>
        <w:textAlignment w:val="auto"/>
        <w:rPr>
          <w:rFonts w:hint="default" w:eastAsia="仿宋_GB2312"/>
          <w:color w:val="000000"/>
          <w:sz w:val="32"/>
          <w:szCs w:val="32"/>
          <w:lang w:val="en-US" w:eastAsia="zh-CN"/>
        </w:rPr>
      </w:pPr>
      <w:r>
        <w:rPr>
          <w:rFonts w:hint="eastAsia" w:eastAsia="仿宋_GB2312"/>
          <w:color w:val="000000"/>
          <w:sz w:val="32"/>
          <w:szCs w:val="32"/>
          <w:lang w:val="en-US" w:eastAsia="zh-CN"/>
        </w:rPr>
        <w:t>进一步加强资金管理力度，严格把关资金使用情况，减少不必要的开支。</w:t>
      </w:r>
    </w:p>
    <w:p w14:paraId="2416D1A6">
      <w:pPr>
        <w:keepNext w:val="0"/>
        <w:keepLines w:val="0"/>
        <w:pageBreakBefore w:val="0"/>
        <w:widowControl/>
        <w:kinsoku/>
        <w:wordWrap/>
        <w:overflowPunct/>
        <w:topLinePunct w:val="0"/>
        <w:autoSpaceDE/>
        <w:autoSpaceDN/>
        <w:bidi w:val="0"/>
        <w:adjustRightInd/>
        <w:snapToGrid/>
        <w:spacing w:line="520" w:lineRule="exact"/>
        <w:ind w:firstLine="645"/>
        <w:jc w:val="left"/>
        <w:textAlignment w:val="auto"/>
        <w:rPr>
          <w:rFonts w:hint="eastAsia" w:eastAsia="黑体"/>
          <w:sz w:val="32"/>
          <w:szCs w:val="32"/>
        </w:rPr>
      </w:pPr>
      <w:r>
        <w:rPr>
          <w:rFonts w:hint="eastAsia" w:eastAsia="黑体"/>
          <w:sz w:val="32"/>
          <w:szCs w:val="32"/>
          <w:lang w:val="en-US" w:eastAsia="zh-CN"/>
        </w:rPr>
        <w:t>八</w:t>
      </w:r>
      <w:r>
        <w:rPr>
          <w:rFonts w:eastAsia="黑体"/>
          <w:sz w:val="32"/>
          <w:szCs w:val="32"/>
        </w:rPr>
        <w:t>、其他需要说明的情况</w:t>
      </w:r>
    </w:p>
    <w:p w14:paraId="0C8112B8">
      <w:pPr>
        <w:pStyle w:val="6"/>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无</w:t>
      </w:r>
      <w:r>
        <w:rPr>
          <w:rFonts w:hint="eastAsia" w:ascii="宋体" w:hAnsi="宋体" w:cs="宋体"/>
          <w:sz w:val="32"/>
          <w:szCs w:val="32"/>
          <w:lang w:val="en-US" w:eastAsia="zh-CN"/>
        </w:rPr>
        <w:t>。</w:t>
      </w:r>
    </w:p>
    <w:p w14:paraId="7BAC1F6F"/>
    <w:p w14:paraId="37F183BA"/>
    <w:p w14:paraId="653F205F">
      <w:pPr>
        <w:spacing w:line="560" w:lineRule="exact"/>
        <w:rPr>
          <w:rFonts w:hint="eastAsia" w:eastAsia="黑体"/>
          <w:bCs/>
          <w:kern w:val="0"/>
          <w:sz w:val="32"/>
          <w:szCs w:val="32"/>
        </w:rPr>
      </w:pPr>
      <w:r>
        <w:rPr>
          <w:rFonts w:hAnsi="黑体" w:eastAsia="黑体"/>
          <w:bCs/>
          <w:kern w:val="0"/>
          <w:sz w:val="32"/>
          <w:szCs w:val="32"/>
        </w:rPr>
        <w:t>附件</w:t>
      </w:r>
      <w:r>
        <w:rPr>
          <w:rFonts w:hint="eastAsia" w:eastAsia="黑体"/>
          <w:bCs/>
          <w:kern w:val="0"/>
          <w:sz w:val="32"/>
          <w:szCs w:val="32"/>
        </w:rPr>
        <w:t>3</w:t>
      </w:r>
    </w:p>
    <w:p w14:paraId="402B0224">
      <w:pPr>
        <w:spacing w:line="560" w:lineRule="exact"/>
        <w:jc w:val="center"/>
        <w:rPr>
          <w:rFonts w:eastAsia="楷体_GB2312"/>
          <w:bCs/>
          <w:kern w:val="0"/>
          <w:sz w:val="32"/>
          <w:szCs w:val="32"/>
        </w:rPr>
      </w:pPr>
      <w:r>
        <w:rPr>
          <w:rFonts w:eastAsia="方正小标宋简体"/>
          <w:bCs/>
          <w:kern w:val="0"/>
          <w:sz w:val="36"/>
          <w:szCs w:val="36"/>
        </w:rPr>
        <w:t>部门整体支出绩效综合评价报告表</w:t>
      </w:r>
      <w:r>
        <w:rPr>
          <w:rFonts w:eastAsia="方正小标宋简体"/>
          <w:bCs/>
          <w:kern w:val="0"/>
          <w:sz w:val="44"/>
          <w:szCs w:val="44"/>
        </w:rPr>
        <w:br w:type="textWrapping"/>
      </w:r>
      <w:r>
        <w:rPr>
          <w:rFonts w:eastAsia="楷体_GB2312"/>
          <w:bCs/>
          <w:kern w:val="0"/>
          <w:sz w:val="32"/>
          <w:szCs w:val="32"/>
        </w:rPr>
        <w:t>（20</w:t>
      </w:r>
      <w:r>
        <w:rPr>
          <w:rFonts w:hint="eastAsia" w:eastAsia="楷体_GB2312"/>
          <w:bCs/>
          <w:kern w:val="0"/>
          <w:sz w:val="32"/>
          <w:szCs w:val="32"/>
          <w:lang w:val="en-US" w:eastAsia="zh-CN"/>
        </w:rPr>
        <w:t>23</w:t>
      </w:r>
      <w:r>
        <w:rPr>
          <w:rFonts w:eastAsia="楷体_GB2312"/>
          <w:bCs/>
          <w:kern w:val="0"/>
          <w:sz w:val="32"/>
          <w:szCs w:val="32"/>
        </w:rPr>
        <w:t>年度）</w:t>
      </w:r>
    </w:p>
    <w:p w14:paraId="0B3376DB">
      <w:pPr>
        <w:widowControl/>
        <w:tabs>
          <w:tab w:val="left" w:pos="2593"/>
        </w:tabs>
        <w:spacing w:line="560" w:lineRule="exact"/>
        <w:jc w:val="left"/>
        <w:rPr>
          <w:rFonts w:eastAsia="黑体"/>
          <w:kern w:val="0"/>
          <w:szCs w:val="21"/>
        </w:rPr>
      </w:pPr>
      <w:r>
        <w:rPr>
          <w:kern w:val="0"/>
          <w:szCs w:val="21"/>
        </w:rPr>
        <w:t>填报单位（盖章）</w:t>
      </w:r>
      <w:r>
        <w:rPr>
          <w:rFonts w:eastAsia="黑体"/>
          <w:kern w:val="0"/>
          <w:szCs w:val="21"/>
        </w:rPr>
        <w:t>：</w:t>
      </w:r>
      <w:r>
        <w:rPr>
          <w:rFonts w:eastAsia="黑体"/>
          <w:kern w:val="0"/>
          <w:szCs w:val="21"/>
        </w:rPr>
        <w:tab/>
      </w:r>
    </w:p>
    <w:tbl>
      <w:tblPr>
        <w:tblStyle w:val="3"/>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0"/>
        <w:gridCol w:w="1200"/>
        <w:gridCol w:w="585"/>
        <w:gridCol w:w="595"/>
        <w:gridCol w:w="1560"/>
        <w:gridCol w:w="3200"/>
      </w:tblGrid>
      <w:tr w14:paraId="7EB62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880" w:type="dxa"/>
            <w:gridSpan w:val="4"/>
            <w:tcBorders>
              <w:top w:val="single" w:color="auto" w:sz="4" w:space="0"/>
              <w:left w:val="single" w:color="auto" w:sz="4" w:space="0"/>
              <w:bottom w:val="single" w:color="auto" w:sz="4" w:space="0"/>
              <w:right w:val="single" w:color="auto" w:sz="4" w:space="0"/>
            </w:tcBorders>
            <w:noWrap w:val="0"/>
            <w:vAlign w:val="bottom"/>
          </w:tcPr>
          <w:p w14:paraId="006FA74C">
            <w:pPr>
              <w:widowControl/>
              <w:spacing w:line="560" w:lineRule="exact"/>
              <w:rPr>
                <w:kern w:val="0"/>
                <w:szCs w:val="21"/>
              </w:rPr>
            </w:pPr>
            <w:r>
              <w:rPr>
                <w:kern w:val="0"/>
                <w:szCs w:val="21"/>
              </w:rPr>
              <w:t>部门（单位）名称：</w:t>
            </w:r>
          </w:p>
          <w:p w14:paraId="78A7EC6F">
            <w:pPr>
              <w:widowControl/>
              <w:spacing w:line="560" w:lineRule="exact"/>
              <w:rPr>
                <w:rFonts w:hint="default" w:eastAsia="黑体"/>
                <w:kern w:val="0"/>
                <w:szCs w:val="21"/>
                <w:lang w:val="en-US" w:eastAsia="zh-CN"/>
              </w:rPr>
            </w:pPr>
            <w:r>
              <w:rPr>
                <w:rFonts w:eastAsia="黑体"/>
                <w:kern w:val="0"/>
                <w:szCs w:val="21"/>
              </w:rPr>
              <w:t>　</w:t>
            </w:r>
            <w:r>
              <w:rPr>
                <w:rFonts w:hint="eastAsia" w:eastAsia="黑体"/>
                <w:kern w:val="0"/>
                <w:szCs w:val="21"/>
                <w:lang w:val="en-US" w:eastAsia="zh-CN"/>
              </w:rPr>
              <w:t>炎陵县鹿原镇人民政府</w:t>
            </w:r>
          </w:p>
        </w:tc>
        <w:tc>
          <w:tcPr>
            <w:tcW w:w="4760" w:type="dxa"/>
            <w:gridSpan w:val="2"/>
            <w:tcBorders>
              <w:top w:val="single" w:color="auto" w:sz="4" w:space="0"/>
              <w:left w:val="single" w:color="auto" w:sz="4" w:space="0"/>
              <w:bottom w:val="single" w:color="auto" w:sz="4" w:space="0"/>
              <w:right w:val="single" w:color="auto" w:sz="4" w:space="0"/>
            </w:tcBorders>
            <w:noWrap w:val="0"/>
            <w:vAlign w:val="bottom"/>
          </w:tcPr>
          <w:p w14:paraId="34F91A19">
            <w:pPr>
              <w:widowControl/>
              <w:spacing w:line="560" w:lineRule="exact"/>
              <w:rPr>
                <w:rFonts w:hint="default" w:eastAsia="宋体"/>
                <w:kern w:val="0"/>
                <w:szCs w:val="21"/>
                <w:lang w:val="en-US" w:eastAsia="zh-CN"/>
              </w:rPr>
            </w:pPr>
            <w:r>
              <w:rPr>
                <w:kern w:val="0"/>
                <w:szCs w:val="21"/>
              </w:rPr>
              <w:t>单位负责人：</w:t>
            </w:r>
            <w:r>
              <w:rPr>
                <w:rFonts w:hint="eastAsia"/>
                <w:kern w:val="0"/>
                <w:szCs w:val="21"/>
                <w:lang w:val="en-US" w:eastAsia="zh-CN"/>
              </w:rPr>
              <w:t>黄浩</w:t>
            </w:r>
          </w:p>
        </w:tc>
      </w:tr>
      <w:tr w14:paraId="5D009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285" w:type="dxa"/>
            <w:gridSpan w:val="3"/>
            <w:tcBorders>
              <w:top w:val="single" w:color="auto" w:sz="4" w:space="0"/>
              <w:left w:val="single" w:color="auto" w:sz="4" w:space="0"/>
              <w:bottom w:val="single" w:color="auto" w:sz="4" w:space="0"/>
              <w:right w:val="single" w:color="auto" w:sz="4" w:space="0"/>
            </w:tcBorders>
            <w:noWrap w:val="0"/>
            <w:vAlign w:val="bottom"/>
          </w:tcPr>
          <w:p w14:paraId="16EC721B">
            <w:pPr>
              <w:widowControl/>
              <w:spacing w:line="560" w:lineRule="exact"/>
              <w:rPr>
                <w:kern w:val="0"/>
                <w:szCs w:val="21"/>
              </w:rPr>
            </w:pPr>
            <w:r>
              <w:rPr>
                <w:kern w:val="0"/>
                <w:szCs w:val="21"/>
              </w:rPr>
              <w:t>年末职工人数：</w:t>
            </w:r>
            <w:r>
              <w:rPr>
                <w:rFonts w:hint="eastAsia"/>
                <w:kern w:val="0"/>
                <w:szCs w:val="21"/>
                <w:lang w:val="en-US" w:eastAsia="zh-CN"/>
              </w:rPr>
              <w:t>69</w:t>
            </w:r>
            <w:r>
              <w:rPr>
                <w:kern w:val="0"/>
                <w:szCs w:val="21"/>
              </w:rPr>
              <w:t xml:space="preserve">  人（人员编制：</w:t>
            </w:r>
            <w:r>
              <w:rPr>
                <w:rFonts w:hint="eastAsia"/>
                <w:kern w:val="0"/>
                <w:szCs w:val="21"/>
                <w:lang w:val="en-US" w:eastAsia="zh-CN"/>
              </w:rPr>
              <w:t>80</w:t>
            </w:r>
            <w:r>
              <w:rPr>
                <w:kern w:val="0"/>
                <w:szCs w:val="21"/>
              </w:rPr>
              <w:t>人）</w:t>
            </w:r>
          </w:p>
        </w:tc>
        <w:tc>
          <w:tcPr>
            <w:tcW w:w="5355" w:type="dxa"/>
            <w:gridSpan w:val="3"/>
            <w:tcBorders>
              <w:top w:val="single" w:color="auto" w:sz="4" w:space="0"/>
              <w:left w:val="single" w:color="auto" w:sz="4" w:space="0"/>
              <w:bottom w:val="single" w:color="auto" w:sz="4" w:space="0"/>
              <w:right w:val="single" w:color="auto" w:sz="4" w:space="0"/>
            </w:tcBorders>
            <w:noWrap w:val="0"/>
            <w:vAlign w:val="bottom"/>
          </w:tcPr>
          <w:p w14:paraId="67F4A217">
            <w:pPr>
              <w:widowControl/>
              <w:spacing w:line="560" w:lineRule="exact"/>
              <w:rPr>
                <w:kern w:val="0"/>
                <w:szCs w:val="21"/>
              </w:rPr>
            </w:pPr>
            <w:r>
              <w:rPr>
                <w:kern w:val="0"/>
                <w:szCs w:val="21"/>
              </w:rPr>
              <w:t>年末资产总额：</w:t>
            </w:r>
            <w:r>
              <w:rPr>
                <w:rFonts w:hint="eastAsia"/>
                <w:kern w:val="0"/>
                <w:szCs w:val="21"/>
                <w:lang w:val="en-US" w:eastAsia="zh-CN"/>
              </w:rPr>
              <w:t>4568.2</w:t>
            </w:r>
            <w:r>
              <w:rPr>
                <w:kern w:val="0"/>
                <w:szCs w:val="21"/>
              </w:rPr>
              <w:t>万元；负债总额：</w:t>
            </w:r>
            <w:r>
              <w:rPr>
                <w:rFonts w:hint="eastAsia"/>
                <w:kern w:val="0"/>
                <w:szCs w:val="21"/>
                <w:lang w:val="en-US" w:eastAsia="zh-CN"/>
              </w:rPr>
              <w:t>4653.52</w:t>
            </w:r>
            <w:r>
              <w:rPr>
                <w:kern w:val="0"/>
                <w:szCs w:val="21"/>
              </w:rPr>
              <w:t>万元</w:t>
            </w:r>
          </w:p>
        </w:tc>
      </w:tr>
      <w:tr w14:paraId="2392D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vMerge w:val="restart"/>
            <w:tcBorders>
              <w:top w:val="single" w:color="auto" w:sz="4" w:space="0"/>
              <w:left w:val="single" w:color="auto" w:sz="4" w:space="0"/>
              <w:bottom w:val="single" w:color="auto" w:sz="4" w:space="0"/>
              <w:right w:val="single" w:color="auto" w:sz="4" w:space="0"/>
            </w:tcBorders>
            <w:noWrap w:val="0"/>
            <w:vAlign w:val="center"/>
          </w:tcPr>
          <w:p w14:paraId="2D0CD941">
            <w:pPr>
              <w:widowControl/>
              <w:spacing w:line="560" w:lineRule="exact"/>
              <w:jc w:val="center"/>
              <w:rPr>
                <w:kern w:val="0"/>
                <w:szCs w:val="21"/>
              </w:rPr>
            </w:pPr>
            <w:r>
              <w:rPr>
                <w:kern w:val="0"/>
                <w:szCs w:val="21"/>
              </w:rPr>
              <w:t>年度预算收支情况</w:t>
            </w:r>
            <w:r>
              <w:rPr>
                <w:kern w:val="0"/>
                <w:szCs w:val="21"/>
              </w:rPr>
              <w:br w:type="textWrapping"/>
            </w:r>
            <w:r>
              <w:rPr>
                <w:kern w:val="0"/>
                <w:szCs w:val="21"/>
              </w:rPr>
              <w:t>（万元）</w:t>
            </w:r>
          </w:p>
        </w:tc>
        <w:tc>
          <w:tcPr>
            <w:tcW w:w="7140" w:type="dxa"/>
            <w:gridSpan w:val="5"/>
            <w:tcBorders>
              <w:top w:val="single" w:color="auto" w:sz="4" w:space="0"/>
              <w:left w:val="single" w:color="auto" w:sz="4" w:space="0"/>
              <w:bottom w:val="single" w:color="auto" w:sz="4" w:space="0"/>
              <w:right w:val="single" w:color="auto" w:sz="4" w:space="0"/>
            </w:tcBorders>
            <w:noWrap w:val="0"/>
            <w:vAlign w:val="center"/>
          </w:tcPr>
          <w:p w14:paraId="7A1E5EBA">
            <w:pPr>
              <w:widowControl/>
              <w:spacing w:line="560" w:lineRule="exact"/>
              <w:jc w:val="left"/>
              <w:rPr>
                <w:rFonts w:hint="default" w:eastAsia="宋体"/>
                <w:kern w:val="0"/>
                <w:szCs w:val="21"/>
                <w:lang w:val="en-US" w:eastAsia="zh-CN"/>
              </w:rPr>
            </w:pPr>
            <w:r>
              <w:rPr>
                <w:kern w:val="0"/>
                <w:szCs w:val="21"/>
              </w:rPr>
              <w:t>年初预算资金：</w:t>
            </w:r>
            <w:r>
              <w:rPr>
                <w:rFonts w:hint="eastAsia"/>
                <w:kern w:val="0"/>
                <w:szCs w:val="21"/>
                <w:lang w:val="en-US" w:eastAsia="zh-CN"/>
              </w:rPr>
              <w:t>991.72万元</w:t>
            </w:r>
          </w:p>
        </w:tc>
      </w:tr>
      <w:tr w14:paraId="29923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vMerge w:val="continue"/>
            <w:tcBorders>
              <w:top w:val="single" w:color="auto" w:sz="4" w:space="0"/>
              <w:left w:val="single" w:color="auto" w:sz="4" w:space="0"/>
              <w:bottom w:val="single" w:color="auto" w:sz="4" w:space="0"/>
              <w:right w:val="single" w:color="auto" w:sz="4" w:space="0"/>
            </w:tcBorders>
            <w:noWrap w:val="0"/>
            <w:vAlign w:val="center"/>
          </w:tcPr>
          <w:p w14:paraId="733AFB25"/>
        </w:tc>
        <w:tc>
          <w:tcPr>
            <w:tcW w:w="3940" w:type="dxa"/>
            <w:gridSpan w:val="4"/>
            <w:tcBorders>
              <w:top w:val="single" w:color="auto" w:sz="4" w:space="0"/>
              <w:left w:val="single" w:color="auto" w:sz="4" w:space="0"/>
              <w:bottom w:val="single" w:color="auto" w:sz="4" w:space="0"/>
              <w:right w:val="single" w:color="auto" w:sz="4" w:space="0"/>
            </w:tcBorders>
            <w:noWrap w:val="0"/>
            <w:vAlign w:val="center"/>
          </w:tcPr>
          <w:p w14:paraId="243AEEDE">
            <w:pPr>
              <w:widowControl/>
              <w:spacing w:line="560" w:lineRule="exact"/>
              <w:jc w:val="left"/>
              <w:rPr>
                <w:rFonts w:hint="default" w:eastAsia="宋体"/>
                <w:kern w:val="0"/>
                <w:szCs w:val="21"/>
                <w:lang w:val="en-US" w:eastAsia="zh-CN"/>
              </w:rPr>
            </w:pPr>
            <w:r>
              <w:rPr>
                <w:kern w:val="0"/>
                <w:szCs w:val="21"/>
              </w:rPr>
              <w:t>年度收入总额：</w:t>
            </w:r>
            <w:r>
              <w:rPr>
                <w:rFonts w:hint="eastAsia"/>
                <w:kern w:val="0"/>
                <w:szCs w:val="21"/>
                <w:lang w:val="en-US" w:eastAsia="zh-CN"/>
              </w:rPr>
              <w:t>2931.05万元</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7C483173">
            <w:pPr>
              <w:widowControl/>
              <w:spacing w:line="560" w:lineRule="exact"/>
              <w:jc w:val="left"/>
              <w:rPr>
                <w:rFonts w:hint="default" w:eastAsia="宋体"/>
                <w:kern w:val="0"/>
                <w:szCs w:val="21"/>
                <w:lang w:val="en-US" w:eastAsia="zh-CN"/>
              </w:rPr>
            </w:pPr>
            <w:r>
              <w:rPr>
                <w:kern w:val="0"/>
                <w:szCs w:val="21"/>
              </w:rPr>
              <w:t>年度支出总额：</w:t>
            </w:r>
            <w:r>
              <w:rPr>
                <w:rFonts w:hint="eastAsia"/>
                <w:kern w:val="0"/>
                <w:szCs w:val="21"/>
                <w:lang w:val="en-US" w:eastAsia="zh-CN"/>
              </w:rPr>
              <w:t>2931.05万元</w:t>
            </w:r>
          </w:p>
        </w:tc>
      </w:tr>
      <w:tr w14:paraId="1BEE7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vMerge w:val="continue"/>
            <w:tcBorders>
              <w:top w:val="single" w:color="auto" w:sz="4" w:space="0"/>
              <w:left w:val="single" w:color="auto" w:sz="4" w:space="0"/>
              <w:bottom w:val="single" w:color="auto" w:sz="4" w:space="0"/>
              <w:right w:val="single" w:color="auto" w:sz="4" w:space="0"/>
            </w:tcBorders>
            <w:noWrap w:val="0"/>
            <w:vAlign w:val="center"/>
          </w:tcPr>
          <w:p w14:paraId="203C5B26"/>
        </w:tc>
        <w:tc>
          <w:tcPr>
            <w:tcW w:w="3940" w:type="dxa"/>
            <w:gridSpan w:val="4"/>
            <w:tcBorders>
              <w:top w:val="single" w:color="auto" w:sz="4" w:space="0"/>
              <w:left w:val="single" w:color="auto" w:sz="4" w:space="0"/>
              <w:bottom w:val="single" w:color="auto" w:sz="4" w:space="0"/>
              <w:right w:val="single" w:color="auto" w:sz="4" w:space="0"/>
            </w:tcBorders>
            <w:noWrap w:val="0"/>
            <w:vAlign w:val="center"/>
          </w:tcPr>
          <w:p w14:paraId="1DDD441A">
            <w:pPr>
              <w:widowControl/>
              <w:spacing w:line="560" w:lineRule="exact"/>
              <w:ind w:firstLine="105" w:firstLineChars="50"/>
              <w:jc w:val="left"/>
              <w:rPr>
                <w:rFonts w:hint="default" w:eastAsia="宋体"/>
                <w:kern w:val="0"/>
                <w:szCs w:val="21"/>
                <w:lang w:val="en-US" w:eastAsia="zh-CN"/>
              </w:rPr>
            </w:pPr>
            <w:r>
              <w:rPr>
                <w:kern w:val="0"/>
                <w:szCs w:val="21"/>
              </w:rPr>
              <w:t>其中：   公共财政拨款：</w:t>
            </w:r>
            <w:r>
              <w:rPr>
                <w:rFonts w:hint="eastAsia"/>
                <w:kern w:val="0"/>
                <w:szCs w:val="21"/>
                <w:lang w:val="en-US" w:eastAsia="zh-CN"/>
              </w:rPr>
              <w:t>2458.58万元</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018A9AEB">
            <w:pPr>
              <w:widowControl/>
              <w:spacing w:line="560" w:lineRule="exact"/>
              <w:jc w:val="left"/>
              <w:rPr>
                <w:rFonts w:hint="default" w:eastAsia="宋体"/>
                <w:kern w:val="0"/>
                <w:szCs w:val="21"/>
                <w:lang w:val="en-US" w:eastAsia="zh-CN"/>
              </w:rPr>
            </w:pPr>
            <w:r>
              <w:rPr>
                <w:kern w:val="0"/>
                <w:szCs w:val="21"/>
              </w:rPr>
              <w:t>其中： 基本支出：</w:t>
            </w:r>
            <w:r>
              <w:rPr>
                <w:rFonts w:hint="eastAsia"/>
                <w:kern w:val="0"/>
                <w:szCs w:val="21"/>
                <w:lang w:val="en-US" w:eastAsia="zh-CN"/>
              </w:rPr>
              <w:t>2931.05万元</w:t>
            </w:r>
          </w:p>
        </w:tc>
      </w:tr>
      <w:tr w14:paraId="7AD1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vMerge w:val="continue"/>
            <w:tcBorders>
              <w:top w:val="single" w:color="auto" w:sz="4" w:space="0"/>
              <w:left w:val="single" w:color="auto" w:sz="4" w:space="0"/>
              <w:bottom w:val="single" w:color="auto" w:sz="4" w:space="0"/>
              <w:right w:val="single" w:color="auto" w:sz="4" w:space="0"/>
            </w:tcBorders>
            <w:noWrap w:val="0"/>
            <w:vAlign w:val="center"/>
          </w:tcPr>
          <w:p w14:paraId="72807B72"/>
        </w:tc>
        <w:tc>
          <w:tcPr>
            <w:tcW w:w="3940" w:type="dxa"/>
            <w:gridSpan w:val="4"/>
            <w:tcBorders>
              <w:top w:val="single" w:color="auto" w:sz="4" w:space="0"/>
              <w:left w:val="single" w:color="auto" w:sz="4" w:space="0"/>
              <w:bottom w:val="single" w:color="auto" w:sz="4" w:space="0"/>
              <w:right w:val="single" w:color="auto" w:sz="4" w:space="0"/>
            </w:tcBorders>
            <w:noWrap w:val="0"/>
            <w:vAlign w:val="center"/>
          </w:tcPr>
          <w:p w14:paraId="7CF23564">
            <w:pPr>
              <w:widowControl/>
              <w:spacing w:line="560" w:lineRule="exact"/>
              <w:jc w:val="left"/>
              <w:rPr>
                <w:rFonts w:hint="default" w:eastAsia="宋体"/>
                <w:kern w:val="0"/>
                <w:szCs w:val="21"/>
                <w:lang w:val="en-US" w:eastAsia="zh-CN"/>
              </w:rPr>
            </w:pPr>
            <w:r>
              <w:rPr>
                <w:kern w:val="0"/>
                <w:szCs w:val="21"/>
              </w:rPr>
              <w:t xml:space="preserve">          政府性基金拨款：</w:t>
            </w:r>
            <w:r>
              <w:rPr>
                <w:rFonts w:hint="eastAsia"/>
                <w:kern w:val="0"/>
                <w:szCs w:val="21"/>
                <w:lang w:val="en-US" w:eastAsia="zh-CN"/>
              </w:rPr>
              <w:t>472.47万元</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11433824">
            <w:pPr>
              <w:widowControl/>
              <w:spacing w:line="560" w:lineRule="exact"/>
              <w:jc w:val="left"/>
              <w:rPr>
                <w:rFonts w:hint="eastAsia" w:eastAsia="宋体"/>
                <w:kern w:val="0"/>
                <w:szCs w:val="21"/>
                <w:lang w:val="en-US" w:eastAsia="zh-CN"/>
              </w:rPr>
            </w:pPr>
            <w:r>
              <w:rPr>
                <w:kern w:val="0"/>
                <w:szCs w:val="21"/>
              </w:rPr>
              <w:t xml:space="preserve">       项目支出：</w:t>
            </w:r>
            <w:r>
              <w:rPr>
                <w:rFonts w:hint="eastAsia"/>
                <w:kern w:val="0"/>
                <w:szCs w:val="21"/>
                <w:lang w:val="en-US" w:eastAsia="zh-CN"/>
              </w:rPr>
              <w:t>0</w:t>
            </w:r>
          </w:p>
        </w:tc>
      </w:tr>
      <w:tr w14:paraId="585F1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500" w:type="dxa"/>
            <w:vMerge w:val="continue"/>
            <w:tcBorders>
              <w:top w:val="single" w:color="auto" w:sz="4" w:space="0"/>
              <w:left w:val="single" w:color="auto" w:sz="4" w:space="0"/>
              <w:bottom w:val="single" w:color="auto" w:sz="4" w:space="0"/>
              <w:right w:val="single" w:color="auto" w:sz="4" w:space="0"/>
            </w:tcBorders>
            <w:noWrap w:val="0"/>
            <w:vAlign w:val="center"/>
          </w:tcPr>
          <w:p w14:paraId="09B7EB21"/>
        </w:tc>
        <w:tc>
          <w:tcPr>
            <w:tcW w:w="3940" w:type="dxa"/>
            <w:gridSpan w:val="4"/>
            <w:tcBorders>
              <w:top w:val="single" w:color="auto" w:sz="4" w:space="0"/>
              <w:left w:val="single" w:color="auto" w:sz="4" w:space="0"/>
              <w:bottom w:val="single" w:color="auto" w:sz="4" w:space="0"/>
              <w:right w:val="single" w:color="auto" w:sz="4" w:space="0"/>
            </w:tcBorders>
            <w:noWrap w:val="0"/>
            <w:vAlign w:val="center"/>
          </w:tcPr>
          <w:p w14:paraId="74203424">
            <w:pPr>
              <w:widowControl/>
              <w:spacing w:line="560" w:lineRule="exact"/>
              <w:jc w:val="left"/>
              <w:rPr>
                <w:kern w:val="0"/>
                <w:szCs w:val="21"/>
              </w:rPr>
            </w:pPr>
            <w:r>
              <w:rPr>
                <w:kern w:val="0"/>
                <w:szCs w:val="21"/>
              </w:rPr>
              <w:t>纳入专户管理的非税收入拨款：</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7CC6384E">
            <w:pPr>
              <w:widowControl/>
              <w:spacing w:line="560" w:lineRule="exact"/>
              <w:jc w:val="left"/>
              <w:rPr>
                <w:kern w:val="0"/>
                <w:szCs w:val="21"/>
              </w:rPr>
            </w:pPr>
            <w:r>
              <w:rPr>
                <w:kern w:val="0"/>
                <w:szCs w:val="21"/>
              </w:rPr>
              <w:t xml:space="preserve">      </w:t>
            </w:r>
          </w:p>
        </w:tc>
      </w:tr>
      <w:tr w14:paraId="6EE55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2" w:hRule="atLeast"/>
          <w:jc w:val="center"/>
        </w:trPr>
        <w:tc>
          <w:tcPr>
            <w:tcW w:w="2500" w:type="dxa"/>
            <w:vMerge w:val="continue"/>
            <w:tcBorders>
              <w:top w:val="single" w:color="auto" w:sz="4" w:space="0"/>
              <w:left w:val="single" w:color="auto" w:sz="4" w:space="0"/>
              <w:bottom w:val="single" w:color="auto" w:sz="4" w:space="0"/>
              <w:right w:val="single" w:color="auto" w:sz="4" w:space="0"/>
            </w:tcBorders>
            <w:noWrap w:val="0"/>
            <w:vAlign w:val="center"/>
          </w:tcPr>
          <w:p w14:paraId="63506345"/>
        </w:tc>
        <w:tc>
          <w:tcPr>
            <w:tcW w:w="3940" w:type="dxa"/>
            <w:gridSpan w:val="4"/>
            <w:tcBorders>
              <w:top w:val="single" w:color="auto" w:sz="4" w:space="0"/>
              <w:left w:val="single" w:color="auto" w:sz="4" w:space="0"/>
              <w:bottom w:val="single" w:color="auto" w:sz="4" w:space="0"/>
              <w:right w:val="single" w:color="auto" w:sz="4" w:space="0"/>
            </w:tcBorders>
            <w:noWrap w:val="0"/>
            <w:vAlign w:val="center"/>
          </w:tcPr>
          <w:p w14:paraId="4D38EB9F">
            <w:pPr>
              <w:widowControl/>
              <w:spacing w:line="560" w:lineRule="exact"/>
              <w:jc w:val="left"/>
              <w:rPr>
                <w:kern w:val="0"/>
                <w:szCs w:val="21"/>
              </w:rPr>
            </w:pPr>
            <w:r>
              <w:rPr>
                <w:kern w:val="0"/>
                <w:szCs w:val="21"/>
              </w:rPr>
              <w:t xml:space="preserve">           其他资金：</w:t>
            </w:r>
          </w:p>
        </w:tc>
        <w:tc>
          <w:tcPr>
            <w:tcW w:w="3200" w:type="dxa"/>
            <w:tcBorders>
              <w:top w:val="single" w:color="auto" w:sz="4" w:space="0"/>
              <w:left w:val="single" w:color="auto" w:sz="4" w:space="0"/>
              <w:bottom w:val="single" w:color="auto" w:sz="4" w:space="0"/>
              <w:right w:val="single" w:color="auto" w:sz="4" w:space="0"/>
            </w:tcBorders>
            <w:noWrap w:val="0"/>
            <w:vAlign w:val="center"/>
          </w:tcPr>
          <w:p w14:paraId="7F2E0F05">
            <w:pPr>
              <w:widowControl/>
              <w:spacing w:line="560" w:lineRule="exact"/>
              <w:jc w:val="left"/>
              <w:rPr>
                <w:kern w:val="0"/>
                <w:szCs w:val="21"/>
              </w:rPr>
            </w:pPr>
          </w:p>
        </w:tc>
      </w:tr>
      <w:tr w14:paraId="1BDB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2500" w:type="dxa"/>
            <w:tcBorders>
              <w:top w:val="single" w:color="auto" w:sz="4" w:space="0"/>
              <w:left w:val="single" w:color="auto" w:sz="4" w:space="0"/>
              <w:bottom w:val="single" w:color="auto" w:sz="4" w:space="0"/>
              <w:right w:val="single" w:color="auto" w:sz="4" w:space="0"/>
            </w:tcBorders>
            <w:noWrap w:val="0"/>
            <w:vAlign w:val="center"/>
          </w:tcPr>
          <w:p w14:paraId="29BF9C4E">
            <w:pPr>
              <w:widowControl/>
              <w:spacing w:line="560" w:lineRule="exact"/>
              <w:jc w:val="center"/>
              <w:rPr>
                <w:kern w:val="0"/>
                <w:szCs w:val="21"/>
              </w:rPr>
            </w:pPr>
            <w:r>
              <w:rPr>
                <w:kern w:val="0"/>
                <w:szCs w:val="21"/>
              </w:rPr>
              <w:t>部门职能职责概述</w:t>
            </w:r>
          </w:p>
        </w:tc>
        <w:tc>
          <w:tcPr>
            <w:tcW w:w="7140" w:type="dxa"/>
            <w:gridSpan w:val="5"/>
            <w:tcBorders>
              <w:top w:val="single" w:color="auto" w:sz="4" w:space="0"/>
              <w:left w:val="single" w:color="auto" w:sz="4" w:space="0"/>
              <w:bottom w:val="single" w:color="auto" w:sz="4" w:space="0"/>
              <w:right w:val="single" w:color="auto" w:sz="4" w:space="0"/>
            </w:tcBorders>
            <w:noWrap w:val="0"/>
            <w:vAlign w:val="center"/>
          </w:tcPr>
          <w:p w14:paraId="58323956">
            <w:pPr>
              <w:widowControl/>
              <w:spacing w:line="360" w:lineRule="auto"/>
              <w:jc w:val="left"/>
              <w:rPr>
                <w:kern w:val="0"/>
                <w:szCs w:val="21"/>
              </w:rPr>
            </w:pPr>
            <w:r>
              <w:rPr>
                <w:rFonts w:hint="eastAsia"/>
                <w:sz w:val="21"/>
                <w:szCs w:val="21"/>
              </w:rPr>
              <w:t>在县财政局和镇党委、政府的正确领导下，</w:t>
            </w:r>
            <w:r>
              <w:rPr>
                <w:rFonts w:hint="eastAsia"/>
                <w:sz w:val="21"/>
                <w:szCs w:val="21"/>
                <w:lang w:eastAsia="zh-CN"/>
              </w:rPr>
              <w:t>认真贯彻</w:t>
            </w:r>
            <w:r>
              <w:rPr>
                <w:rFonts w:ascii="微软雅黑" w:hAnsi="微软雅黑" w:eastAsia="微软雅黑" w:cs="微软雅黑"/>
                <w:i w:val="0"/>
                <w:iCs w:val="0"/>
                <w:caps w:val="0"/>
                <w:color w:val="333333"/>
                <w:spacing w:val="0"/>
                <w:sz w:val="21"/>
                <w:szCs w:val="21"/>
                <w:shd w:val="clear" w:fill="D9EDF7"/>
              </w:rPr>
              <w:t>习近平总书记</w:t>
            </w:r>
            <w:bookmarkStart w:id="1" w:name="_GoBack"/>
            <w:bookmarkEnd w:id="1"/>
            <w:r>
              <w:rPr>
                <w:rFonts w:hint="eastAsia"/>
                <w:sz w:val="21"/>
                <w:szCs w:val="21"/>
                <w:lang w:eastAsia="zh-CN"/>
              </w:rPr>
              <w:t>三农精神，打好脱贫攻坚战，</w:t>
            </w:r>
            <w:r>
              <w:rPr>
                <w:rFonts w:hint="eastAsia"/>
                <w:sz w:val="21"/>
                <w:szCs w:val="21"/>
              </w:rPr>
              <w:t>树立全心全意为人民服务的宗旨；强化资金管理，</w:t>
            </w:r>
            <w:r>
              <w:rPr>
                <w:rFonts w:hint="eastAsia"/>
                <w:sz w:val="21"/>
                <w:szCs w:val="21"/>
                <w:lang w:eastAsia="zh-CN"/>
              </w:rPr>
              <w:t>严格资金使用合法、合规，做到专款专用</w:t>
            </w:r>
            <w:r>
              <w:rPr>
                <w:rFonts w:hint="eastAsia"/>
                <w:sz w:val="21"/>
                <w:szCs w:val="21"/>
              </w:rPr>
              <w:t>；</w:t>
            </w:r>
            <w:r>
              <w:rPr>
                <w:rFonts w:hint="eastAsia"/>
                <w:sz w:val="21"/>
                <w:szCs w:val="21"/>
                <w:lang w:eastAsia="zh-CN"/>
              </w:rPr>
              <w:t>及时、准确、高效调度资金，用好资金，</w:t>
            </w:r>
            <w:r>
              <w:rPr>
                <w:rFonts w:hint="eastAsia"/>
                <w:sz w:val="21"/>
                <w:szCs w:val="21"/>
              </w:rPr>
              <w:t>全面服务于党委、政府的</w:t>
            </w:r>
            <w:r>
              <w:rPr>
                <w:rFonts w:hint="eastAsia"/>
                <w:sz w:val="21"/>
                <w:szCs w:val="21"/>
                <w:lang w:eastAsia="zh-CN"/>
              </w:rPr>
              <w:t>各项</w:t>
            </w:r>
            <w:r>
              <w:rPr>
                <w:rFonts w:hint="eastAsia"/>
                <w:sz w:val="21"/>
                <w:szCs w:val="21"/>
              </w:rPr>
              <w:t>工作</w:t>
            </w:r>
            <w:r>
              <w:rPr>
                <w:rFonts w:hint="eastAsia"/>
                <w:sz w:val="21"/>
                <w:szCs w:val="21"/>
                <w:lang w:eastAsia="zh-CN"/>
              </w:rPr>
              <w:t>，确保政府机构正常运行</w:t>
            </w:r>
            <w:r>
              <w:rPr>
                <w:rFonts w:hint="eastAsia"/>
                <w:sz w:val="21"/>
                <w:szCs w:val="21"/>
              </w:rPr>
              <w:t>；认真</w:t>
            </w:r>
            <w:r>
              <w:rPr>
                <w:rFonts w:hint="eastAsia"/>
                <w:sz w:val="21"/>
                <w:szCs w:val="21"/>
                <w:lang w:eastAsia="zh-CN"/>
              </w:rPr>
              <w:t>做好</w:t>
            </w:r>
            <w:r>
              <w:rPr>
                <w:rFonts w:hint="eastAsia"/>
                <w:sz w:val="21"/>
                <w:szCs w:val="21"/>
              </w:rPr>
              <w:t>各项财政财务</w:t>
            </w:r>
            <w:r>
              <w:rPr>
                <w:rFonts w:hint="eastAsia"/>
                <w:sz w:val="21"/>
                <w:szCs w:val="21"/>
                <w:lang w:eastAsia="zh-CN"/>
              </w:rPr>
              <w:t>基础</w:t>
            </w:r>
            <w:r>
              <w:rPr>
                <w:rFonts w:hint="eastAsia"/>
                <w:sz w:val="21"/>
                <w:szCs w:val="21"/>
              </w:rPr>
              <w:t>工作。</w:t>
            </w:r>
          </w:p>
        </w:tc>
      </w:tr>
      <w:tr w14:paraId="58CF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2500" w:type="dxa"/>
            <w:tcBorders>
              <w:top w:val="single" w:color="auto" w:sz="4" w:space="0"/>
              <w:left w:val="single" w:color="auto" w:sz="4" w:space="0"/>
              <w:bottom w:val="single" w:color="auto" w:sz="4" w:space="0"/>
              <w:right w:val="single" w:color="auto" w:sz="4" w:space="0"/>
            </w:tcBorders>
            <w:noWrap w:val="0"/>
            <w:vAlign w:val="center"/>
          </w:tcPr>
          <w:p w14:paraId="7D23C11E">
            <w:pPr>
              <w:widowControl/>
              <w:spacing w:line="560" w:lineRule="exact"/>
              <w:jc w:val="center"/>
              <w:rPr>
                <w:kern w:val="0"/>
                <w:szCs w:val="21"/>
              </w:rPr>
            </w:pPr>
            <w:r>
              <w:rPr>
                <w:kern w:val="0"/>
                <w:szCs w:val="21"/>
              </w:rPr>
              <w:t>整体绩效目标</w:t>
            </w:r>
          </w:p>
        </w:tc>
        <w:tc>
          <w:tcPr>
            <w:tcW w:w="7140" w:type="dxa"/>
            <w:gridSpan w:val="5"/>
            <w:tcBorders>
              <w:top w:val="single" w:color="auto" w:sz="4" w:space="0"/>
              <w:left w:val="single" w:color="auto" w:sz="4" w:space="0"/>
              <w:bottom w:val="single" w:color="auto" w:sz="4" w:space="0"/>
              <w:right w:val="single" w:color="auto" w:sz="4" w:space="0"/>
            </w:tcBorders>
            <w:noWrap w:val="0"/>
            <w:vAlign w:val="center"/>
          </w:tcPr>
          <w:p w14:paraId="080DCAFE">
            <w:pPr>
              <w:widowControl/>
              <w:spacing w:line="360" w:lineRule="auto"/>
              <w:jc w:val="left"/>
              <w:rPr>
                <w:rFonts w:hint="eastAsia"/>
                <w:sz w:val="21"/>
                <w:szCs w:val="21"/>
                <w:lang w:eastAsia="zh-CN"/>
              </w:rPr>
            </w:pPr>
            <w:r>
              <w:rPr>
                <w:rFonts w:hint="eastAsia"/>
                <w:sz w:val="21"/>
                <w:szCs w:val="21"/>
              </w:rPr>
              <w:t>目标1：完成县财政交办的各项</w:t>
            </w:r>
            <w:r>
              <w:rPr>
                <w:rFonts w:hint="eastAsia"/>
                <w:sz w:val="21"/>
                <w:szCs w:val="21"/>
                <w:lang w:eastAsia="zh-CN"/>
              </w:rPr>
              <w:t>工作</w:t>
            </w:r>
            <w:r>
              <w:rPr>
                <w:rFonts w:hint="eastAsia"/>
                <w:sz w:val="21"/>
                <w:szCs w:val="21"/>
              </w:rPr>
              <w:t>任务</w:t>
            </w:r>
            <w:r>
              <w:rPr>
                <w:rFonts w:hint="eastAsia"/>
                <w:sz w:val="21"/>
                <w:szCs w:val="21"/>
                <w:lang w:eastAsia="zh-CN"/>
              </w:rPr>
              <w:t>，全心全意为人民服务</w:t>
            </w:r>
            <w:r>
              <w:rPr>
                <w:rFonts w:hint="eastAsia"/>
                <w:sz w:val="21"/>
                <w:szCs w:val="21"/>
              </w:rPr>
              <w:br w:type="textWrapping"/>
            </w:r>
            <w:r>
              <w:rPr>
                <w:rFonts w:hint="eastAsia"/>
                <w:sz w:val="21"/>
                <w:szCs w:val="21"/>
              </w:rPr>
              <w:t>目标2：强化资金管理，严格</w:t>
            </w:r>
            <w:r>
              <w:rPr>
                <w:rFonts w:hint="eastAsia"/>
                <w:sz w:val="21"/>
                <w:szCs w:val="21"/>
                <w:lang w:eastAsia="zh-CN"/>
              </w:rPr>
              <w:t>资金使用合法、合规，打好脱贫攻坚战</w:t>
            </w:r>
          </w:p>
          <w:p w14:paraId="76606D81">
            <w:pPr>
              <w:widowControl/>
              <w:spacing w:line="400" w:lineRule="exact"/>
              <w:jc w:val="left"/>
              <w:rPr>
                <w:rFonts w:hint="eastAsia"/>
                <w:sz w:val="21"/>
                <w:szCs w:val="21"/>
                <w:lang w:val="en-US" w:eastAsia="zh-CN"/>
              </w:rPr>
            </w:pPr>
            <w:r>
              <w:rPr>
                <w:rFonts w:hint="eastAsia"/>
                <w:sz w:val="21"/>
                <w:szCs w:val="21"/>
                <w:lang w:val="en-US" w:eastAsia="zh-CN"/>
              </w:rPr>
              <w:t>目标3：</w:t>
            </w:r>
            <w:r>
              <w:rPr>
                <w:rFonts w:hint="eastAsia"/>
                <w:sz w:val="21"/>
                <w:szCs w:val="21"/>
              </w:rPr>
              <w:t>认真</w:t>
            </w:r>
            <w:r>
              <w:rPr>
                <w:rFonts w:hint="eastAsia"/>
                <w:sz w:val="21"/>
                <w:szCs w:val="21"/>
                <w:lang w:eastAsia="zh-CN"/>
              </w:rPr>
              <w:t>做好</w:t>
            </w:r>
            <w:r>
              <w:rPr>
                <w:rFonts w:hint="eastAsia"/>
                <w:sz w:val="21"/>
                <w:szCs w:val="21"/>
              </w:rPr>
              <w:t>各项财政财务</w:t>
            </w:r>
            <w:r>
              <w:rPr>
                <w:rFonts w:hint="eastAsia"/>
                <w:sz w:val="21"/>
                <w:szCs w:val="21"/>
                <w:lang w:eastAsia="zh-CN"/>
              </w:rPr>
              <w:t>基础</w:t>
            </w:r>
            <w:r>
              <w:rPr>
                <w:rFonts w:hint="eastAsia"/>
                <w:sz w:val="21"/>
                <w:szCs w:val="21"/>
              </w:rPr>
              <w:t>工作</w:t>
            </w:r>
          </w:p>
          <w:p w14:paraId="3EF4D894">
            <w:pPr>
              <w:widowControl/>
              <w:spacing w:line="360" w:lineRule="auto"/>
              <w:jc w:val="left"/>
              <w:rPr>
                <w:rFonts w:hint="eastAsia" w:eastAsia="宋体"/>
                <w:kern w:val="0"/>
                <w:szCs w:val="21"/>
                <w:lang w:val="en-US" w:eastAsia="zh-CN"/>
              </w:rPr>
            </w:pPr>
            <w:r>
              <w:rPr>
                <w:rFonts w:hint="eastAsia"/>
                <w:sz w:val="21"/>
                <w:szCs w:val="21"/>
                <w:lang w:val="en-US" w:eastAsia="zh-CN"/>
              </w:rPr>
              <w:t>目标4：</w:t>
            </w:r>
            <w:r>
              <w:rPr>
                <w:rFonts w:hint="eastAsia"/>
                <w:szCs w:val="21"/>
              </w:rPr>
              <w:t>认真贯彻执行《预算法》、《会计法》和相关的财经纪律制度</w:t>
            </w:r>
            <w:r>
              <w:rPr>
                <w:kern w:val="0"/>
                <w:szCs w:val="21"/>
              </w:rPr>
              <w:t>目标</w:t>
            </w:r>
          </w:p>
        </w:tc>
      </w:tr>
      <w:tr w14:paraId="03EF3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04" w:hRule="atLeast"/>
          <w:jc w:val="center"/>
        </w:trPr>
        <w:tc>
          <w:tcPr>
            <w:tcW w:w="2500" w:type="dxa"/>
            <w:vMerge w:val="restart"/>
            <w:tcBorders>
              <w:top w:val="single" w:color="auto" w:sz="4" w:space="0"/>
              <w:left w:val="single" w:color="auto" w:sz="4" w:space="0"/>
              <w:bottom w:val="single" w:color="auto" w:sz="4" w:space="0"/>
              <w:right w:val="single" w:color="auto" w:sz="4" w:space="0"/>
            </w:tcBorders>
            <w:noWrap w:val="0"/>
            <w:vAlign w:val="center"/>
          </w:tcPr>
          <w:p w14:paraId="726E0125">
            <w:pPr>
              <w:widowControl/>
              <w:spacing w:line="560" w:lineRule="exact"/>
              <w:jc w:val="center"/>
              <w:rPr>
                <w:kern w:val="0"/>
                <w:szCs w:val="21"/>
              </w:rPr>
            </w:pPr>
            <w:r>
              <w:rPr>
                <w:kern w:val="0"/>
                <w:szCs w:val="21"/>
              </w:rPr>
              <w:t>部门整体支出</w:t>
            </w:r>
          </w:p>
          <w:p w14:paraId="4B38601F">
            <w:pPr>
              <w:widowControl/>
              <w:spacing w:line="560" w:lineRule="exact"/>
              <w:jc w:val="center"/>
              <w:rPr>
                <w:kern w:val="0"/>
                <w:szCs w:val="21"/>
              </w:rPr>
            </w:pPr>
            <w:r>
              <w:rPr>
                <w:kern w:val="0"/>
                <w:szCs w:val="21"/>
              </w:rPr>
              <w:t>年度绩效指标</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2CD1C8FB">
            <w:pPr>
              <w:widowControl/>
              <w:spacing w:line="560" w:lineRule="exact"/>
              <w:jc w:val="center"/>
              <w:rPr>
                <w:kern w:val="0"/>
                <w:szCs w:val="21"/>
              </w:rPr>
            </w:pPr>
            <w:r>
              <w:rPr>
                <w:kern w:val="0"/>
                <w:szCs w:val="21"/>
              </w:rPr>
              <w:t>产出指标</w:t>
            </w:r>
          </w:p>
        </w:tc>
        <w:tc>
          <w:tcPr>
            <w:tcW w:w="5940" w:type="dxa"/>
            <w:gridSpan w:val="4"/>
            <w:tcBorders>
              <w:top w:val="single" w:color="auto" w:sz="4" w:space="0"/>
              <w:left w:val="single" w:color="auto" w:sz="4" w:space="0"/>
              <w:bottom w:val="single" w:color="auto" w:sz="4" w:space="0"/>
              <w:right w:val="single" w:color="auto" w:sz="4" w:space="0"/>
            </w:tcBorders>
            <w:noWrap w:val="0"/>
            <w:vAlign w:val="center"/>
          </w:tcPr>
          <w:p w14:paraId="61E9AE3B">
            <w:pPr>
              <w:widowControl/>
              <w:spacing w:line="360" w:lineRule="auto"/>
              <w:jc w:val="left"/>
              <w:rPr>
                <w:rFonts w:hint="eastAsia"/>
                <w:sz w:val="21"/>
                <w:szCs w:val="21"/>
              </w:rPr>
            </w:pPr>
            <w:r>
              <w:rPr>
                <w:rFonts w:hint="eastAsia"/>
                <w:sz w:val="21"/>
                <w:szCs w:val="21"/>
              </w:rPr>
              <w:t>指标1：财税目标任务</w:t>
            </w:r>
          </w:p>
          <w:p w14:paraId="6260A8FE">
            <w:pPr>
              <w:widowControl/>
              <w:spacing w:line="360" w:lineRule="auto"/>
              <w:jc w:val="left"/>
              <w:rPr>
                <w:rFonts w:hint="eastAsia"/>
                <w:sz w:val="21"/>
                <w:szCs w:val="21"/>
              </w:rPr>
            </w:pPr>
            <w:r>
              <w:rPr>
                <w:rFonts w:hint="eastAsia"/>
                <w:sz w:val="21"/>
                <w:szCs w:val="21"/>
              </w:rPr>
              <w:t>指标2：涉农资金合理使用</w:t>
            </w:r>
          </w:p>
          <w:p w14:paraId="6484A8EA">
            <w:pPr>
              <w:widowControl/>
              <w:spacing w:line="360" w:lineRule="auto"/>
              <w:jc w:val="left"/>
              <w:rPr>
                <w:rFonts w:hint="eastAsia"/>
                <w:sz w:val="21"/>
                <w:szCs w:val="21"/>
              </w:rPr>
            </w:pPr>
            <w:r>
              <w:rPr>
                <w:rFonts w:hint="eastAsia"/>
                <w:sz w:val="21"/>
                <w:szCs w:val="21"/>
              </w:rPr>
              <w:t>指标3：“项目攻坚年”工作</w:t>
            </w:r>
          </w:p>
          <w:p w14:paraId="49075435">
            <w:pPr>
              <w:widowControl/>
              <w:spacing w:line="360" w:lineRule="auto"/>
              <w:jc w:val="left"/>
              <w:rPr>
                <w:rFonts w:hint="eastAsia"/>
                <w:sz w:val="21"/>
                <w:szCs w:val="21"/>
              </w:rPr>
            </w:pPr>
            <w:r>
              <w:rPr>
                <w:rFonts w:hint="eastAsia"/>
                <w:sz w:val="21"/>
                <w:szCs w:val="21"/>
              </w:rPr>
              <w:t>指标4：</w:t>
            </w:r>
            <w:r>
              <w:rPr>
                <w:rFonts w:hint="eastAsia"/>
                <w:sz w:val="21"/>
                <w:szCs w:val="21"/>
                <w:lang w:eastAsia="zh-CN"/>
              </w:rPr>
              <w:t>征地拆迁等中心工作</w:t>
            </w:r>
          </w:p>
          <w:p w14:paraId="34A4C0AD">
            <w:pPr>
              <w:widowControl/>
              <w:spacing w:line="360" w:lineRule="auto"/>
              <w:jc w:val="left"/>
              <w:rPr>
                <w:rFonts w:hint="eastAsia"/>
                <w:sz w:val="21"/>
                <w:szCs w:val="21"/>
              </w:rPr>
            </w:pPr>
            <w:r>
              <w:rPr>
                <w:rFonts w:hint="eastAsia"/>
                <w:sz w:val="21"/>
                <w:szCs w:val="21"/>
              </w:rPr>
              <w:t>指标5：新农合</w:t>
            </w:r>
            <w:r>
              <w:rPr>
                <w:rFonts w:hint="eastAsia"/>
                <w:sz w:val="21"/>
                <w:szCs w:val="21"/>
                <w:lang w:eastAsia="zh-CN"/>
              </w:rPr>
              <w:t>、新农保</w:t>
            </w:r>
            <w:r>
              <w:rPr>
                <w:rFonts w:hint="eastAsia"/>
                <w:sz w:val="21"/>
                <w:szCs w:val="21"/>
              </w:rPr>
              <w:t>参合率</w:t>
            </w:r>
          </w:p>
          <w:p w14:paraId="025CDC66">
            <w:pPr>
              <w:widowControl/>
              <w:spacing w:line="360" w:lineRule="auto"/>
              <w:jc w:val="left"/>
              <w:rPr>
                <w:kern w:val="0"/>
                <w:szCs w:val="21"/>
              </w:rPr>
            </w:pPr>
            <w:r>
              <w:rPr>
                <w:rFonts w:hint="eastAsia"/>
                <w:sz w:val="21"/>
                <w:szCs w:val="21"/>
              </w:rPr>
              <w:t>指标6：异地扶贫搬</w:t>
            </w:r>
            <w:r>
              <w:rPr>
                <w:rFonts w:hint="eastAsia"/>
                <w:sz w:val="21"/>
                <w:szCs w:val="21"/>
                <w:lang w:eastAsia="zh-CN"/>
              </w:rPr>
              <w:t>资金使用</w:t>
            </w:r>
          </w:p>
        </w:tc>
      </w:tr>
      <w:tr w14:paraId="329A5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4" w:hRule="atLeast"/>
          <w:jc w:val="center"/>
        </w:trPr>
        <w:tc>
          <w:tcPr>
            <w:tcW w:w="2500" w:type="dxa"/>
            <w:vMerge w:val="continue"/>
            <w:tcBorders>
              <w:top w:val="single" w:color="auto" w:sz="4" w:space="0"/>
              <w:left w:val="single" w:color="auto" w:sz="4" w:space="0"/>
              <w:bottom w:val="single" w:color="auto" w:sz="4" w:space="0"/>
              <w:right w:val="single" w:color="auto" w:sz="4" w:space="0"/>
            </w:tcBorders>
            <w:noWrap w:val="0"/>
            <w:vAlign w:val="center"/>
          </w:tcPr>
          <w:p w14:paraId="40374B57"/>
        </w:tc>
        <w:tc>
          <w:tcPr>
            <w:tcW w:w="1200" w:type="dxa"/>
            <w:tcBorders>
              <w:top w:val="single" w:color="auto" w:sz="4" w:space="0"/>
              <w:left w:val="single" w:color="auto" w:sz="4" w:space="0"/>
              <w:bottom w:val="single" w:color="auto" w:sz="4" w:space="0"/>
              <w:right w:val="single" w:color="auto" w:sz="4" w:space="0"/>
            </w:tcBorders>
            <w:noWrap w:val="0"/>
            <w:vAlign w:val="center"/>
          </w:tcPr>
          <w:p w14:paraId="07F4817C">
            <w:pPr>
              <w:widowControl/>
              <w:spacing w:line="560" w:lineRule="exact"/>
              <w:jc w:val="center"/>
              <w:rPr>
                <w:kern w:val="0"/>
                <w:szCs w:val="21"/>
              </w:rPr>
            </w:pPr>
            <w:r>
              <w:rPr>
                <w:kern w:val="0"/>
                <w:szCs w:val="21"/>
              </w:rPr>
              <w:t>效益指标</w:t>
            </w:r>
          </w:p>
        </w:tc>
        <w:tc>
          <w:tcPr>
            <w:tcW w:w="5940" w:type="dxa"/>
            <w:gridSpan w:val="4"/>
            <w:tcBorders>
              <w:top w:val="single" w:color="auto" w:sz="4" w:space="0"/>
              <w:left w:val="single" w:color="auto" w:sz="4" w:space="0"/>
              <w:bottom w:val="single" w:color="auto" w:sz="4" w:space="0"/>
              <w:right w:val="single" w:color="auto" w:sz="4" w:space="0"/>
            </w:tcBorders>
            <w:noWrap w:val="0"/>
            <w:vAlign w:val="center"/>
          </w:tcPr>
          <w:p w14:paraId="05E1D08F">
            <w:pPr>
              <w:widowControl/>
              <w:spacing w:line="360" w:lineRule="auto"/>
              <w:jc w:val="left"/>
              <w:rPr>
                <w:rFonts w:hint="eastAsia"/>
                <w:kern w:val="0"/>
                <w:szCs w:val="21"/>
                <w:lang w:eastAsia="zh-CN"/>
              </w:rPr>
            </w:pPr>
            <w:r>
              <w:rPr>
                <w:kern w:val="0"/>
                <w:szCs w:val="21"/>
              </w:rPr>
              <w:t>指标1：</w:t>
            </w:r>
            <w:r>
              <w:rPr>
                <w:rFonts w:hint="eastAsia"/>
                <w:kern w:val="0"/>
                <w:szCs w:val="21"/>
              </w:rPr>
              <w:t>保障各项涉农资金</w:t>
            </w:r>
            <w:r>
              <w:rPr>
                <w:rFonts w:hint="eastAsia"/>
                <w:kern w:val="0"/>
                <w:szCs w:val="21"/>
                <w:lang w:eastAsia="zh-CN"/>
              </w:rPr>
              <w:t>合理使用</w:t>
            </w:r>
          </w:p>
          <w:p w14:paraId="1A567587">
            <w:pPr>
              <w:widowControl/>
              <w:spacing w:line="360" w:lineRule="auto"/>
              <w:jc w:val="left"/>
              <w:rPr>
                <w:rFonts w:hint="eastAsia"/>
                <w:kern w:val="0"/>
                <w:szCs w:val="21"/>
              </w:rPr>
            </w:pPr>
            <w:r>
              <w:rPr>
                <w:kern w:val="0"/>
                <w:szCs w:val="21"/>
              </w:rPr>
              <w:t>指标2：</w:t>
            </w:r>
            <w:r>
              <w:rPr>
                <w:rFonts w:hint="eastAsia"/>
                <w:kern w:val="0"/>
                <w:szCs w:val="21"/>
              </w:rPr>
              <w:t>异地扶贫搬迁</w:t>
            </w:r>
            <w:r>
              <w:rPr>
                <w:rFonts w:hint="eastAsia"/>
                <w:kern w:val="0"/>
                <w:szCs w:val="21"/>
                <w:lang w:eastAsia="zh-CN"/>
              </w:rPr>
              <w:t>资金</w:t>
            </w:r>
            <w:r>
              <w:rPr>
                <w:rFonts w:hint="eastAsia"/>
                <w:kern w:val="0"/>
                <w:szCs w:val="21"/>
              </w:rPr>
              <w:t>补偿到位</w:t>
            </w:r>
          </w:p>
          <w:p w14:paraId="299AD9FD">
            <w:pPr>
              <w:widowControl/>
              <w:spacing w:line="360" w:lineRule="auto"/>
              <w:jc w:val="left"/>
              <w:rPr>
                <w:rFonts w:hint="eastAsia"/>
                <w:kern w:val="0"/>
                <w:szCs w:val="21"/>
                <w:lang w:eastAsia="zh-CN"/>
              </w:rPr>
            </w:pPr>
            <w:r>
              <w:rPr>
                <w:kern w:val="0"/>
                <w:szCs w:val="21"/>
              </w:rPr>
              <w:t>指标3：</w:t>
            </w:r>
            <w:r>
              <w:rPr>
                <w:rFonts w:hint="eastAsia"/>
                <w:kern w:val="0"/>
                <w:szCs w:val="21"/>
              </w:rPr>
              <w:t>完成</w:t>
            </w:r>
            <w:r>
              <w:rPr>
                <w:rFonts w:hint="eastAsia"/>
                <w:kern w:val="0"/>
                <w:szCs w:val="21"/>
                <w:lang w:eastAsia="zh-CN"/>
              </w:rPr>
              <w:t>新农合、新农保工作</w:t>
            </w:r>
          </w:p>
          <w:p w14:paraId="21FD2971">
            <w:pPr>
              <w:widowControl/>
              <w:spacing w:line="360" w:lineRule="auto"/>
              <w:jc w:val="left"/>
              <w:rPr>
                <w:rFonts w:hint="eastAsia"/>
                <w:kern w:val="0"/>
                <w:szCs w:val="21"/>
                <w:lang w:eastAsia="zh-CN"/>
              </w:rPr>
            </w:pPr>
            <w:r>
              <w:rPr>
                <w:kern w:val="0"/>
                <w:szCs w:val="21"/>
              </w:rPr>
              <w:t>指标</w:t>
            </w:r>
            <w:r>
              <w:rPr>
                <w:rFonts w:hint="eastAsia"/>
                <w:kern w:val="0"/>
                <w:szCs w:val="21"/>
              </w:rPr>
              <w:t>4</w:t>
            </w:r>
            <w:r>
              <w:rPr>
                <w:kern w:val="0"/>
                <w:szCs w:val="21"/>
              </w:rPr>
              <w:t>：</w:t>
            </w:r>
            <w:r>
              <w:rPr>
                <w:rFonts w:hint="eastAsia"/>
                <w:kern w:val="0"/>
                <w:szCs w:val="21"/>
                <w:lang w:eastAsia="zh-CN"/>
              </w:rPr>
              <w:t>努力完成财税目标任务</w:t>
            </w:r>
          </w:p>
          <w:p w14:paraId="13165FC5">
            <w:pPr>
              <w:widowControl/>
              <w:spacing w:line="360" w:lineRule="auto"/>
              <w:jc w:val="left"/>
              <w:rPr>
                <w:rFonts w:hint="eastAsia"/>
                <w:kern w:val="0"/>
                <w:szCs w:val="21"/>
                <w:lang w:eastAsia="zh-CN"/>
              </w:rPr>
            </w:pPr>
            <w:r>
              <w:rPr>
                <w:kern w:val="0"/>
                <w:szCs w:val="21"/>
              </w:rPr>
              <w:t>指标</w:t>
            </w:r>
            <w:r>
              <w:rPr>
                <w:rFonts w:hint="eastAsia"/>
                <w:kern w:val="0"/>
                <w:szCs w:val="21"/>
                <w:lang w:val="en-US" w:eastAsia="zh-CN"/>
              </w:rPr>
              <w:t>5</w:t>
            </w:r>
            <w:r>
              <w:rPr>
                <w:kern w:val="0"/>
                <w:szCs w:val="21"/>
              </w:rPr>
              <w:t>：</w:t>
            </w:r>
            <w:r>
              <w:rPr>
                <w:rFonts w:hint="eastAsia"/>
                <w:kern w:val="0"/>
                <w:szCs w:val="21"/>
                <w:lang w:eastAsia="zh-CN"/>
              </w:rPr>
              <w:t>完成征地拆迁工作</w:t>
            </w:r>
          </w:p>
          <w:p w14:paraId="0DA3D2B1">
            <w:pPr>
              <w:widowControl/>
              <w:spacing w:line="360" w:lineRule="auto"/>
              <w:jc w:val="left"/>
              <w:rPr>
                <w:rFonts w:hint="eastAsia"/>
                <w:kern w:val="0"/>
                <w:szCs w:val="21"/>
              </w:rPr>
            </w:pPr>
            <w:r>
              <w:rPr>
                <w:rFonts w:hint="eastAsia"/>
                <w:kern w:val="0"/>
                <w:szCs w:val="21"/>
                <w:lang w:val="en-US" w:eastAsia="zh-CN"/>
              </w:rPr>
              <w:t>指标6：</w:t>
            </w:r>
            <w:r>
              <w:rPr>
                <w:rFonts w:hint="eastAsia"/>
                <w:kern w:val="0"/>
                <w:szCs w:val="21"/>
              </w:rPr>
              <w:t>部门整体支出支付进度与实施进度一致</w:t>
            </w:r>
          </w:p>
          <w:p w14:paraId="5BDDBEB5">
            <w:pPr>
              <w:widowControl/>
              <w:spacing w:line="360" w:lineRule="auto"/>
              <w:jc w:val="left"/>
              <w:rPr>
                <w:kern w:val="0"/>
                <w:szCs w:val="21"/>
              </w:rPr>
            </w:pPr>
            <w:r>
              <w:rPr>
                <w:rFonts w:hint="eastAsia"/>
                <w:kern w:val="0"/>
                <w:szCs w:val="21"/>
                <w:lang w:val="en-US" w:eastAsia="zh-CN"/>
              </w:rPr>
              <w:t>指标7：</w:t>
            </w:r>
            <w:r>
              <w:rPr>
                <w:rFonts w:hint="eastAsia"/>
                <w:kern w:val="0"/>
                <w:szCs w:val="21"/>
              </w:rPr>
              <w:t>部门预决算和三公经费决算公开</w:t>
            </w:r>
          </w:p>
        </w:tc>
      </w:tr>
      <w:tr w14:paraId="783F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2" w:hRule="atLeast"/>
          <w:jc w:val="center"/>
        </w:trPr>
        <w:tc>
          <w:tcPr>
            <w:tcW w:w="2500" w:type="dxa"/>
            <w:vMerge w:val="restart"/>
            <w:tcBorders>
              <w:top w:val="single" w:color="auto" w:sz="4" w:space="0"/>
              <w:left w:val="single" w:color="auto" w:sz="4" w:space="0"/>
              <w:bottom w:val="single" w:color="auto" w:sz="4" w:space="0"/>
              <w:right w:val="single" w:color="auto" w:sz="4" w:space="0"/>
            </w:tcBorders>
            <w:noWrap w:val="0"/>
            <w:vAlign w:val="center"/>
          </w:tcPr>
          <w:p w14:paraId="669EE564">
            <w:pPr>
              <w:widowControl/>
              <w:spacing w:line="560" w:lineRule="exact"/>
              <w:jc w:val="center"/>
              <w:rPr>
                <w:kern w:val="0"/>
                <w:szCs w:val="21"/>
              </w:rPr>
            </w:pPr>
            <w:r>
              <w:rPr>
                <w:kern w:val="0"/>
                <w:szCs w:val="21"/>
              </w:rPr>
              <w:t>单位自评情况分析及</w:t>
            </w:r>
            <w:r>
              <w:rPr>
                <w:rFonts w:hint="eastAsia"/>
                <w:kern w:val="0"/>
                <w:szCs w:val="21"/>
              </w:rPr>
              <w:t xml:space="preserve">  </w:t>
            </w:r>
            <w:r>
              <w:rPr>
                <w:kern w:val="0"/>
                <w:szCs w:val="21"/>
              </w:rPr>
              <w:t>结论</w:t>
            </w:r>
          </w:p>
        </w:tc>
        <w:tc>
          <w:tcPr>
            <w:tcW w:w="7140" w:type="dxa"/>
            <w:gridSpan w:val="5"/>
            <w:tcBorders>
              <w:top w:val="single" w:color="auto" w:sz="4" w:space="0"/>
              <w:left w:val="single" w:color="auto" w:sz="4" w:space="0"/>
              <w:bottom w:val="single" w:color="auto" w:sz="4" w:space="0"/>
              <w:right w:val="single" w:color="auto" w:sz="4" w:space="0"/>
            </w:tcBorders>
            <w:noWrap w:val="0"/>
            <w:vAlign w:val="top"/>
          </w:tcPr>
          <w:p w14:paraId="372B16DD">
            <w:pPr>
              <w:widowControl/>
              <w:spacing w:line="360" w:lineRule="auto"/>
              <w:jc w:val="left"/>
              <w:rPr>
                <w:rFonts w:hint="eastAsia"/>
                <w:kern w:val="0"/>
                <w:szCs w:val="21"/>
              </w:rPr>
            </w:pPr>
            <w:r>
              <w:rPr>
                <w:rFonts w:hint="eastAsia"/>
                <w:kern w:val="0"/>
                <w:szCs w:val="21"/>
                <w:lang w:val="en-US" w:eastAsia="zh-CN"/>
              </w:rPr>
              <w:t>1、</w:t>
            </w:r>
            <w:r>
              <w:rPr>
                <w:rFonts w:hint="eastAsia"/>
                <w:kern w:val="0"/>
                <w:szCs w:val="21"/>
              </w:rPr>
              <w:t>支出情况分析：</w:t>
            </w:r>
          </w:p>
          <w:p w14:paraId="489AFD82">
            <w:pPr>
              <w:widowControl/>
              <w:spacing w:line="360" w:lineRule="auto"/>
              <w:jc w:val="left"/>
              <w:rPr>
                <w:rFonts w:hint="eastAsia"/>
                <w:kern w:val="0"/>
                <w:szCs w:val="21"/>
              </w:rPr>
            </w:pPr>
            <w:r>
              <w:rPr>
                <w:rFonts w:hint="eastAsia"/>
                <w:kern w:val="0"/>
                <w:szCs w:val="21"/>
              </w:rPr>
              <w:t>本年度总支出为</w:t>
            </w:r>
            <w:r>
              <w:rPr>
                <w:rFonts w:hint="eastAsia"/>
                <w:kern w:val="0"/>
                <w:szCs w:val="21"/>
                <w:lang w:val="en-US" w:eastAsia="zh-CN"/>
              </w:rPr>
              <w:t>2931.05</w:t>
            </w:r>
            <w:r>
              <w:rPr>
                <w:rFonts w:hint="eastAsia"/>
                <w:kern w:val="0"/>
                <w:szCs w:val="21"/>
              </w:rPr>
              <w:t>万元</w:t>
            </w:r>
            <w:r>
              <w:rPr>
                <w:rFonts w:hint="eastAsia"/>
                <w:kern w:val="0"/>
                <w:szCs w:val="21"/>
                <w:lang w:eastAsia="zh-CN"/>
              </w:rPr>
              <w:t>。</w:t>
            </w:r>
          </w:p>
          <w:p w14:paraId="06FF8D44">
            <w:pPr>
              <w:widowControl/>
              <w:spacing w:line="360" w:lineRule="auto"/>
              <w:jc w:val="left"/>
              <w:rPr>
                <w:rFonts w:hint="eastAsia"/>
                <w:kern w:val="0"/>
                <w:szCs w:val="21"/>
                <w:highlight w:val="none"/>
                <w:lang w:eastAsia="zh-CN"/>
              </w:rPr>
            </w:pPr>
            <w:r>
              <w:rPr>
                <w:rFonts w:hint="eastAsia"/>
                <w:kern w:val="0"/>
                <w:szCs w:val="21"/>
                <w:lang w:eastAsia="zh-CN"/>
              </w:rPr>
              <w:t>按</w:t>
            </w:r>
            <w:r>
              <w:rPr>
                <w:rFonts w:hint="eastAsia"/>
                <w:kern w:val="0"/>
                <w:szCs w:val="21"/>
              </w:rPr>
              <w:t>支出结构分析</w:t>
            </w:r>
            <w:r>
              <w:rPr>
                <w:rFonts w:hint="eastAsia"/>
                <w:kern w:val="0"/>
                <w:szCs w:val="21"/>
                <w:lang w:eastAsia="zh-CN"/>
              </w:rPr>
              <w:t>：</w:t>
            </w:r>
            <w:r>
              <w:rPr>
                <w:rFonts w:hint="eastAsia"/>
                <w:kern w:val="0"/>
                <w:szCs w:val="21"/>
                <w:highlight w:val="none"/>
              </w:rPr>
              <w:t>人员经费</w:t>
            </w:r>
            <w:r>
              <w:rPr>
                <w:rFonts w:hint="eastAsia"/>
                <w:kern w:val="0"/>
                <w:szCs w:val="21"/>
                <w:highlight w:val="none"/>
                <w:lang w:val="en-US" w:eastAsia="zh-CN"/>
              </w:rPr>
              <w:t>1034.32</w:t>
            </w:r>
            <w:r>
              <w:rPr>
                <w:rFonts w:hint="eastAsia"/>
                <w:kern w:val="0"/>
                <w:szCs w:val="21"/>
                <w:highlight w:val="none"/>
              </w:rPr>
              <w:t>万元，占总支出的</w:t>
            </w:r>
            <w:r>
              <w:rPr>
                <w:rFonts w:hint="eastAsia"/>
                <w:kern w:val="0"/>
                <w:szCs w:val="21"/>
                <w:highlight w:val="none"/>
                <w:lang w:val="en-US" w:eastAsia="zh-CN"/>
              </w:rPr>
              <w:t>35.29</w:t>
            </w:r>
            <w:r>
              <w:rPr>
                <w:rFonts w:hint="eastAsia"/>
                <w:kern w:val="0"/>
                <w:szCs w:val="21"/>
                <w:highlight w:val="none"/>
              </w:rPr>
              <w:t>%，公用经费</w:t>
            </w:r>
            <w:r>
              <w:rPr>
                <w:rFonts w:hint="eastAsia"/>
                <w:kern w:val="0"/>
                <w:szCs w:val="21"/>
                <w:highlight w:val="none"/>
                <w:lang w:val="en-US" w:eastAsia="zh-CN"/>
              </w:rPr>
              <w:t>1408.25</w:t>
            </w:r>
            <w:r>
              <w:rPr>
                <w:rFonts w:hint="eastAsia"/>
                <w:kern w:val="0"/>
                <w:szCs w:val="21"/>
                <w:highlight w:val="none"/>
              </w:rPr>
              <w:t>万元，占总支出的</w:t>
            </w:r>
            <w:r>
              <w:rPr>
                <w:rFonts w:hint="eastAsia"/>
                <w:kern w:val="0"/>
                <w:szCs w:val="21"/>
                <w:highlight w:val="none"/>
                <w:lang w:val="en-US" w:eastAsia="zh-CN"/>
              </w:rPr>
              <w:t>48.05</w:t>
            </w:r>
            <w:r>
              <w:rPr>
                <w:rFonts w:hint="eastAsia"/>
                <w:kern w:val="0"/>
                <w:szCs w:val="21"/>
                <w:highlight w:val="none"/>
              </w:rPr>
              <w:t>%</w:t>
            </w:r>
            <w:r>
              <w:rPr>
                <w:rFonts w:hint="eastAsia"/>
                <w:kern w:val="0"/>
                <w:szCs w:val="21"/>
                <w:highlight w:val="none"/>
                <w:lang w:eastAsia="zh-CN"/>
              </w:rPr>
              <w:t>。</w:t>
            </w:r>
          </w:p>
          <w:p w14:paraId="5558A9F6">
            <w:pPr>
              <w:widowControl/>
              <w:spacing w:line="360" w:lineRule="auto"/>
              <w:jc w:val="left"/>
              <w:rPr>
                <w:rFonts w:hint="eastAsia"/>
                <w:kern w:val="0"/>
                <w:szCs w:val="21"/>
                <w:highlight w:val="none"/>
              </w:rPr>
            </w:pPr>
            <w:r>
              <w:rPr>
                <w:rFonts w:hint="eastAsia"/>
                <w:kern w:val="0"/>
                <w:szCs w:val="21"/>
              </w:rPr>
              <w:t>按经济分类</w:t>
            </w:r>
            <w:r>
              <w:rPr>
                <w:rFonts w:hint="eastAsia"/>
                <w:kern w:val="0"/>
                <w:szCs w:val="21"/>
                <w:lang w:eastAsia="zh-CN"/>
              </w:rPr>
              <w:t>分析：</w:t>
            </w:r>
            <w:r>
              <w:rPr>
                <w:rFonts w:hint="eastAsia"/>
                <w:kern w:val="0"/>
                <w:szCs w:val="21"/>
                <w:highlight w:val="none"/>
              </w:rPr>
              <w:t>人员工资及社会保障支出</w:t>
            </w:r>
            <w:r>
              <w:rPr>
                <w:rFonts w:hint="eastAsia"/>
                <w:kern w:val="0"/>
                <w:szCs w:val="21"/>
                <w:highlight w:val="none"/>
                <w:lang w:val="en-US" w:eastAsia="zh-CN"/>
              </w:rPr>
              <w:t>845.78</w:t>
            </w:r>
            <w:r>
              <w:rPr>
                <w:rFonts w:hint="eastAsia"/>
                <w:kern w:val="0"/>
                <w:szCs w:val="21"/>
                <w:highlight w:val="none"/>
              </w:rPr>
              <w:t>万元，此项支出占总支出的</w:t>
            </w:r>
            <w:r>
              <w:rPr>
                <w:rFonts w:hint="eastAsia"/>
                <w:kern w:val="0"/>
                <w:szCs w:val="21"/>
                <w:highlight w:val="none"/>
                <w:lang w:val="en-US" w:eastAsia="zh-CN"/>
              </w:rPr>
              <w:t>28.86</w:t>
            </w:r>
            <w:r>
              <w:rPr>
                <w:rFonts w:hint="eastAsia"/>
                <w:kern w:val="0"/>
                <w:szCs w:val="21"/>
                <w:highlight w:val="none"/>
              </w:rPr>
              <w:t>%。商品和服务支出</w:t>
            </w:r>
            <w:r>
              <w:rPr>
                <w:rFonts w:hint="eastAsia"/>
                <w:kern w:val="0"/>
                <w:szCs w:val="21"/>
                <w:highlight w:val="none"/>
                <w:lang w:val="en-US" w:eastAsia="zh-CN"/>
              </w:rPr>
              <w:t>1408.25</w:t>
            </w:r>
            <w:r>
              <w:rPr>
                <w:rFonts w:hint="eastAsia"/>
                <w:kern w:val="0"/>
                <w:szCs w:val="21"/>
                <w:highlight w:val="none"/>
              </w:rPr>
              <w:t>万元，此项支出占总支出的</w:t>
            </w:r>
            <w:r>
              <w:rPr>
                <w:rFonts w:hint="eastAsia"/>
                <w:kern w:val="0"/>
                <w:szCs w:val="21"/>
                <w:highlight w:val="none"/>
                <w:lang w:val="en-US" w:eastAsia="zh-CN"/>
              </w:rPr>
              <w:t>48.05</w:t>
            </w:r>
            <w:r>
              <w:rPr>
                <w:rFonts w:hint="eastAsia"/>
                <w:kern w:val="0"/>
                <w:szCs w:val="21"/>
                <w:highlight w:val="none"/>
              </w:rPr>
              <w:t>%，对个人和家庭的补助支出</w:t>
            </w:r>
            <w:r>
              <w:rPr>
                <w:rFonts w:hint="eastAsia"/>
                <w:kern w:val="0"/>
                <w:szCs w:val="21"/>
                <w:highlight w:val="none"/>
                <w:lang w:val="en-US" w:eastAsia="zh-CN"/>
              </w:rPr>
              <w:t>188.54</w:t>
            </w:r>
            <w:r>
              <w:rPr>
                <w:rFonts w:hint="eastAsia"/>
                <w:kern w:val="0"/>
                <w:szCs w:val="21"/>
                <w:highlight w:val="none"/>
              </w:rPr>
              <w:t>万元，占总支出的</w:t>
            </w:r>
            <w:r>
              <w:rPr>
                <w:rFonts w:hint="eastAsia"/>
                <w:kern w:val="0"/>
                <w:szCs w:val="21"/>
                <w:highlight w:val="none"/>
                <w:lang w:val="en-US" w:eastAsia="zh-CN"/>
              </w:rPr>
              <w:t>6.43</w:t>
            </w:r>
            <w:r>
              <w:rPr>
                <w:rFonts w:hint="eastAsia"/>
                <w:kern w:val="0"/>
                <w:szCs w:val="21"/>
                <w:highlight w:val="none"/>
              </w:rPr>
              <w:t>%</w:t>
            </w:r>
            <w:r>
              <w:rPr>
                <w:rFonts w:hint="eastAsia"/>
                <w:kern w:val="0"/>
                <w:szCs w:val="21"/>
                <w:highlight w:val="none"/>
                <w:lang w:eastAsia="zh-CN"/>
              </w:rPr>
              <w:t>。</w:t>
            </w:r>
          </w:p>
          <w:p w14:paraId="6A5C1809">
            <w:pPr>
              <w:spacing w:line="560" w:lineRule="exact"/>
              <w:rPr>
                <w:kern w:val="0"/>
                <w:sz w:val="24"/>
              </w:rPr>
            </w:pPr>
          </w:p>
          <w:p w14:paraId="7668B4BF">
            <w:pPr>
              <w:spacing w:line="560" w:lineRule="exact"/>
              <w:rPr>
                <w:kern w:val="0"/>
                <w:sz w:val="24"/>
              </w:rPr>
            </w:pPr>
          </w:p>
          <w:p w14:paraId="575B049E">
            <w:pPr>
              <w:spacing w:line="560" w:lineRule="exact"/>
              <w:rPr>
                <w:kern w:val="0"/>
                <w:sz w:val="24"/>
              </w:rPr>
            </w:pPr>
          </w:p>
          <w:p w14:paraId="3FF82FD1">
            <w:pPr>
              <w:spacing w:line="560" w:lineRule="exact"/>
              <w:rPr>
                <w:kern w:val="0"/>
                <w:sz w:val="24"/>
              </w:rPr>
            </w:pPr>
          </w:p>
          <w:p w14:paraId="28B93AB9">
            <w:pPr>
              <w:spacing w:line="560" w:lineRule="exact"/>
              <w:rPr>
                <w:kern w:val="0"/>
                <w:sz w:val="24"/>
              </w:rPr>
            </w:pPr>
          </w:p>
          <w:p w14:paraId="6D924C5E">
            <w:pPr>
              <w:spacing w:line="560" w:lineRule="exact"/>
              <w:rPr>
                <w:kern w:val="0"/>
                <w:sz w:val="24"/>
              </w:rPr>
            </w:pPr>
          </w:p>
        </w:tc>
      </w:tr>
      <w:tr w14:paraId="4FA72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8" w:hRule="atLeast"/>
          <w:jc w:val="center"/>
        </w:trPr>
        <w:tc>
          <w:tcPr>
            <w:tcW w:w="2500" w:type="dxa"/>
            <w:vMerge w:val="continue"/>
            <w:tcBorders>
              <w:top w:val="single" w:color="auto" w:sz="4" w:space="0"/>
              <w:left w:val="single" w:color="auto" w:sz="4" w:space="0"/>
              <w:bottom w:val="single" w:color="auto" w:sz="4" w:space="0"/>
              <w:right w:val="single" w:color="auto" w:sz="4" w:space="0"/>
            </w:tcBorders>
            <w:noWrap w:val="0"/>
            <w:vAlign w:val="center"/>
          </w:tcPr>
          <w:p w14:paraId="7405CBA9"/>
        </w:tc>
        <w:tc>
          <w:tcPr>
            <w:tcW w:w="7140" w:type="dxa"/>
            <w:gridSpan w:val="5"/>
            <w:tcBorders>
              <w:top w:val="single" w:color="auto" w:sz="4" w:space="0"/>
              <w:left w:val="single" w:color="auto" w:sz="4" w:space="0"/>
              <w:bottom w:val="single" w:color="auto" w:sz="4" w:space="0"/>
              <w:right w:val="single" w:color="auto" w:sz="4" w:space="0"/>
            </w:tcBorders>
            <w:noWrap w:val="0"/>
            <w:vAlign w:val="top"/>
          </w:tcPr>
          <w:p w14:paraId="1627D7E6">
            <w:pPr>
              <w:numPr>
                <w:ilvl w:val="0"/>
                <w:numId w:val="0"/>
              </w:numPr>
              <w:spacing w:line="560" w:lineRule="exact"/>
              <w:ind w:leftChars="0"/>
              <w:rPr>
                <w:kern w:val="0"/>
                <w:sz w:val="24"/>
              </w:rPr>
            </w:pPr>
            <w:r>
              <w:rPr>
                <w:rFonts w:hint="eastAsia"/>
                <w:kern w:val="0"/>
                <w:szCs w:val="21"/>
                <w:lang w:val="en-US" w:eastAsia="zh-CN"/>
              </w:rPr>
              <w:t>2、</w:t>
            </w:r>
            <w:r>
              <w:rPr>
                <w:rFonts w:hint="eastAsia"/>
                <w:kern w:val="0"/>
                <w:szCs w:val="21"/>
              </w:rPr>
              <w:t>绩效目标完成情况分析：</w:t>
            </w:r>
            <w:r>
              <w:rPr>
                <w:rFonts w:hint="eastAsia"/>
                <w:kern w:val="0"/>
                <w:szCs w:val="21"/>
                <w:lang w:eastAsia="zh-CN"/>
              </w:rPr>
              <w:t>严格按年初预算及涉农资金使用规定执行，确保每一笔资金的使用能安全、合法；按时完成县财政布置的各项工作任务；努力完成县下达的财政目标收入任务；及时调度资金、安全使用资金，</w:t>
            </w:r>
            <w:r>
              <w:rPr>
                <w:rFonts w:hint="eastAsia"/>
                <w:kern w:val="0"/>
                <w:szCs w:val="21"/>
              </w:rPr>
              <w:t>确保</w:t>
            </w:r>
            <w:r>
              <w:rPr>
                <w:rFonts w:hint="eastAsia"/>
                <w:kern w:val="0"/>
                <w:szCs w:val="21"/>
                <w:lang w:eastAsia="zh-CN"/>
              </w:rPr>
              <w:t>政府</w:t>
            </w:r>
            <w:r>
              <w:rPr>
                <w:rFonts w:hint="eastAsia"/>
                <w:kern w:val="0"/>
                <w:szCs w:val="21"/>
              </w:rPr>
              <w:t>机构正常运</w:t>
            </w:r>
            <w:r>
              <w:rPr>
                <w:rFonts w:hint="eastAsia"/>
                <w:kern w:val="0"/>
                <w:szCs w:val="21"/>
                <w:lang w:eastAsia="zh-CN"/>
              </w:rPr>
              <w:t>行</w:t>
            </w:r>
            <w:r>
              <w:rPr>
                <w:rFonts w:hint="eastAsia"/>
                <w:kern w:val="0"/>
                <w:szCs w:val="21"/>
              </w:rPr>
              <w:t>。</w:t>
            </w:r>
          </w:p>
        </w:tc>
      </w:tr>
      <w:tr w14:paraId="11372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jc w:val="center"/>
        </w:trPr>
        <w:tc>
          <w:tcPr>
            <w:tcW w:w="2500" w:type="dxa"/>
            <w:vMerge w:val="continue"/>
            <w:tcBorders>
              <w:top w:val="single" w:color="auto" w:sz="4" w:space="0"/>
              <w:left w:val="single" w:color="auto" w:sz="4" w:space="0"/>
              <w:bottom w:val="single" w:color="auto" w:sz="4" w:space="0"/>
              <w:right w:val="single" w:color="auto" w:sz="4" w:space="0"/>
            </w:tcBorders>
            <w:noWrap w:val="0"/>
            <w:vAlign w:val="center"/>
          </w:tcPr>
          <w:p w14:paraId="5E4E4109"/>
        </w:tc>
        <w:tc>
          <w:tcPr>
            <w:tcW w:w="7140" w:type="dxa"/>
            <w:gridSpan w:val="5"/>
            <w:tcBorders>
              <w:top w:val="single" w:color="auto" w:sz="4" w:space="0"/>
              <w:left w:val="single" w:color="auto" w:sz="4" w:space="0"/>
              <w:bottom w:val="single" w:color="auto" w:sz="4" w:space="0"/>
              <w:right w:val="single" w:color="auto" w:sz="4" w:space="0"/>
            </w:tcBorders>
            <w:noWrap w:val="0"/>
            <w:vAlign w:val="top"/>
          </w:tcPr>
          <w:p w14:paraId="42A90817">
            <w:pPr>
              <w:numPr>
                <w:ilvl w:val="0"/>
                <w:numId w:val="0"/>
              </w:numPr>
              <w:spacing w:line="560" w:lineRule="exact"/>
              <w:ind w:leftChars="0"/>
              <w:rPr>
                <w:kern w:val="0"/>
                <w:sz w:val="24"/>
              </w:rPr>
            </w:pPr>
            <w:r>
              <w:rPr>
                <w:rFonts w:hint="eastAsia"/>
                <w:kern w:val="0"/>
                <w:szCs w:val="21"/>
                <w:lang w:val="en-US" w:eastAsia="zh-CN"/>
              </w:rPr>
              <w:t>3、</w:t>
            </w:r>
            <w:r>
              <w:rPr>
                <w:rFonts w:hint="eastAsia"/>
                <w:kern w:val="0"/>
                <w:szCs w:val="21"/>
              </w:rPr>
              <w:t>自我评价结论：</w:t>
            </w:r>
            <w:r>
              <w:rPr>
                <w:rFonts w:hint="eastAsia"/>
                <w:kern w:val="0"/>
                <w:szCs w:val="21"/>
                <w:lang w:eastAsia="zh-CN"/>
              </w:rPr>
              <w:t>进一步</w:t>
            </w:r>
            <w:r>
              <w:rPr>
                <w:rFonts w:hint="eastAsia"/>
                <w:kern w:val="0"/>
                <w:szCs w:val="21"/>
              </w:rPr>
              <w:t>加强</w:t>
            </w:r>
            <w:r>
              <w:rPr>
                <w:rFonts w:hint="eastAsia"/>
                <w:kern w:val="0"/>
                <w:szCs w:val="21"/>
                <w:lang w:eastAsia="zh-CN"/>
              </w:rPr>
              <w:t>了财政资金、涉农资金的监管</w:t>
            </w:r>
            <w:r>
              <w:rPr>
                <w:rFonts w:hint="eastAsia"/>
                <w:kern w:val="0"/>
                <w:szCs w:val="21"/>
              </w:rPr>
              <w:t>；</w:t>
            </w:r>
            <w:r>
              <w:rPr>
                <w:rFonts w:hint="eastAsia"/>
                <w:kern w:val="0"/>
                <w:szCs w:val="21"/>
                <w:lang w:eastAsia="zh-CN"/>
              </w:rPr>
              <w:t>进一步加强了资金使用上的合法性、合规性，确保每一笔资金的安全；严格了资金报账手续、程序，确保报账资料手续齐全、资料全面、支出准确；进一步加强了各项资金使用的政策宣传，确保资金使用专款专用；进一步加强财政政策的学习</w:t>
            </w:r>
            <w:r>
              <w:rPr>
                <w:rFonts w:hint="eastAsia"/>
                <w:kern w:val="0"/>
                <w:szCs w:val="21"/>
              </w:rPr>
              <w:t>，增强</w:t>
            </w:r>
            <w:r>
              <w:rPr>
                <w:rFonts w:hint="eastAsia"/>
                <w:kern w:val="0"/>
                <w:szCs w:val="21"/>
                <w:lang w:eastAsia="zh-CN"/>
              </w:rPr>
              <w:t>了</w:t>
            </w:r>
            <w:r>
              <w:rPr>
                <w:rFonts w:hint="eastAsia"/>
                <w:kern w:val="0"/>
                <w:szCs w:val="21"/>
              </w:rPr>
              <w:t>服务意识，做好服务工作</w:t>
            </w:r>
            <w:r>
              <w:rPr>
                <w:rFonts w:hint="eastAsia"/>
                <w:kern w:val="0"/>
                <w:szCs w:val="21"/>
                <w:lang w:eastAsia="zh-CN"/>
              </w:rPr>
              <w:t>。</w:t>
            </w:r>
          </w:p>
        </w:tc>
      </w:tr>
      <w:tr w14:paraId="36D2D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jc w:val="center"/>
        </w:trPr>
        <w:tc>
          <w:tcPr>
            <w:tcW w:w="2500" w:type="dxa"/>
            <w:tcBorders>
              <w:top w:val="single" w:color="auto" w:sz="4" w:space="0"/>
              <w:left w:val="single" w:color="auto" w:sz="4" w:space="0"/>
              <w:bottom w:val="single" w:color="auto" w:sz="4" w:space="0"/>
              <w:right w:val="single" w:color="auto" w:sz="4" w:space="0"/>
            </w:tcBorders>
            <w:noWrap w:val="0"/>
            <w:vAlign w:val="center"/>
          </w:tcPr>
          <w:p w14:paraId="3EC41BC6">
            <w:pPr>
              <w:widowControl/>
              <w:spacing w:line="560" w:lineRule="exact"/>
              <w:jc w:val="center"/>
              <w:rPr>
                <w:kern w:val="0"/>
                <w:szCs w:val="21"/>
              </w:rPr>
            </w:pPr>
            <w:r>
              <w:rPr>
                <w:kern w:val="0"/>
                <w:szCs w:val="21"/>
              </w:rPr>
              <w:t>存在的问题</w:t>
            </w:r>
          </w:p>
        </w:tc>
        <w:tc>
          <w:tcPr>
            <w:tcW w:w="7140" w:type="dxa"/>
            <w:gridSpan w:val="5"/>
            <w:tcBorders>
              <w:top w:val="single" w:color="auto" w:sz="4" w:space="0"/>
              <w:left w:val="single" w:color="auto" w:sz="4" w:space="0"/>
              <w:bottom w:val="single" w:color="auto" w:sz="4" w:space="0"/>
              <w:right w:val="single" w:color="auto" w:sz="4" w:space="0"/>
            </w:tcBorders>
            <w:noWrap w:val="0"/>
            <w:vAlign w:val="bottom"/>
          </w:tcPr>
          <w:p w14:paraId="218955A1">
            <w:pPr>
              <w:numPr>
                <w:ilvl w:val="0"/>
                <w:numId w:val="0"/>
              </w:numPr>
              <w:spacing w:line="560" w:lineRule="exact"/>
              <w:ind w:leftChars="0"/>
              <w:rPr>
                <w:rFonts w:hint="eastAsia"/>
                <w:kern w:val="0"/>
                <w:szCs w:val="21"/>
                <w:lang w:eastAsia="zh-CN"/>
              </w:rPr>
            </w:pPr>
            <w:r>
              <w:rPr>
                <w:rFonts w:hint="eastAsia"/>
                <w:kern w:val="0"/>
                <w:szCs w:val="21"/>
                <w:lang w:val="en-US" w:eastAsia="zh-CN"/>
              </w:rPr>
              <w:t>1、</w:t>
            </w:r>
            <w:r>
              <w:rPr>
                <w:rFonts w:hint="eastAsia"/>
                <w:kern w:val="0"/>
                <w:szCs w:val="21"/>
                <w:lang w:eastAsia="zh-CN"/>
              </w:rPr>
              <w:t>支出口子大，无财力支撑，每年财政赤字大。</w:t>
            </w:r>
          </w:p>
          <w:p w14:paraId="35D2D4D4">
            <w:pPr>
              <w:numPr>
                <w:ilvl w:val="0"/>
                <w:numId w:val="0"/>
              </w:numPr>
              <w:spacing w:line="560" w:lineRule="exact"/>
              <w:ind w:leftChars="0"/>
              <w:rPr>
                <w:kern w:val="0"/>
                <w:sz w:val="24"/>
              </w:rPr>
            </w:pPr>
            <w:r>
              <w:rPr>
                <w:rFonts w:hint="eastAsia"/>
                <w:kern w:val="0"/>
                <w:szCs w:val="21"/>
                <w:lang w:val="en-US" w:eastAsia="zh-CN"/>
              </w:rPr>
              <w:t>2、财政收入目标任务压力大，无税源支撑，目标任务难以完成。</w:t>
            </w:r>
          </w:p>
        </w:tc>
      </w:tr>
      <w:tr w14:paraId="7749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2500" w:type="dxa"/>
            <w:tcBorders>
              <w:top w:val="single" w:color="auto" w:sz="4" w:space="0"/>
              <w:left w:val="single" w:color="auto" w:sz="4" w:space="0"/>
              <w:bottom w:val="single" w:color="auto" w:sz="4" w:space="0"/>
              <w:right w:val="single" w:color="auto" w:sz="4" w:space="0"/>
            </w:tcBorders>
            <w:noWrap w:val="0"/>
            <w:vAlign w:val="center"/>
          </w:tcPr>
          <w:p w14:paraId="6C8C9B79">
            <w:pPr>
              <w:widowControl/>
              <w:spacing w:line="560" w:lineRule="exact"/>
              <w:jc w:val="center"/>
              <w:rPr>
                <w:kern w:val="0"/>
                <w:szCs w:val="21"/>
              </w:rPr>
            </w:pPr>
            <w:r>
              <w:rPr>
                <w:kern w:val="0"/>
                <w:szCs w:val="21"/>
              </w:rPr>
              <w:t>改进措施与建议</w:t>
            </w:r>
          </w:p>
        </w:tc>
        <w:tc>
          <w:tcPr>
            <w:tcW w:w="7140" w:type="dxa"/>
            <w:gridSpan w:val="5"/>
            <w:tcBorders>
              <w:top w:val="single" w:color="auto" w:sz="4" w:space="0"/>
              <w:left w:val="single" w:color="auto" w:sz="4" w:space="0"/>
              <w:bottom w:val="single" w:color="auto" w:sz="4" w:space="0"/>
              <w:right w:val="single" w:color="auto" w:sz="4" w:space="0"/>
            </w:tcBorders>
            <w:noWrap w:val="0"/>
            <w:vAlign w:val="bottom"/>
          </w:tcPr>
          <w:p w14:paraId="4C71C391">
            <w:pPr>
              <w:spacing w:line="560" w:lineRule="exact"/>
              <w:jc w:val="both"/>
              <w:rPr>
                <w:kern w:val="0"/>
                <w:sz w:val="24"/>
              </w:rPr>
            </w:pPr>
            <w:r>
              <w:rPr>
                <w:rFonts w:hint="eastAsia"/>
                <w:kern w:val="0"/>
                <w:szCs w:val="21"/>
                <w:lang w:eastAsia="zh-CN"/>
              </w:rPr>
              <w:t>建议县财政局资金能够多倾斜大乡镇（如我镇环境卫生整治这一块就没有资金支撑，每年几百万的支出无资金来源）</w:t>
            </w:r>
          </w:p>
        </w:tc>
      </w:tr>
      <w:tr w14:paraId="2997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2500" w:type="dxa"/>
            <w:tcBorders>
              <w:top w:val="single" w:color="auto" w:sz="4" w:space="0"/>
              <w:left w:val="single" w:color="auto" w:sz="4" w:space="0"/>
              <w:bottom w:val="single" w:color="auto" w:sz="4" w:space="0"/>
              <w:right w:val="single" w:color="auto" w:sz="4" w:space="0"/>
            </w:tcBorders>
            <w:noWrap w:val="0"/>
            <w:vAlign w:val="center"/>
          </w:tcPr>
          <w:p w14:paraId="6B9C78E6">
            <w:pPr>
              <w:widowControl/>
              <w:spacing w:line="560" w:lineRule="exact"/>
              <w:jc w:val="center"/>
              <w:rPr>
                <w:kern w:val="0"/>
                <w:szCs w:val="21"/>
              </w:rPr>
            </w:pPr>
            <w:r>
              <w:rPr>
                <w:rFonts w:hint="eastAsia"/>
                <w:kern w:val="0"/>
                <w:szCs w:val="21"/>
              </w:rPr>
              <w:t>归口管理业务股室</w:t>
            </w:r>
            <w:r>
              <w:rPr>
                <w:kern w:val="0"/>
                <w:szCs w:val="21"/>
              </w:rPr>
              <w:t>审核意见</w:t>
            </w:r>
          </w:p>
        </w:tc>
        <w:tc>
          <w:tcPr>
            <w:tcW w:w="7140" w:type="dxa"/>
            <w:gridSpan w:val="5"/>
            <w:tcBorders>
              <w:top w:val="single" w:color="auto" w:sz="4" w:space="0"/>
              <w:left w:val="single" w:color="auto" w:sz="4" w:space="0"/>
              <w:bottom w:val="single" w:color="auto" w:sz="4" w:space="0"/>
              <w:right w:val="single" w:color="auto" w:sz="4" w:space="0"/>
            </w:tcBorders>
            <w:noWrap w:val="0"/>
            <w:vAlign w:val="bottom"/>
          </w:tcPr>
          <w:p w14:paraId="75BE22AF">
            <w:pPr>
              <w:spacing w:line="560" w:lineRule="exact"/>
              <w:ind w:firstLine="4680" w:firstLineChars="1950"/>
              <w:jc w:val="right"/>
              <w:rPr>
                <w:kern w:val="0"/>
                <w:szCs w:val="21"/>
              </w:rPr>
            </w:pPr>
            <w:r>
              <w:rPr>
                <w:kern w:val="0"/>
                <w:sz w:val="24"/>
              </w:rPr>
              <w:t xml:space="preserve">（盖章）                                     </w:t>
            </w:r>
            <w:r>
              <w:rPr>
                <w:kern w:val="0"/>
                <w:sz w:val="24"/>
              </w:rPr>
              <w:br w:type="textWrapping"/>
            </w:r>
            <w:r>
              <w:rPr>
                <w:kern w:val="0"/>
                <w:sz w:val="24"/>
              </w:rPr>
              <w:t xml:space="preserve">                                        年    月    日</w:t>
            </w:r>
          </w:p>
        </w:tc>
      </w:tr>
    </w:tbl>
    <w:p w14:paraId="64733CC9">
      <w:pPr>
        <w:widowControl/>
        <w:tabs>
          <w:tab w:val="left" w:pos="1333"/>
          <w:tab w:val="left" w:pos="3793"/>
          <w:tab w:val="left" w:pos="5853"/>
        </w:tabs>
        <w:spacing w:line="560" w:lineRule="exact"/>
        <w:jc w:val="left"/>
        <w:rPr>
          <w:rFonts w:hint="default" w:eastAsia="宋体"/>
          <w:lang w:val="en-US" w:eastAsia="zh-CN"/>
        </w:rPr>
        <w:sectPr>
          <w:footerReference r:id="rId3" w:type="default"/>
          <w:pgSz w:w="11906" w:h="16838"/>
          <w:pgMar w:top="1440" w:right="1797" w:bottom="1440" w:left="1797" w:header="851" w:footer="1474" w:gutter="0"/>
          <w:pgNumType w:fmt="numberInDash"/>
          <w:cols w:space="720" w:num="1"/>
          <w:docGrid w:type="linesAndChars" w:linePitch="312" w:charSpace="0"/>
        </w:sectPr>
      </w:pPr>
      <w:r>
        <w:rPr>
          <w:kern w:val="0"/>
          <w:szCs w:val="21"/>
        </w:rPr>
        <w:t>填报人：</w:t>
      </w:r>
      <w:r>
        <w:rPr>
          <w:rFonts w:hint="eastAsia"/>
          <w:kern w:val="0"/>
          <w:szCs w:val="21"/>
          <w:lang w:val="en-US" w:eastAsia="zh-CN"/>
        </w:rPr>
        <w:t>凌悦</w:t>
      </w:r>
      <w:r>
        <w:rPr>
          <w:kern w:val="0"/>
          <w:szCs w:val="21"/>
        </w:rPr>
        <w:t xml:space="preserve">             联系电话：</w:t>
      </w:r>
      <w:r>
        <w:rPr>
          <w:rFonts w:hint="eastAsia"/>
          <w:kern w:val="0"/>
          <w:szCs w:val="21"/>
          <w:lang w:val="en-US" w:eastAsia="zh-CN"/>
        </w:rPr>
        <w:t xml:space="preserve">    </w:t>
      </w:r>
      <w:r>
        <w:rPr>
          <w:kern w:val="0"/>
          <w:szCs w:val="21"/>
        </w:rPr>
        <w:t xml:space="preserve">    </w:t>
      </w:r>
      <w:r>
        <w:rPr>
          <w:rFonts w:hint="eastAsia"/>
          <w:kern w:val="0"/>
          <w:szCs w:val="21"/>
          <w:lang w:val="en-US" w:eastAsia="zh-CN"/>
        </w:rPr>
        <w:t xml:space="preserve"> </w:t>
      </w:r>
      <w:r>
        <w:rPr>
          <w:kern w:val="0"/>
          <w:szCs w:val="21"/>
        </w:rPr>
        <w:t xml:space="preserve">  填报日期：</w:t>
      </w:r>
      <w:r>
        <w:rPr>
          <w:rFonts w:hint="eastAsia"/>
          <w:lang w:val="en-US" w:eastAsia="zh-CN"/>
        </w:rPr>
        <w:t>2025年11月7日</w:t>
      </w:r>
    </w:p>
    <w:p w14:paraId="44DCC45C">
      <w:pPr>
        <w:spacing w:line="560" w:lineRule="exact"/>
        <w:rPr>
          <w:rFonts w:hint="eastAsia" w:ascii="黑体" w:hAnsi="黑体" w:eastAsia="黑体"/>
          <w:kern w:val="0"/>
          <w:sz w:val="30"/>
          <w:szCs w:val="30"/>
        </w:rPr>
      </w:pPr>
      <w:bookmarkStart w:id="0" w:name="RANGE!A1:H22"/>
      <w:r>
        <w:rPr>
          <w:rFonts w:ascii="黑体" w:hAnsi="黑体" w:eastAsia="黑体"/>
          <w:kern w:val="0"/>
          <w:sz w:val="30"/>
          <w:szCs w:val="30"/>
        </w:rPr>
        <w:t>附件</w:t>
      </w:r>
      <w:bookmarkEnd w:id="0"/>
      <w:r>
        <w:rPr>
          <w:rFonts w:hint="eastAsia" w:ascii="黑体" w:hAnsi="黑体" w:eastAsia="黑体"/>
          <w:kern w:val="0"/>
          <w:sz w:val="30"/>
          <w:szCs w:val="30"/>
        </w:rPr>
        <w:t>4</w:t>
      </w:r>
    </w:p>
    <w:p w14:paraId="44A1E6FA">
      <w:pPr>
        <w:spacing w:line="560" w:lineRule="exact"/>
        <w:jc w:val="center"/>
        <w:rPr>
          <w:rFonts w:eastAsia="方正小标宋简体"/>
          <w:sz w:val="36"/>
          <w:szCs w:val="36"/>
        </w:rPr>
      </w:pPr>
      <w:r>
        <w:rPr>
          <w:rFonts w:eastAsia="方正小标宋简体"/>
          <w:sz w:val="36"/>
          <w:szCs w:val="36"/>
        </w:rPr>
        <w:t>部门整体支出绩效评价指标评分表</w:t>
      </w:r>
    </w:p>
    <w:p w14:paraId="2C05ACAB">
      <w:pPr>
        <w:spacing w:line="560" w:lineRule="exact"/>
        <w:jc w:val="center"/>
        <w:rPr>
          <w:rFonts w:eastAsia="方正小标宋简体"/>
          <w:sz w:val="36"/>
          <w:szCs w:val="36"/>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775"/>
        <w:gridCol w:w="426"/>
        <w:gridCol w:w="1334"/>
        <w:gridCol w:w="794"/>
        <w:gridCol w:w="4140"/>
        <w:gridCol w:w="3432"/>
        <w:gridCol w:w="2107"/>
      </w:tblGrid>
      <w:tr w14:paraId="6A0F2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blHeader/>
          <w:jc w:val="center"/>
        </w:trPr>
        <w:tc>
          <w:tcPr>
            <w:tcW w:w="796" w:type="dxa"/>
            <w:tcBorders>
              <w:top w:val="single" w:color="auto" w:sz="4" w:space="0"/>
              <w:left w:val="single" w:color="auto" w:sz="4" w:space="0"/>
              <w:bottom w:val="single" w:color="auto" w:sz="4" w:space="0"/>
              <w:right w:val="single" w:color="auto" w:sz="4" w:space="0"/>
            </w:tcBorders>
            <w:noWrap w:val="0"/>
            <w:vAlign w:val="center"/>
          </w:tcPr>
          <w:p w14:paraId="7FBA4454">
            <w:pPr>
              <w:widowControl/>
              <w:jc w:val="center"/>
              <w:rPr>
                <w:rFonts w:eastAsia="黑体"/>
                <w:bCs/>
                <w:kern w:val="0"/>
                <w:szCs w:val="21"/>
              </w:rPr>
            </w:pPr>
            <w:r>
              <w:rPr>
                <w:rFonts w:eastAsia="黑体"/>
                <w:bCs/>
                <w:kern w:val="0"/>
                <w:szCs w:val="21"/>
              </w:rPr>
              <w:t>一级指标</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6743603D">
            <w:pPr>
              <w:widowControl/>
              <w:jc w:val="center"/>
              <w:rPr>
                <w:rFonts w:eastAsia="黑体"/>
                <w:bCs/>
                <w:kern w:val="0"/>
                <w:szCs w:val="21"/>
              </w:rPr>
            </w:pPr>
            <w:r>
              <w:rPr>
                <w:rFonts w:eastAsia="黑体"/>
                <w:bCs/>
                <w:kern w:val="0"/>
                <w:szCs w:val="21"/>
              </w:rPr>
              <w:t>二级指标</w:t>
            </w:r>
          </w:p>
        </w:tc>
        <w:tc>
          <w:tcPr>
            <w:tcW w:w="426" w:type="dxa"/>
            <w:tcBorders>
              <w:top w:val="single" w:color="auto" w:sz="4" w:space="0"/>
              <w:left w:val="single" w:color="auto" w:sz="4" w:space="0"/>
              <w:bottom w:val="single" w:color="auto" w:sz="4" w:space="0"/>
              <w:right w:val="single" w:color="auto" w:sz="4" w:space="0"/>
            </w:tcBorders>
            <w:noWrap w:val="0"/>
            <w:vAlign w:val="center"/>
          </w:tcPr>
          <w:p w14:paraId="56DD9A0C">
            <w:pPr>
              <w:widowControl/>
              <w:jc w:val="center"/>
              <w:rPr>
                <w:rFonts w:eastAsia="黑体"/>
                <w:bCs/>
                <w:kern w:val="0"/>
                <w:szCs w:val="21"/>
              </w:rPr>
            </w:pPr>
            <w:r>
              <w:rPr>
                <w:rFonts w:eastAsia="黑体"/>
                <w:bCs/>
                <w:kern w:val="0"/>
                <w:szCs w:val="21"/>
              </w:rPr>
              <w:t>值</w:t>
            </w:r>
          </w:p>
        </w:tc>
        <w:tc>
          <w:tcPr>
            <w:tcW w:w="1334" w:type="dxa"/>
            <w:tcBorders>
              <w:top w:val="single" w:color="auto" w:sz="4" w:space="0"/>
              <w:left w:val="single" w:color="auto" w:sz="4" w:space="0"/>
              <w:bottom w:val="single" w:color="auto" w:sz="4" w:space="0"/>
              <w:right w:val="single" w:color="auto" w:sz="4" w:space="0"/>
            </w:tcBorders>
            <w:noWrap w:val="0"/>
            <w:vAlign w:val="center"/>
          </w:tcPr>
          <w:p w14:paraId="64C8EC6C">
            <w:pPr>
              <w:widowControl/>
              <w:jc w:val="center"/>
              <w:rPr>
                <w:rFonts w:eastAsia="黑体"/>
                <w:bCs/>
                <w:kern w:val="0"/>
                <w:szCs w:val="21"/>
              </w:rPr>
            </w:pPr>
            <w:r>
              <w:rPr>
                <w:rFonts w:eastAsia="黑体"/>
                <w:bCs/>
                <w:kern w:val="0"/>
                <w:szCs w:val="21"/>
              </w:rPr>
              <w:t>三级指标</w:t>
            </w:r>
          </w:p>
        </w:tc>
        <w:tc>
          <w:tcPr>
            <w:tcW w:w="794" w:type="dxa"/>
            <w:tcBorders>
              <w:top w:val="single" w:color="auto" w:sz="4" w:space="0"/>
              <w:left w:val="single" w:color="auto" w:sz="4" w:space="0"/>
              <w:bottom w:val="single" w:color="auto" w:sz="4" w:space="0"/>
              <w:right w:val="single" w:color="auto" w:sz="4" w:space="0"/>
            </w:tcBorders>
            <w:noWrap w:val="0"/>
            <w:vAlign w:val="center"/>
          </w:tcPr>
          <w:p w14:paraId="7902C317">
            <w:pPr>
              <w:widowControl/>
              <w:jc w:val="center"/>
              <w:rPr>
                <w:rFonts w:eastAsia="黑体"/>
                <w:bCs/>
                <w:kern w:val="0"/>
                <w:szCs w:val="21"/>
              </w:rPr>
            </w:pPr>
            <w:r>
              <w:rPr>
                <w:rFonts w:eastAsia="黑体"/>
                <w:bCs/>
                <w:kern w:val="0"/>
                <w:szCs w:val="21"/>
              </w:rPr>
              <w:t>分值</w:t>
            </w:r>
          </w:p>
        </w:tc>
        <w:tc>
          <w:tcPr>
            <w:tcW w:w="4140" w:type="dxa"/>
            <w:tcBorders>
              <w:top w:val="single" w:color="auto" w:sz="4" w:space="0"/>
              <w:left w:val="single" w:color="auto" w:sz="4" w:space="0"/>
              <w:bottom w:val="single" w:color="auto" w:sz="4" w:space="0"/>
              <w:right w:val="single" w:color="auto" w:sz="4" w:space="0"/>
            </w:tcBorders>
            <w:noWrap w:val="0"/>
            <w:vAlign w:val="center"/>
          </w:tcPr>
          <w:p w14:paraId="5115A911">
            <w:pPr>
              <w:widowControl/>
              <w:jc w:val="center"/>
              <w:rPr>
                <w:rFonts w:eastAsia="黑体"/>
                <w:bCs/>
                <w:kern w:val="0"/>
                <w:szCs w:val="21"/>
              </w:rPr>
            </w:pPr>
            <w:r>
              <w:rPr>
                <w:rFonts w:eastAsia="黑体"/>
                <w:bCs/>
                <w:kern w:val="0"/>
                <w:szCs w:val="21"/>
              </w:rPr>
              <w:t>评价标准</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5118D0AF">
            <w:pPr>
              <w:widowControl/>
              <w:jc w:val="center"/>
              <w:rPr>
                <w:rFonts w:eastAsia="黑体"/>
                <w:bCs/>
                <w:kern w:val="0"/>
                <w:szCs w:val="21"/>
              </w:rPr>
            </w:pPr>
            <w:r>
              <w:rPr>
                <w:rFonts w:eastAsia="黑体"/>
                <w:bCs/>
                <w:kern w:val="0"/>
                <w:szCs w:val="21"/>
              </w:rPr>
              <w:t>备注</w:t>
            </w:r>
          </w:p>
        </w:tc>
        <w:tc>
          <w:tcPr>
            <w:tcW w:w="2107" w:type="dxa"/>
            <w:tcBorders>
              <w:top w:val="single" w:color="auto" w:sz="4" w:space="0"/>
              <w:left w:val="single" w:color="auto" w:sz="4" w:space="0"/>
              <w:bottom w:val="single" w:color="auto" w:sz="4" w:space="0"/>
              <w:right w:val="single" w:color="auto" w:sz="4" w:space="0"/>
            </w:tcBorders>
            <w:noWrap w:val="0"/>
            <w:vAlign w:val="center"/>
          </w:tcPr>
          <w:p w14:paraId="0E480E91">
            <w:pPr>
              <w:widowControl/>
              <w:jc w:val="center"/>
              <w:rPr>
                <w:rFonts w:eastAsia="黑体"/>
                <w:bCs/>
                <w:kern w:val="0"/>
                <w:szCs w:val="21"/>
              </w:rPr>
            </w:pPr>
            <w:r>
              <w:rPr>
                <w:rFonts w:eastAsia="黑体"/>
                <w:bCs/>
                <w:kern w:val="0"/>
                <w:szCs w:val="21"/>
              </w:rPr>
              <w:t>评价得分</w:t>
            </w:r>
          </w:p>
          <w:p w14:paraId="0846BDCB">
            <w:pPr>
              <w:widowControl/>
              <w:jc w:val="center"/>
              <w:rPr>
                <w:rFonts w:eastAsia="黑体"/>
                <w:bCs/>
                <w:kern w:val="0"/>
                <w:szCs w:val="21"/>
              </w:rPr>
            </w:pPr>
            <w:r>
              <w:rPr>
                <w:rFonts w:eastAsia="黑体"/>
                <w:bCs/>
                <w:kern w:val="0"/>
                <w:szCs w:val="21"/>
              </w:rPr>
              <w:t>（要求列出计算过程和评分依据）</w:t>
            </w:r>
          </w:p>
        </w:tc>
      </w:tr>
      <w:tr w14:paraId="35C6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5" w:hRule="atLeast"/>
          <w:jc w:val="center"/>
        </w:trPr>
        <w:tc>
          <w:tcPr>
            <w:tcW w:w="796"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68B1915A">
            <w:pPr>
              <w:widowControl/>
              <w:jc w:val="center"/>
              <w:rPr>
                <w:rFonts w:eastAsia="仿宋_GB2312"/>
                <w:kern w:val="0"/>
                <w:szCs w:val="21"/>
              </w:rPr>
            </w:pPr>
            <w:r>
              <w:rPr>
                <w:rFonts w:eastAsia="仿宋_GB2312"/>
                <w:kern w:val="0"/>
                <w:szCs w:val="21"/>
              </w:rPr>
              <w:t>投    入</w:t>
            </w:r>
          </w:p>
        </w:tc>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14:paraId="3689D474">
            <w:pPr>
              <w:widowControl/>
              <w:jc w:val="center"/>
              <w:rPr>
                <w:rFonts w:eastAsia="仿宋_GB2312"/>
                <w:kern w:val="0"/>
                <w:szCs w:val="21"/>
              </w:rPr>
            </w:pPr>
            <w:r>
              <w:rPr>
                <w:rFonts w:eastAsia="仿宋_GB2312"/>
                <w:kern w:val="0"/>
                <w:szCs w:val="21"/>
              </w:rPr>
              <w:t>目标设定</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14:paraId="3487EA70">
            <w:pPr>
              <w:widowControl/>
              <w:jc w:val="center"/>
              <w:rPr>
                <w:rFonts w:eastAsia="仿宋_GB2312"/>
                <w:kern w:val="0"/>
                <w:szCs w:val="21"/>
              </w:rPr>
            </w:pPr>
            <w:r>
              <w:rPr>
                <w:rFonts w:eastAsia="仿宋_GB2312"/>
                <w:kern w:val="0"/>
                <w:szCs w:val="21"/>
              </w:rPr>
              <w:t>8</w:t>
            </w:r>
          </w:p>
        </w:tc>
        <w:tc>
          <w:tcPr>
            <w:tcW w:w="1334" w:type="dxa"/>
            <w:tcBorders>
              <w:top w:val="single" w:color="auto" w:sz="4" w:space="0"/>
              <w:left w:val="single" w:color="auto" w:sz="4" w:space="0"/>
              <w:bottom w:val="single" w:color="auto" w:sz="4" w:space="0"/>
              <w:right w:val="single" w:color="auto" w:sz="4" w:space="0"/>
            </w:tcBorders>
            <w:noWrap w:val="0"/>
            <w:vAlign w:val="center"/>
          </w:tcPr>
          <w:p w14:paraId="755A6BED">
            <w:pPr>
              <w:widowControl/>
              <w:jc w:val="center"/>
              <w:rPr>
                <w:rFonts w:eastAsia="仿宋_GB2312"/>
                <w:kern w:val="0"/>
                <w:szCs w:val="21"/>
              </w:rPr>
            </w:pPr>
            <w:r>
              <w:rPr>
                <w:rFonts w:eastAsia="仿宋_GB2312"/>
                <w:kern w:val="0"/>
                <w:szCs w:val="21"/>
              </w:rPr>
              <w:t>绩效目标合理性</w:t>
            </w:r>
          </w:p>
        </w:tc>
        <w:tc>
          <w:tcPr>
            <w:tcW w:w="794" w:type="dxa"/>
            <w:tcBorders>
              <w:top w:val="single" w:color="auto" w:sz="4" w:space="0"/>
              <w:left w:val="single" w:color="auto" w:sz="4" w:space="0"/>
              <w:bottom w:val="single" w:color="auto" w:sz="4" w:space="0"/>
              <w:right w:val="single" w:color="auto" w:sz="4" w:space="0"/>
            </w:tcBorders>
            <w:noWrap w:val="0"/>
            <w:vAlign w:val="center"/>
          </w:tcPr>
          <w:p w14:paraId="1804EFA2">
            <w:pPr>
              <w:widowControl/>
              <w:jc w:val="center"/>
              <w:rPr>
                <w:rFonts w:eastAsia="仿宋_GB2312"/>
                <w:kern w:val="0"/>
                <w:szCs w:val="21"/>
              </w:rPr>
            </w:pPr>
            <w:r>
              <w:rPr>
                <w:rFonts w:eastAsia="仿宋_GB2312"/>
                <w:kern w:val="0"/>
                <w:szCs w:val="21"/>
              </w:rPr>
              <w:t>3</w:t>
            </w:r>
          </w:p>
        </w:tc>
        <w:tc>
          <w:tcPr>
            <w:tcW w:w="4140" w:type="dxa"/>
            <w:tcBorders>
              <w:top w:val="single" w:color="auto" w:sz="4" w:space="0"/>
              <w:left w:val="single" w:color="auto" w:sz="4" w:space="0"/>
              <w:bottom w:val="single" w:color="auto" w:sz="4" w:space="0"/>
              <w:right w:val="single" w:color="auto" w:sz="4" w:space="0"/>
            </w:tcBorders>
            <w:noWrap w:val="0"/>
            <w:vAlign w:val="center"/>
          </w:tcPr>
          <w:p w14:paraId="3F708353">
            <w:pPr>
              <w:widowControl/>
              <w:jc w:val="left"/>
              <w:rPr>
                <w:rFonts w:eastAsia="仿宋_GB2312"/>
                <w:kern w:val="0"/>
                <w:szCs w:val="21"/>
              </w:rPr>
            </w:pPr>
            <w:r>
              <w:rPr>
                <w:rFonts w:eastAsia="仿宋_GB2312"/>
                <w:kern w:val="0"/>
                <w:szCs w:val="21"/>
              </w:rPr>
              <w:t>①符合国家法律法规、国民经济和社会发展总体规划，计1分；</w:t>
            </w:r>
          </w:p>
          <w:p w14:paraId="27296EF8">
            <w:pPr>
              <w:widowControl/>
              <w:jc w:val="left"/>
              <w:rPr>
                <w:rFonts w:eastAsia="仿宋_GB2312"/>
                <w:kern w:val="0"/>
                <w:szCs w:val="21"/>
              </w:rPr>
            </w:pPr>
            <w:r>
              <w:rPr>
                <w:rFonts w:eastAsia="仿宋_GB2312"/>
                <w:kern w:val="0"/>
                <w:szCs w:val="21"/>
              </w:rPr>
              <w:t>②符合部门“三定”方案确定的职责，计1分；</w:t>
            </w:r>
          </w:p>
          <w:p w14:paraId="0D411BA7">
            <w:pPr>
              <w:widowControl/>
              <w:jc w:val="left"/>
              <w:rPr>
                <w:rFonts w:eastAsia="仿宋_GB2312"/>
                <w:kern w:val="0"/>
                <w:szCs w:val="21"/>
              </w:rPr>
            </w:pPr>
            <w:r>
              <w:rPr>
                <w:rFonts w:eastAsia="仿宋_GB2312"/>
                <w:kern w:val="0"/>
                <w:szCs w:val="21"/>
              </w:rPr>
              <w:t>③符合部门制定的中长期实施规划，计1分。</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1766381B">
            <w:pPr>
              <w:widowControl/>
              <w:jc w:val="left"/>
              <w:rPr>
                <w:rFonts w:eastAsia="仿宋_GB2312"/>
                <w:kern w:val="0"/>
                <w:szCs w:val="21"/>
              </w:rPr>
            </w:pPr>
          </w:p>
        </w:tc>
        <w:tc>
          <w:tcPr>
            <w:tcW w:w="2107" w:type="dxa"/>
            <w:tcBorders>
              <w:top w:val="single" w:color="auto" w:sz="4" w:space="0"/>
              <w:left w:val="single" w:color="auto" w:sz="4" w:space="0"/>
              <w:bottom w:val="single" w:color="auto" w:sz="4" w:space="0"/>
              <w:right w:val="single" w:color="auto" w:sz="4" w:space="0"/>
            </w:tcBorders>
            <w:noWrap w:val="0"/>
            <w:vAlign w:val="center"/>
          </w:tcPr>
          <w:p w14:paraId="36B72962">
            <w:pPr>
              <w:widowControl/>
              <w:jc w:val="left"/>
              <w:rPr>
                <w:rFonts w:hint="eastAsia" w:eastAsia="宋体"/>
                <w:kern w:val="0"/>
                <w:szCs w:val="21"/>
                <w:lang w:val="en-US" w:eastAsia="zh-CN"/>
              </w:rPr>
            </w:pPr>
            <w:r>
              <w:rPr>
                <w:rFonts w:hint="eastAsia"/>
                <w:kern w:val="0"/>
                <w:szCs w:val="21"/>
                <w:lang w:val="en-US" w:eastAsia="zh-CN"/>
              </w:rPr>
              <w:t>3</w:t>
            </w:r>
          </w:p>
        </w:tc>
      </w:tr>
      <w:tr w14:paraId="246F8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6"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14:paraId="3602A7D7">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14:paraId="13CCE789">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67EA2990">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14:paraId="638D2787">
            <w:pPr>
              <w:widowControl/>
              <w:jc w:val="center"/>
              <w:rPr>
                <w:rFonts w:eastAsia="仿宋_GB2312"/>
                <w:kern w:val="0"/>
                <w:szCs w:val="21"/>
              </w:rPr>
            </w:pPr>
            <w:r>
              <w:rPr>
                <w:rFonts w:eastAsia="仿宋_GB2312"/>
                <w:kern w:val="0"/>
                <w:szCs w:val="21"/>
              </w:rPr>
              <w:t>绩效指标明确性</w:t>
            </w:r>
          </w:p>
        </w:tc>
        <w:tc>
          <w:tcPr>
            <w:tcW w:w="794" w:type="dxa"/>
            <w:tcBorders>
              <w:top w:val="single" w:color="auto" w:sz="4" w:space="0"/>
              <w:left w:val="single" w:color="auto" w:sz="4" w:space="0"/>
              <w:bottom w:val="single" w:color="auto" w:sz="4" w:space="0"/>
              <w:right w:val="single" w:color="auto" w:sz="4" w:space="0"/>
            </w:tcBorders>
            <w:noWrap w:val="0"/>
            <w:vAlign w:val="center"/>
          </w:tcPr>
          <w:p w14:paraId="115981C1">
            <w:pPr>
              <w:widowControl/>
              <w:jc w:val="center"/>
              <w:rPr>
                <w:rFonts w:eastAsia="仿宋_GB2312"/>
                <w:kern w:val="0"/>
                <w:szCs w:val="21"/>
              </w:rPr>
            </w:pPr>
            <w:r>
              <w:rPr>
                <w:rFonts w:eastAsia="仿宋_GB2312"/>
                <w:kern w:val="0"/>
                <w:szCs w:val="21"/>
              </w:rPr>
              <w:t>5</w:t>
            </w:r>
          </w:p>
        </w:tc>
        <w:tc>
          <w:tcPr>
            <w:tcW w:w="4140" w:type="dxa"/>
            <w:tcBorders>
              <w:top w:val="single" w:color="auto" w:sz="4" w:space="0"/>
              <w:left w:val="single" w:color="auto" w:sz="4" w:space="0"/>
              <w:bottom w:val="single" w:color="auto" w:sz="4" w:space="0"/>
              <w:right w:val="single" w:color="auto" w:sz="4" w:space="0"/>
            </w:tcBorders>
            <w:noWrap w:val="0"/>
            <w:vAlign w:val="center"/>
          </w:tcPr>
          <w:p w14:paraId="67077C08">
            <w:pPr>
              <w:widowControl/>
              <w:jc w:val="left"/>
              <w:rPr>
                <w:rFonts w:eastAsia="仿宋_GB2312"/>
                <w:kern w:val="0"/>
                <w:szCs w:val="21"/>
              </w:rPr>
            </w:pPr>
            <w:r>
              <w:rPr>
                <w:rFonts w:eastAsia="仿宋_GB2312"/>
                <w:kern w:val="0"/>
                <w:szCs w:val="21"/>
              </w:rPr>
              <w:t>①将部门整体的绩效目标细化分解为具体的工作任务，计1分；</w:t>
            </w:r>
          </w:p>
          <w:p w14:paraId="01433883">
            <w:pPr>
              <w:widowControl/>
              <w:jc w:val="left"/>
              <w:rPr>
                <w:rFonts w:eastAsia="仿宋_GB2312"/>
                <w:kern w:val="0"/>
                <w:szCs w:val="21"/>
              </w:rPr>
            </w:pPr>
            <w:r>
              <w:rPr>
                <w:rFonts w:eastAsia="仿宋_GB2312"/>
                <w:kern w:val="0"/>
                <w:szCs w:val="21"/>
              </w:rPr>
              <w:t>②通过清晰、可衡量的指标值予以体现，计1分；</w:t>
            </w:r>
          </w:p>
          <w:p w14:paraId="11B09890">
            <w:pPr>
              <w:widowControl/>
              <w:jc w:val="left"/>
              <w:rPr>
                <w:rFonts w:eastAsia="仿宋_GB2312"/>
                <w:kern w:val="0"/>
                <w:szCs w:val="21"/>
              </w:rPr>
            </w:pPr>
            <w:r>
              <w:rPr>
                <w:rFonts w:eastAsia="仿宋_GB2312"/>
                <w:kern w:val="0"/>
                <w:szCs w:val="21"/>
              </w:rPr>
              <w:t>③绩效指标与部门年度的任务数和计划数相对应，计1分；</w:t>
            </w:r>
          </w:p>
          <w:p w14:paraId="4CFDB242">
            <w:pPr>
              <w:widowControl/>
              <w:jc w:val="left"/>
              <w:rPr>
                <w:rFonts w:eastAsia="仿宋_GB2312"/>
                <w:kern w:val="0"/>
                <w:szCs w:val="21"/>
              </w:rPr>
            </w:pPr>
            <w:r>
              <w:rPr>
                <w:rFonts w:eastAsia="仿宋_GB2312"/>
                <w:kern w:val="0"/>
                <w:szCs w:val="21"/>
              </w:rPr>
              <w:t>④绩效目标和指标与本年度部门预算资金相匹配，计2分。</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6CD7FAC5">
            <w:pPr>
              <w:widowControl/>
              <w:jc w:val="left"/>
              <w:rPr>
                <w:rFonts w:eastAsia="仿宋_GB2312"/>
                <w:kern w:val="0"/>
                <w:szCs w:val="21"/>
              </w:rPr>
            </w:pPr>
          </w:p>
        </w:tc>
        <w:tc>
          <w:tcPr>
            <w:tcW w:w="2107" w:type="dxa"/>
            <w:tcBorders>
              <w:top w:val="single" w:color="auto" w:sz="4" w:space="0"/>
              <w:left w:val="single" w:color="auto" w:sz="4" w:space="0"/>
              <w:bottom w:val="single" w:color="auto" w:sz="4" w:space="0"/>
              <w:right w:val="single" w:color="auto" w:sz="4" w:space="0"/>
            </w:tcBorders>
            <w:noWrap w:val="0"/>
            <w:vAlign w:val="center"/>
          </w:tcPr>
          <w:p w14:paraId="42BA706C">
            <w:pPr>
              <w:widowControl/>
              <w:jc w:val="left"/>
              <w:rPr>
                <w:rFonts w:hint="eastAsia" w:eastAsia="宋体"/>
                <w:kern w:val="0"/>
                <w:szCs w:val="21"/>
                <w:lang w:val="en-US" w:eastAsia="zh-CN"/>
              </w:rPr>
            </w:pPr>
            <w:r>
              <w:rPr>
                <w:rFonts w:hint="eastAsia"/>
                <w:kern w:val="0"/>
                <w:szCs w:val="21"/>
                <w:lang w:val="en-US" w:eastAsia="zh-CN"/>
              </w:rPr>
              <w:t>5</w:t>
            </w:r>
          </w:p>
        </w:tc>
      </w:tr>
      <w:tr w14:paraId="69037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9"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14:paraId="108C4A0A">
            <w:pPr>
              <w:rPr>
                <w:szCs w:val="21"/>
              </w:rPr>
            </w:pPr>
          </w:p>
        </w:tc>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14:paraId="54C1EDBB">
            <w:pPr>
              <w:widowControl/>
              <w:jc w:val="center"/>
              <w:rPr>
                <w:rFonts w:eastAsia="仿宋_GB2312"/>
                <w:kern w:val="0"/>
                <w:szCs w:val="21"/>
              </w:rPr>
            </w:pPr>
            <w:r>
              <w:rPr>
                <w:rFonts w:eastAsia="仿宋_GB2312"/>
                <w:kern w:val="0"/>
                <w:szCs w:val="21"/>
              </w:rPr>
              <w:t>预算配置</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14:paraId="48F4EC57">
            <w:pPr>
              <w:widowControl/>
              <w:jc w:val="center"/>
              <w:rPr>
                <w:rFonts w:eastAsia="仿宋_GB2312"/>
                <w:kern w:val="0"/>
                <w:szCs w:val="21"/>
              </w:rPr>
            </w:pPr>
            <w:r>
              <w:rPr>
                <w:rFonts w:eastAsia="仿宋_GB2312"/>
                <w:kern w:val="0"/>
                <w:szCs w:val="21"/>
              </w:rPr>
              <w:t>12</w:t>
            </w:r>
          </w:p>
        </w:tc>
        <w:tc>
          <w:tcPr>
            <w:tcW w:w="1334" w:type="dxa"/>
            <w:tcBorders>
              <w:top w:val="single" w:color="auto" w:sz="4" w:space="0"/>
              <w:left w:val="single" w:color="auto" w:sz="4" w:space="0"/>
              <w:bottom w:val="single" w:color="auto" w:sz="4" w:space="0"/>
              <w:right w:val="single" w:color="auto" w:sz="4" w:space="0"/>
            </w:tcBorders>
            <w:noWrap w:val="0"/>
            <w:vAlign w:val="center"/>
          </w:tcPr>
          <w:p w14:paraId="2A6E1003">
            <w:pPr>
              <w:widowControl/>
              <w:jc w:val="center"/>
              <w:rPr>
                <w:rFonts w:eastAsia="仿宋_GB2312"/>
                <w:kern w:val="0"/>
                <w:szCs w:val="21"/>
              </w:rPr>
            </w:pPr>
            <w:r>
              <w:rPr>
                <w:rFonts w:eastAsia="仿宋_GB2312"/>
                <w:kern w:val="0"/>
                <w:szCs w:val="21"/>
              </w:rPr>
              <w:t>财政供养人员</w:t>
            </w:r>
            <w:r>
              <w:rPr>
                <w:rFonts w:eastAsia="仿宋_GB2312"/>
                <w:kern w:val="0"/>
                <w:szCs w:val="21"/>
              </w:rPr>
              <w:br w:type="textWrapping"/>
            </w:r>
            <w:r>
              <w:rPr>
                <w:rFonts w:eastAsia="仿宋_GB2312"/>
                <w:kern w:val="0"/>
                <w:szCs w:val="21"/>
              </w:rPr>
              <w:t>控制率</w:t>
            </w:r>
          </w:p>
        </w:tc>
        <w:tc>
          <w:tcPr>
            <w:tcW w:w="794" w:type="dxa"/>
            <w:tcBorders>
              <w:top w:val="single" w:color="auto" w:sz="4" w:space="0"/>
              <w:left w:val="single" w:color="auto" w:sz="4" w:space="0"/>
              <w:bottom w:val="single" w:color="auto" w:sz="4" w:space="0"/>
              <w:right w:val="single" w:color="auto" w:sz="4" w:space="0"/>
            </w:tcBorders>
            <w:noWrap w:val="0"/>
            <w:vAlign w:val="center"/>
          </w:tcPr>
          <w:p w14:paraId="07FFDF7C">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14:paraId="37CC6923">
            <w:pPr>
              <w:widowControl/>
              <w:jc w:val="left"/>
              <w:rPr>
                <w:rFonts w:eastAsia="仿宋_GB2312"/>
                <w:kern w:val="0"/>
                <w:szCs w:val="21"/>
              </w:rPr>
            </w:pPr>
            <w:r>
              <w:rPr>
                <w:rFonts w:eastAsia="仿宋_GB2312"/>
                <w:kern w:val="0"/>
                <w:szCs w:val="21"/>
              </w:rPr>
              <w:t>以100%为标准。在职人员控制率</w:t>
            </w:r>
            <w:r>
              <w:rPr>
                <w:kern w:val="0"/>
                <w:szCs w:val="21"/>
              </w:rPr>
              <w:t>≦</w:t>
            </w:r>
            <w:r>
              <w:rPr>
                <w:rFonts w:eastAsia="仿宋_GB2312"/>
                <w:kern w:val="0"/>
                <w:szCs w:val="21"/>
              </w:rPr>
              <w:t>100%，计4分；每超过一个百分点扣0.4分，扣完为止。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7BD7BD87">
            <w:pPr>
              <w:widowControl/>
              <w:jc w:val="left"/>
              <w:rPr>
                <w:rFonts w:eastAsia="仿宋_GB2312"/>
                <w:kern w:val="0"/>
                <w:szCs w:val="21"/>
              </w:rPr>
            </w:pPr>
            <w:r>
              <w:rPr>
                <w:rFonts w:eastAsia="仿宋_GB2312"/>
                <w:kern w:val="0"/>
                <w:szCs w:val="21"/>
              </w:rPr>
              <w:t>在职人员控制率=（在职人员数/编制数）×100%，在职人员数：部门（单位）实际在职人数，以财政部门确定的部门决算编制口径为准。</w:t>
            </w:r>
            <w:r>
              <w:rPr>
                <w:rFonts w:eastAsia="仿宋_GB2312"/>
                <w:kern w:val="0"/>
                <w:szCs w:val="21"/>
              </w:rPr>
              <w:br w:type="textWrapping"/>
            </w:r>
            <w:r>
              <w:rPr>
                <w:rFonts w:eastAsia="仿宋_GB2312"/>
                <w:kern w:val="0"/>
                <w:szCs w:val="21"/>
              </w:rPr>
              <w:t>编制数：机构编制部门核定批复的部门（单位）的人员编制数。</w:t>
            </w:r>
          </w:p>
        </w:tc>
        <w:tc>
          <w:tcPr>
            <w:tcW w:w="2107" w:type="dxa"/>
            <w:tcBorders>
              <w:top w:val="single" w:color="auto" w:sz="4" w:space="0"/>
              <w:left w:val="single" w:color="auto" w:sz="4" w:space="0"/>
              <w:bottom w:val="single" w:color="auto" w:sz="4" w:space="0"/>
              <w:right w:val="single" w:color="auto" w:sz="4" w:space="0"/>
            </w:tcBorders>
            <w:noWrap w:val="0"/>
            <w:vAlign w:val="center"/>
          </w:tcPr>
          <w:p w14:paraId="3560B4C2">
            <w:pPr>
              <w:widowControl/>
              <w:jc w:val="left"/>
              <w:rPr>
                <w:rFonts w:hint="eastAsia" w:eastAsia="宋体"/>
                <w:kern w:val="0"/>
                <w:szCs w:val="21"/>
                <w:lang w:val="en-US" w:eastAsia="zh-CN"/>
              </w:rPr>
            </w:pPr>
            <w:r>
              <w:rPr>
                <w:kern w:val="0"/>
                <w:szCs w:val="21"/>
              </w:rPr>
              <w:t>　</w:t>
            </w:r>
            <w:r>
              <w:rPr>
                <w:rFonts w:hint="eastAsia"/>
                <w:kern w:val="0"/>
                <w:szCs w:val="21"/>
                <w:lang w:val="en-US" w:eastAsia="zh-CN"/>
              </w:rPr>
              <w:t>4</w:t>
            </w:r>
          </w:p>
        </w:tc>
      </w:tr>
      <w:tr w14:paraId="0049B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7"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14:paraId="63097C96">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14:paraId="034EEE1F">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6C1B4986">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14:paraId="304014DC">
            <w:pPr>
              <w:widowControl/>
              <w:jc w:val="center"/>
              <w:rPr>
                <w:rFonts w:eastAsia="仿宋_GB2312"/>
                <w:kern w:val="0"/>
                <w:szCs w:val="21"/>
              </w:rPr>
            </w:pPr>
            <w:r>
              <w:rPr>
                <w:rFonts w:eastAsia="仿宋_GB2312"/>
                <w:kern w:val="0"/>
                <w:szCs w:val="21"/>
              </w:rPr>
              <w:t>“三公经费”</w:t>
            </w:r>
            <w:r>
              <w:rPr>
                <w:rFonts w:eastAsia="仿宋_GB2312"/>
                <w:kern w:val="0"/>
                <w:szCs w:val="21"/>
              </w:rPr>
              <w:br w:type="textWrapping"/>
            </w:r>
            <w:r>
              <w:rPr>
                <w:rFonts w:eastAsia="仿宋_GB2312"/>
                <w:kern w:val="0"/>
                <w:szCs w:val="21"/>
              </w:rPr>
              <w:t>变动率</w:t>
            </w:r>
          </w:p>
        </w:tc>
        <w:tc>
          <w:tcPr>
            <w:tcW w:w="794" w:type="dxa"/>
            <w:tcBorders>
              <w:top w:val="single" w:color="auto" w:sz="4" w:space="0"/>
              <w:left w:val="single" w:color="auto" w:sz="4" w:space="0"/>
              <w:bottom w:val="single" w:color="auto" w:sz="4" w:space="0"/>
              <w:right w:val="single" w:color="auto" w:sz="4" w:space="0"/>
            </w:tcBorders>
            <w:noWrap w:val="0"/>
            <w:vAlign w:val="center"/>
          </w:tcPr>
          <w:p w14:paraId="5774BD44">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14:paraId="4DAF962F">
            <w:pPr>
              <w:widowControl/>
              <w:jc w:val="left"/>
              <w:rPr>
                <w:rFonts w:eastAsia="仿宋_GB2312"/>
                <w:kern w:val="0"/>
                <w:szCs w:val="21"/>
              </w:rPr>
            </w:pPr>
            <w:r>
              <w:rPr>
                <w:rFonts w:eastAsia="仿宋_GB2312"/>
                <w:kern w:val="0"/>
                <w:szCs w:val="21"/>
              </w:rPr>
              <w:t>“三公经费”变动率</w:t>
            </w:r>
            <w:r>
              <w:rPr>
                <w:kern w:val="0"/>
                <w:szCs w:val="21"/>
              </w:rPr>
              <w:t>≦</w:t>
            </w:r>
            <w:r>
              <w:rPr>
                <w:rFonts w:eastAsia="仿宋_GB2312"/>
                <w:kern w:val="0"/>
                <w:szCs w:val="21"/>
              </w:rPr>
              <w:t>0,计4分；“三公经费”变动率＞0，每超过一个百分点扣0.4分，扣完为止。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64AEEE0E">
            <w:pPr>
              <w:widowControl/>
              <w:jc w:val="left"/>
              <w:rPr>
                <w:rFonts w:eastAsia="仿宋_GB2312"/>
                <w:kern w:val="0"/>
                <w:szCs w:val="21"/>
              </w:rPr>
            </w:pPr>
            <w:r>
              <w:rPr>
                <w:rFonts w:eastAsia="仿宋_GB2312"/>
                <w:kern w:val="0"/>
                <w:szCs w:val="21"/>
              </w:rPr>
              <w:t>“三公经费”变动率=[（本年度“三公经费”总额-上年度“三公经费”总额）/上年度“三公经费”总额]×100%。</w:t>
            </w:r>
            <w:r>
              <w:rPr>
                <w:rFonts w:eastAsia="仿宋_GB2312"/>
                <w:kern w:val="0"/>
                <w:szCs w:val="21"/>
              </w:rPr>
              <w:br w:type="textWrapping"/>
            </w:r>
            <w:r>
              <w:rPr>
                <w:rFonts w:eastAsia="仿宋_GB2312"/>
                <w:kern w:val="0"/>
                <w:szCs w:val="21"/>
              </w:rPr>
              <w:t>“三公经费”：指政府部门人员因公出国（境）经费、公务车购置及运行费、公务招待费产生的消费。</w:t>
            </w:r>
          </w:p>
        </w:tc>
        <w:tc>
          <w:tcPr>
            <w:tcW w:w="2107" w:type="dxa"/>
            <w:tcBorders>
              <w:top w:val="single" w:color="auto" w:sz="4" w:space="0"/>
              <w:left w:val="single" w:color="auto" w:sz="4" w:space="0"/>
              <w:bottom w:val="single" w:color="auto" w:sz="4" w:space="0"/>
              <w:right w:val="single" w:color="auto" w:sz="4" w:space="0"/>
            </w:tcBorders>
            <w:noWrap w:val="0"/>
            <w:vAlign w:val="center"/>
          </w:tcPr>
          <w:p w14:paraId="2C14DE31">
            <w:pPr>
              <w:widowControl/>
              <w:jc w:val="left"/>
              <w:rPr>
                <w:rFonts w:hint="eastAsia" w:eastAsia="宋体"/>
                <w:kern w:val="0"/>
                <w:szCs w:val="21"/>
                <w:lang w:val="en-US" w:eastAsia="zh-CN"/>
              </w:rPr>
            </w:pPr>
            <w:r>
              <w:rPr>
                <w:kern w:val="0"/>
                <w:szCs w:val="21"/>
              </w:rPr>
              <w:t>　</w:t>
            </w:r>
            <w:r>
              <w:rPr>
                <w:rFonts w:hint="eastAsia"/>
                <w:kern w:val="0"/>
                <w:szCs w:val="21"/>
                <w:lang w:val="en-US" w:eastAsia="zh-CN"/>
              </w:rPr>
              <w:t>4</w:t>
            </w:r>
          </w:p>
        </w:tc>
      </w:tr>
      <w:tr w14:paraId="08124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9"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14:paraId="65AB765B">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14:paraId="18C6F2B3">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0F8229E1">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14:paraId="2A3CCE56">
            <w:pPr>
              <w:widowControl/>
              <w:jc w:val="center"/>
              <w:rPr>
                <w:rFonts w:eastAsia="仿宋_GB2312"/>
                <w:kern w:val="0"/>
                <w:szCs w:val="21"/>
              </w:rPr>
            </w:pPr>
            <w:r>
              <w:rPr>
                <w:rFonts w:eastAsia="仿宋_GB2312"/>
                <w:kern w:val="0"/>
                <w:szCs w:val="21"/>
              </w:rPr>
              <w:t>重点支出</w:t>
            </w:r>
            <w:r>
              <w:rPr>
                <w:rFonts w:eastAsia="仿宋_GB2312"/>
                <w:kern w:val="0"/>
                <w:szCs w:val="21"/>
              </w:rPr>
              <w:br w:type="textWrapping"/>
            </w:r>
            <w:r>
              <w:rPr>
                <w:rFonts w:eastAsia="仿宋_GB2312"/>
                <w:kern w:val="0"/>
                <w:szCs w:val="21"/>
              </w:rPr>
              <w:t>安排率</w:t>
            </w:r>
          </w:p>
        </w:tc>
        <w:tc>
          <w:tcPr>
            <w:tcW w:w="794" w:type="dxa"/>
            <w:tcBorders>
              <w:top w:val="single" w:color="auto" w:sz="4" w:space="0"/>
              <w:left w:val="single" w:color="auto" w:sz="4" w:space="0"/>
              <w:bottom w:val="single" w:color="auto" w:sz="4" w:space="0"/>
              <w:right w:val="single" w:color="auto" w:sz="4" w:space="0"/>
            </w:tcBorders>
            <w:noWrap w:val="0"/>
            <w:vAlign w:val="center"/>
          </w:tcPr>
          <w:p w14:paraId="196801F2">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14:paraId="4FA07973">
            <w:pPr>
              <w:widowControl/>
              <w:jc w:val="left"/>
              <w:rPr>
                <w:rFonts w:eastAsia="仿宋_GB2312"/>
                <w:kern w:val="0"/>
                <w:szCs w:val="21"/>
              </w:rPr>
            </w:pPr>
            <w:r>
              <w:rPr>
                <w:rFonts w:eastAsia="仿宋_GB2312"/>
                <w:kern w:val="0"/>
                <w:szCs w:val="21"/>
              </w:rPr>
              <w:t>重点支出安排率≥90%，计4分；</w:t>
            </w:r>
            <w:r>
              <w:rPr>
                <w:rFonts w:eastAsia="仿宋_GB2312"/>
                <w:kern w:val="0"/>
                <w:szCs w:val="21"/>
              </w:rPr>
              <w:br w:type="textWrapping"/>
            </w:r>
            <w:r>
              <w:rPr>
                <w:rFonts w:eastAsia="仿宋_GB2312"/>
                <w:kern w:val="0"/>
                <w:szCs w:val="21"/>
              </w:rPr>
              <w:t>80%（含）-90%，计3分；</w:t>
            </w:r>
            <w:r>
              <w:rPr>
                <w:rFonts w:eastAsia="仿宋_GB2312"/>
                <w:kern w:val="0"/>
                <w:szCs w:val="21"/>
              </w:rPr>
              <w:br w:type="textWrapping"/>
            </w:r>
            <w:r>
              <w:rPr>
                <w:rFonts w:eastAsia="仿宋_GB2312"/>
                <w:kern w:val="0"/>
                <w:szCs w:val="21"/>
              </w:rPr>
              <w:t>70%（含）-80%，计2分；</w:t>
            </w:r>
            <w:r>
              <w:rPr>
                <w:rFonts w:eastAsia="仿宋_GB2312"/>
                <w:kern w:val="0"/>
                <w:szCs w:val="21"/>
              </w:rPr>
              <w:br w:type="textWrapping"/>
            </w:r>
            <w:r>
              <w:rPr>
                <w:rFonts w:eastAsia="仿宋_GB2312"/>
                <w:kern w:val="0"/>
                <w:szCs w:val="21"/>
              </w:rPr>
              <w:t>60%（含）-70%，计1分；</w:t>
            </w:r>
            <w:r>
              <w:rPr>
                <w:rFonts w:eastAsia="仿宋_GB2312"/>
                <w:kern w:val="0"/>
                <w:szCs w:val="21"/>
              </w:rPr>
              <w:br w:type="textWrapping"/>
            </w:r>
            <w:r>
              <w:rPr>
                <w:rFonts w:eastAsia="仿宋_GB2312"/>
                <w:kern w:val="0"/>
                <w:szCs w:val="21"/>
              </w:rPr>
              <w:t>低于60%不得分。</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23D30C83">
            <w:pPr>
              <w:widowControl/>
              <w:jc w:val="left"/>
              <w:rPr>
                <w:rFonts w:eastAsia="仿宋_GB2312"/>
                <w:kern w:val="0"/>
                <w:szCs w:val="21"/>
              </w:rPr>
            </w:pPr>
            <w:r>
              <w:rPr>
                <w:rFonts w:eastAsia="仿宋_GB2312"/>
                <w:kern w:val="0"/>
                <w:szCs w:val="21"/>
              </w:rPr>
              <w:t>重点支出安排率=（重点项目支出/项目总支出）×100%</w:t>
            </w:r>
            <w:r>
              <w:rPr>
                <w:rFonts w:eastAsia="仿宋_GB2312"/>
                <w:kern w:val="0"/>
                <w:szCs w:val="21"/>
              </w:rPr>
              <w:br w:type="textWrapping"/>
            </w:r>
            <w:r>
              <w:rPr>
                <w:rFonts w:eastAsia="仿宋_GB2312"/>
                <w:kern w:val="0"/>
                <w:szCs w:val="21"/>
              </w:rPr>
              <w:t>重点项目支出：市委、市政府确定的为民办实事和部门重点工程与重点工作支出。</w:t>
            </w:r>
            <w:r>
              <w:rPr>
                <w:rFonts w:eastAsia="仿宋_GB2312"/>
                <w:kern w:val="0"/>
                <w:szCs w:val="21"/>
              </w:rPr>
              <w:br w:type="textWrapping"/>
            </w:r>
            <w:r>
              <w:rPr>
                <w:rFonts w:eastAsia="仿宋_GB2312"/>
                <w:kern w:val="0"/>
                <w:szCs w:val="21"/>
              </w:rPr>
              <w:t>项目总支出：部门（单位）年度预算安排的项目支出总额。</w:t>
            </w:r>
          </w:p>
        </w:tc>
        <w:tc>
          <w:tcPr>
            <w:tcW w:w="2107" w:type="dxa"/>
            <w:tcBorders>
              <w:top w:val="single" w:color="auto" w:sz="4" w:space="0"/>
              <w:left w:val="single" w:color="auto" w:sz="4" w:space="0"/>
              <w:bottom w:val="single" w:color="auto" w:sz="4" w:space="0"/>
              <w:right w:val="single" w:color="auto" w:sz="4" w:space="0"/>
            </w:tcBorders>
            <w:noWrap w:val="0"/>
            <w:vAlign w:val="center"/>
          </w:tcPr>
          <w:p w14:paraId="56765FDD">
            <w:pPr>
              <w:widowControl/>
              <w:jc w:val="left"/>
              <w:rPr>
                <w:rFonts w:hint="eastAsia" w:eastAsia="宋体"/>
                <w:kern w:val="0"/>
                <w:szCs w:val="21"/>
                <w:lang w:val="en-US" w:eastAsia="zh-CN"/>
              </w:rPr>
            </w:pPr>
            <w:r>
              <w:rPr>
                <w:kern w:val="0"/>
                <w:szCs w:val="21"/>
              </w:rPr>
              <w:t>　</w:t>
            </w:r>
            <w:r>
              <w:rPr>
                <w:rFonts w:hint="eastAsia"/>
                <w:kern w:val="0"/>
                <w:szCs w:val="21"/>
                <w:lang w:val="en-US" w:eastAsia="zh-CN"/>
              </w:rPr>
              <w:t>4</w:t>
            </w:r>
          </w:p>
        </w:tc>
      </w:tr>
      <w:tr w14:paraId="455EE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13" w:hRule="atLeast"/>
          <w:jc w:val="center"/>
        </w:trPr>
        <w:tc>
          <w:tcPr>
            <w:tcW w:w="796"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54DEEB5F">
            <w:pPr>
              <w:widowControl/>
              <w:jc w:val="center"/>
              <w:rPr>
                <w:rFonts w:eastAsia="仿宋_GB2312"/>
                <w:kern w:val="0"/>
                <w:szCs w:val="21"/>
              </w:rPr>
            </w:pPr>
            <w:r>
              <w:rPr>
                <w:rFonts w:eastAsia="仿宋_GB2312"/>
                <w:kern w:val="0"/>
                <w:szCs w:val="21"/>
              </w:rPr>
              <w:t>过    程</w:t>
            </w:r>
          </w:p>
        </w:tc>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14:paraId="0185A113">
            <w:pPr>
              <w:widowControl/>
              <w:jc w:val="center"/>
              <w:rPr>
                <w:rFonts w:eastAsia="仿宋_GB2312"/>
                <w:kern w:val="0"/>
                <w:szCs w:val="21"/>
              </w:rPr>
            </w:pPr>
            <w:r>
              <w:rPr>
                <w:rFonts w:eastAsia="仿宋_GB2312"/>
                <w:kern w:val="0"/>
                <w:szCs w:val="21"/>
              </w:rPr>
              <w:t>预算执行</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14:paraId="5F6936C1">
            <w:pPr>
              <w:widowControl/>
              <w:jc w:val="center"/>
              <w:rPr>
                <w:rFonts w:eastAsia="仿宋_GB2312"/>
                <w:kern w:val="0"/>
                <w:szCs w:val="21"/>
              </w:rPr>
            </w:pPr>
            <w:r>
              <w:rPr>
                <w:rFonts w:eastAsia="仿宋_GB2312"/>
                <w:kern w:val="0"/>
                <w:szCs w:val="21"/>
              </w:rPr>
              <w:t>16</w:t>
            </w:r>
          </w:p>
        </w:tc>
        <w:tc>
          <w:tcPr>
            <w:tcW w:w="1334" w:type="dxa"/>
            <w:tcBorders>
              <w:top w:val="single" w:color="auto" w:sz="4" w:space="0"/>
              <w:left w:val="single" w:color="auto" w:sz="4" w:space="0"/>
              <w:bottom w:val="single" w:color="auto" w:sz="4" w:space="0"/>
              <w:right w:val="single" w:color="auto" w:sz="4" w:space="0"/>
            </w:tcBorders>
            <w:noWrap w:val="0"/>
            <w:vAlign w:val="center"/>
          </w:tcPr>
          <w:p w14:paraId="014A0FCB">
            <w:pPr>
              <w:widowControl/>
              <w:jc w:val="center"/>
              <w:rPr>
                <w:rFonts w:eastAsia="仿宋_GB2312"/>
                <w:kern w:val="0"/>
                <w:szCs w:val="21"/>
              </w:rPr>
            </w:pPr>
            <w:r>
              <w:rPr>
                <w:rFonts w:eastAsia="仿宋_GB2312"/>
                <w:kern w:val="0"/>
                <w:szCs w:val="21"/>
              </w:rPr>
              <w:t>预算调整率</w:t>
            </w:r>
          </w:p>
        </w:tc>
        <w:tc>
          <w:tcPr>
            <w:tcW w:w="794" w:type="dxa"/>
            <w:tcBorders>
              <w:top w:val="single" w:color="auto" w:sz="4" w:space="0"/>
              <w:left w:val="single" w:color="auto" w:sz="4" w:space="0"/>
              <w:bottom w:val="single" w:color="auto" w:sz="4" w:space="0"/>
              <w:right w:val="single" w:color="auto" w:sz="4" w:space="0"/>
            </w:tcBorders>
            <w:noWrap w:val="0"/>
            <w:vAlign w:val="center"/>
          </w:tcPr>
          <w:p w14:paraId="73207685">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14:paraId="1DF8401C">
            <w:pPr>
              <w:widowControl/>
              <w:jc w:val="left"/>
              <w:rPr>
                <w:rFonts w:eastAsia="仿宋_GB2312"/>
                <w:kern w:val="0"/>
                <w:szCs w:val="21"/>
              </w:rPr>
            </w:pPr>
            <w:r>
              <w:rPr>
                <w:rFonts w:eastAsia="仿宋_GB2312"/>
                <w:kern w:val="0"/>
                <w:szCs w:val="21"/>
              </w:rPr>
              <w:t>预算调整率=0，计4分；</w:t>
            </w:r>
            <w:r>
              <w:rPr>
                <w:rFonts w:eastAsia="仿宋_GB2312"/>
                <w:kern w:val="0"/>
                <w:szCs w:val="21"/>
              </w:rPr>
              <w:br w:type="textWrapping"/>
            </w:r>
            <w:r>
              <w:rPr>
                <w:rFonts w:eastAsia="仿宋_GB2312"/>
                <w:kern w:val="0"/>
                <w:szCs w:val="21"/>
              </w:rPr>
              <w:t>0-10%（含），计3分；</w:t>
            </w:r>
            <w:r>
              <w:rPr>
                <w:rFonts w:eastAsia="仿宋_GB2312"/>
                <w:kern w:val="0"/>
                <w:szCs w:val="21"/>
              </w:rPr>
              <w:br w:type="textWrapping"/>
            </w:r>
            <w:r>
              <w:rPr>
                <w:rFonts w:eastAsia="仿宋_GB2312"/>
                <w:kern w:val="0"/>
                <w:szCs w:val="21"/>
              </w:rPr>
              <w:t>10-20%（含），计2分；</w:t>
            </w:r>
            <w:r>
              <w:rPr>
                <w:rFonts w:eastAsia="仿宋_GB2312"/>
                <w:kern w:val="0"/>
                <w:szCs w:val="21"/>
              </w:rPr>
              <w:br w:type="textWrapping"/>
            </w:r>
            <w:r>
              <w:rPr>
                <w:rFonts w:eastAsia="仿宋_GB2312"/>
                <w:kern w:val="0"/>
                <w:szCs w:val="21"/>
              </w:rPr>
              <w:t>20-30%（含），计1分；</w:t>
            </w:r>
            <w:r>
              <w:rPr>
                <w:rFonts w:eastAsia="仿宋_GB2312"/>
                <w:kern w:val="0"/>
                <w:szCs w:val="21"/>
              </w:rPr>
              <w:br w:type="textWrapping"/>
            </w:r>
            <w:r>
              <w:rPr>
                <w:rFonts w:eastAsia="仿宋_GB2312"/>
                <w:kern w:val="0"/>
                <w:szCs w:val="21"/>
              </w:rPr>
              <w:t>大于30%不得分。</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167177A2">
            <w:pPr>
              <w:widowControl/>
              <w:jc w:val="left"/>
              <w:rPr>
                <w:rFonts w:eastAsia="仿宋_GB2312"/>
                <w:kern w:val="0"/>
                <w:szCs w:val="21"/>
              </w:rPr>
            </w:pPr>
            <w:r>
              <w:rPr>
                <w:rFonts w:eastAsia="仿宋_GB2312"/>
                <w:kern w:val="0"/>
                <w:szCs w:val="21"/>
              </w:rPr>
              <w:t>预算调整率=（预算调整数/预算数）×100%。</w:t>
            </w:r>
            <w:r>
              <w:rPr>
                <w:rFonts w:eastAsia="仿宋_GB2312"/>
                <w:kern w:val="0"/>
                <w:szCs w:val="21"/>
              </w:rPr>
              <w:br w:type="textWrapping"/>
            </w:r>
            <w:r>
              <w:rPr>
                <w:rFonts w:eastAsia="仿宋_GB2312"/>
                <w:kern w:val="0"/>
                <w:szCs w:val="21"/>
              </w:rPr>
              <w:t>预算调整数：部门（单位）在本年度内涉及预算的追加、追减或结构调整的资金总和（因落实国家政策，发生不可抗力、上级部门或本级党委政府临时交办而产生的调整除外）。</w:t>
            </w:r>
          </w:p>
        </w:tc>
        <w:tc>
          <w:tcPr>
            <w:tcW w:w="2107" w:type="dxa"/>
            <w:tcBorders>
              <w:top w:val="single" w:color="auto" w:sz="4" w:space="0"/>
              <w:left w:val="single" w:color="auto" w:sz="4" w:space="0"/>
              <w:bottom w:val="single" w:color="auto" w:sz="4" w:space="0"/>
              <w:right w:val="single" w:color="auto" w:sz="4" w:space="0"/>
            </w:tcBorders>
            <w:noWrap w:val="0"/>
            <w:vAlign w:val="center"/>
          </w:tcPr>
          <w:p w14:paraId="397917B8">
            <w:pPr>
              <w:widowControl/>
              <w:jc w:val="left"/>
              <w:rPr>
                <w:rFonts w:hint="eastAsia" w:eastAsia="宋体"/>
                <w:kern w:val="0"/>
                <w:szCs w:val="21"/>
                <w:lang w:val="en-US" w:eastAsia="zh-CN"/>
              </w:rPr>
            </w:pPr>
            <w:r>
              <w:rPr>
                <w:kern w:val="0"/>
                <w:szCs w:val="21"/>
              </w:rPr>
              <w:t>　</w:t>
            </w:r>
            <w:r>
              <w:rPr>
                <w:rFonts w:hint="eastAsia"/>
                <w:kern w:val="0"/>
                <w:szCs w:val="21"/>
                <w:lang w:val="en-US" w:eastAsia="zh-CN"/>
              </w:rPr>
              <w:t>4</w:t>
            </w:r>
          </w:p>
        </w:tc>
      </w:tr>
      <w:tr w14:paraId="6CD5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3"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14:paraId="63A61C76"/>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14:paraId="56A7FB67"/>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49DA9B33"/>
        </w:tc>
        <w:tc>
          <w:tcPr>
            <w:tcW w:w="1334" w:type="dxa"/>
            <w:tcBorders>
              <w:top w:val="single" w:color="auto" w:sz="4" w:space="0"/>
              <w:left w:val="single" w:color="auto" w:sz="4" w:space="0"/>
              <w:bottom w:val="single" w:color="auto" w:sz="4" w:space="0"/>
              <w:right w:val="single" w:color="auto" w:sz="4" w:space="0"/>
            </w:tcBorders>
            <w:noWrap w:val="0"/>
            <w:vAlign w:val="center"/>
          </w:tcPr>
          <w:p w14:paraId="352CBC85">
            <w:pPr>
              <w:widowControl/>
              <w:jc w:val="center"/>
              <w:rPr>
                <w:rFonts w:eastAsia="仿宋_GB2312"/>
                <w:kern w:val="0"/>
                <w:szCs w:val="21"/>
              </w:rPr>
            </w:pPr>
            <w:r>
              <w:rPr>
                <w:rFonts w:eastAsia="仿宋_GB2312"/>
                <w:kern w:val="0"/>
                <w:szCs w:val="21"/>
              </w:rPr>
              <w:t>支出进度</w:t>
            </w:r>
          </w:p>
        </w:tc>
        <w:tc>
          <w:tcPr>
            <w:tcW w:w="794" w:type="dxa"/>
            <w:tcBorders>
              <w:top w:val="single" w:color="auto" w:sz="4" w:space="0"/>
              <w:left w:val="single" w:color="auto" w:sz="4" w:space="0"/>
              <w:bottom w:val="single" w:color="auto" w:sz="4" w:space="0"/>
              <w:right w:val="single" w:color="auto" w:sz="4" w:space="0"/>
            </w:tcBorders>
            <w:noWrap w:val="0"/>
            <w:vAlign w:val="center"/>
          </w:tcPr>
          <w:p w14:paraId="06148300">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14:paraId="2D5D0C36">
            <w:pPr>
              <w:widowControl/>
              <w:jc w:val="left"/>
              <w:rPr>
                <w:rFonts w:eastAsia="仿宋_GB2312"/>
                <w:kern w:val="0"/>
                <w:szCs w:val="21"/>
              </w:rPr>
            </w:pPr>
            <w:r>
              <w:rPr>
                <w:rFonts w:eastAsia="仿宋_GB2312"/>
                <w:kern w:val="0"/>
                <w:szCs w:val="21"/>
              </w:rPr>
              <w:t>单位基本支出和业务性专项应按季度使用，项目资金的支出应与实施进度一致。每发现一项资金未按进度支出使用扣0.5分，扣完为止。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6A1DCF1B">
            <w:pPr>
              <w:widowControl/>
              <w:jc w:val="left"/>
              <w:rPr>
                <w:rFonts w:eastAsia="仿宋_GB2312"/>
                <w:kern w:val="0"/>
                <w:szCs w:val="21"/>
              </w:rPr>
            </w:pPr>
            <w:r>
              <w:rPr>
                <w:rFonts w:eastAsia="仿宋_GB2312"/>
                <w:kern w:val="0"/>
                <w:szCs w:val="21"/>
              </w:rPr>
              <w:t>　</w:t>
            </w:r>
          </w:p>
        </w:tc>
        <w:tc>
          <w:tcPr>
            <w:tcW w:w="2107" w:type="dxa"/>
            <w:tcBorders>
              <w:top w:val="single" w:color="auto" w:sz="4" w:space="0"/>
              <w:left w:val="single" w:color="auto" w:sz="4" w:space="0"/>
              <w:bottom w:val="single" w:color="auto" w:sz="4" w:space="0"/>
              <w:right w:val="single" w:color="auto" w:sz="4" w:space="0"/>
            </w:tcBorders>
            <w:noWrap w:val="0"/>
            <w:vAlign w:val="center"/>
          </w:tcPr>
          <w:p w14:paraId="72C2A026">
            <w:pPr>
              <w:widowControl/>
              <w:jc w:val="left"/>
              <w:rPr>
                <w:rFonts w:hint="eastAsia" w:eastAsia="宋体"/>
                <w:kern w:val="0"/>
                <w:szCs w:val="21"/>
                <w:lang w:val="en-US" w:eastAsia="zh-CN"/>
              </w:rPr>
            </w:pPr>
            <w:r>
              <w:rPr>
                <w:kern w:val="0"/>
                <w:szCs w:val="21"/>
              </w:rPr>
              <w:t>　</w:t>
            </w:r>
            <w:r>
              <w:rPr>
                <w:rFonts w:hint="eastAsia"/>
                <w:kern w:val="0"/>
                <w:szCs w:val="21"/>
                <w:lang w:val="en-US" w:eastAsia="zh-CN"/>
              </w:rPr>
              <w:t>4</w:t>
            </w:r>
          </w:p>
        </w:tc>
      </w:tr>
      <w:tr w14:paraId="71E1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9"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14:paraId="0E9B31C0">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14:paraId="418AF328">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35990804">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14:paraId="7DF618AC">
            <w:pPr>
              <w:widowControl/>
              <w:jc w:val="center"/>
              <w:rPr>
                <w:rFonts w:eastAsia="仿宋_GB2312"/>
                <w:kern w:val="0"/>
                <w:szCs w:val="21"/>
              </w:rPr>
            </w:pPr>
            <w:r>
              <w:rPr>
                <w:rFonts w:eastAsia="仿宋_GB2312"/>
                <w:kern w:val="0"/>
                <w:szCs w:val="21"/>
              </w:rPr>
              <w:t>资金结余</w:t>
            </w:r>
          </w:p>
        </w:tc>
        <w:tc>
          <w:tcPr>
            <w:tcW w:w="794" w:type="dxa"/>
            <w:tcBorders>
              <w:top w:val="single" w:color="auto" w:sz="4" w:space="0"/>
              <w:left w:val="single" w:color="auto" w:sz="4" w:space="0"/>
              <w:bottom w:val="single" w:color="auto" w:sz="4" w:space="0"/>
              <w:right w:val="single" w:color="auto" w:sz="4" w:space="0"/>
            </w:tcBorders>
            <w:noWrap w:val="0"/>
            <w:vAlign w:val="center"/>
          </w:tcPr>
          <w:p w14:paraId="0000A4B8">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14:paraId="776E61C0">
            <w:pPr>
              <w:widowControl/>
              <w:jc w:val="left"/>
              <w:rPr>
                <w:rFonts w:eastAsia="仿宋_GB2312"/>
                <w:kern w:val="0"/>
                <w:szCs w:val="21"/>
              </w:rPr>
            </w:pPr>
            <w:r>
              <w:rPr>
                <w:rFonts w:eastAsia="仿宋_GB2312"/>
                <w:kern w:val="0"/>
                <w:szCs w:val="21"/>
              </w:rPr>
              <w:t>当年无结余，4分；</w:t>
            </w:r>
            <w:r>
              <w:rPr>
                <w:rFonts w:eastAsia="仿宋_GB2312"/>
                <w:kern w:val="0"/>
                <w:szCs w:val="21"/>
              </w:rPr>
              <w:br w:type="textWrapping"/>
            </w:r>
            <w:r>
              <w:rPr>
                <w:rFonts w:eastAsia="仿宋_GB2312"/>
                <w:kern w:val="0"/>
                <w:szCs w:val="21"/>
              </w:rPr>
              <w:t>当年有结余，但不超过上年结转，3分；</w:t>
            </w:r>
            <w:r>
              <w:rPr>
                <w:rFonts w:eastAsia="仿宋_GB2312"/>
                <w:kern w:val="0"/>
                <w:szCs w:val="21"/>
              </w:rPr>
              <w:br w:type="textWrapping"/>
            </w:r>
            <w:r>
              <w:rPr>
                <w:rFonts w:eastAsia="仿宋_GB2312"/>
                <w:kern w:val="0"/>
                <w:szCs w:val="21"/>
              </w:rPr>
              <w:t>当年结余超过上年结转，不得分。</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48B2B801">
            <w:pPr>
              <w:widowControl/>
              <w:jc w:val="left"/>
              <w:rPr>
                <w:rFonts w:eastAsia="仿宋_GB2312"/>
                <w:kern w:val="0"/>
                <w:szCs w:val="21"/>
              </w:rPr>
            </w:pPr>
            <w:r>
              <w:rPr>
                <w:rFonts w:eastAsia="仿宋_GB2312"/>
                <w:kern w:val="0"/>
                <w:szCs w:val="21"/>
              </w:rPr>
              <w:t>　</w:t>
            </w:r>
          </w:p>
        </w:tc>
        <w:tc>
          <w:tcPr>
            <w:tcW w:w="2107" w:type="dxa"/>
            <w:tcBorders>
              <w:top w:val="single" w:color="auto" w:sz="4" w:space="0"/>
              <w:left w:val="single" w:color="auto" w:sz="4" w:space="0"/>
              <w:bottom w:val="single" w:color="auto" w:sz="4" w:space="0"/>
              <w:right w:val="single" w:color="auto" w:sz="4" w:space="0"/>
            </w:tcBorders>
            <w:noWrap w:val="0"/>
            <w:vAlign w:val="center"/>
          </w:tcPr>
          <w:p w14:paraId="40715E37">
            <w:pPr>
              <w:widowControl/>
              <w:jc w:val="left"/>
              <w:rPr>
                <w:rFonts w:hint="eastAsia" w:eastAsia="宋体"/>
                <w:kern w:val="0"/>
                <w:szCs w:val="21"/>
                <w:lang w:val="en-US" w:eastAsia="zh-CN"/>
              </w:rPr>
            </w:pPr>
            <w:r>
              <w:rPr>
                <w:kern w:val="0"/>
                <w:szCs w:val="21"/>
              </w:rPr>
              <w:t>　</w:t>
            </w:r>
            <w:r>
              <w:rPr>
                <w:rFonts w:hint="eastAsia"/>
                <w:kern w:val="0"/>
                <w:szCs w:val="21"/>
                <w:lang w:val="en-US" w:eastAsia="zh-CN"/>
              </w:rPr>
              <w:t>4</w:t>
            </w:r>
          </w:p>
        </w:tc>
      </w:tr>
      <w:tr w14:paraId="6C637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1"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14:paraId="25C0C2C7">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14:paraId="708CF69D">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0FF2BA28">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14:paraId="69C3FF39">
            <w:pPr>
              <w:widowControl/>
              <w:jc w:val="center"/>
              <w:rPr>
                <w:rFonts w:eastAsia="仿宋_GB2312"/>
                <w:kern w:val="0"/>
                <w:szCs w:val="21"/>
              </w:rPr>
            </w:pPr>
            <w:r>
              <w:rPr>
                <w:rFonts w:eastAsia="仿宋_GB2312"/>
                <w:kern w:val="0"/>
                <w:szCs w:val="21"/>
              </w:rPr>
              <w:t>“三公经费”</w:t>
            </w:r>
            <w:r>
              <w:rPr>
                <w:rFonts w:eastAsia="仿宋_GB2312"/>
                <w:kern w:val="0"/>
                <w:szCs w:val="21"/>
              </w:rPr>
              <w:br w:type="textWrapping"/>
            </w:r>
            <w:r>
              <w:rPr>
                <w:rFonts w:eastAsia="仿宋_GB2312"/>
                <w:kern w:val="0"/>
                <w:szCs w:val="21"/>
              </w:rPr>
              <w:t>控制率</w:t>
            </w:r>
          </w:p>
        </w:tc>
        <w:tc>
          <w:tcPr>
            <w:tcW w:w="794" w:type="dxa"/>
            <w:tcBorders>
              <w:top w:val="single" w:color="auto" w:sz="4" w:space="0"/>
              <w:left w:val="single" w:color="auto" w:sz="4" w:space="0"/>
              <w:bottom w:val="single" w:color="auto" w:sz="4" w:space="0"/>
              <w:right w:val="single" w:color="auto" w:sz="4" w:space="0"/>
            </w:tcBorders>
            <w:noWrap w:val="0"/>
            <w:vAlign w:val="center"/>
          </w:tcPr>
          <w:p w14:paraId="35248F6D">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14:paraId="391D2E72">
            <w:pPr>
              <w:widowControl/>
              <w:jc w:val="left"/>
              <w:rPr>
                <w:rFonts w:eastAsia="仿宋_GB2312"/>
                <w:kern w:val="0"/>
                <w:szCs w:val="21"/>
              </w:rPr>
            </w:pPr>
            <w:r>
              <w:rPr>
                <w:rFonts w:eastAsia="仿宋_GB2312"/>
                <w:kern w:val="0"/>
                <w:szCs w:val="21"/>
              </w:rPr>
              <w:t>以100%为标准。三公经费控制率</w:t>
            </w:r>
            <w:r>
              <w:rPr>
                <w:kern w:val="0"/>
                <w:szCs w:val="21"/>
              </w:rPr>
              <w:t>≦</w:t>
            </w:r>
            <w:r>
              <w:rPr>
                <w:rFonts w:eastAsia="仿宋_GB2312"/>
                <w:kern w:val="0"/>
                <w:szCs w:val="21"/>
              </w:rPr>
              <w:t>100%，计4分；每超过一个百分点扣1分，扣完为止。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57CB6F9D">
            <w:pPr>
              <w:widowControl/>
              <w:jc w:val="left"/>
              <w:rPr>
                <w:rFonts w:eastAsia="仿宋_GB2312"/>
                <w:kern w:val="0"/>
                <w:szCs w:val="21"/>
              </w:rPr>
            </w:pPr>
            <w:r>
              <w:rPr>
                <w:rFonts w:eastAsia="仿宋_GB2312"/>
                <w:kern w:val="0"/>
                <w:szCs w:val="21"/>
              </w:rPr>
              <w:t>“三公经费”控制率=（“三公经费”实际支出数/“三公经费”预算安排数）×100%。</w:t>
            </w:r>
          </w:p>
        </w:tc>
        <w:tc>
          <w:tcPr>
            <w:tcW w:w="2107" w:type="dxa"/>
            <w:tcBorders>
              <w:top w:val="single" w:color="auto" w:sz="4" w:space="0"/>
              <w:left w:val="single" w:color="auto" w:sz="4" w:space="0"/>
              <w:bottom w:val="single" w:color="auto" w:sz="4" w:space="0"/>
              <w:right w:val="single" w:color="auto" w:sz="4" w:space="0"/>
            </w:tcBorders>
            <w:noWrap w:val="0"/>
            <w:vAlign w:val="center"/>
          </w:tcPr>
          <w:p w14:paraId="24E1F4F0">
            <w:pPr>
              <w:widowControl/>
              <w:jc w:val="left"/>
              <w:rPr>
                <w:rFonts w:hint="eastAsia" w:eastAsia="宋体"/>
                <w:kern w:val="0"/>
                <w:szCs w:val="21"/>
                <w:lang w:val="en-US" w:eastAsia="zh-CN"/>
              </w:rPr>
            </w:pPr>
            <w:r>
              <w:rPr>
                <w:kern w:val="0"/>
                <w:szCs w:val="21"/>
              </w:rPr>
              <w:t>　</w:t>
            </w:r>
            <w:r>
              <w:rPr>
                <w:rFonts w:hint="eastAsia"/>
                <w:kern w:val="0"/>
                <w:szCs w:val="21"/>
                <w:lang w:val="en-US" w:eastAsia="zh-CN"/>
              </w:rPr>
              <w:t>4</w:t>
            </w:r>
          </w:p>
        </w:tc>
      </w:tr>
      <w:tr w14:paraId="7B880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5" w:hRule="atLeast"/>
          <w:jc w:val="center"/>
        </w:trPr>
        <w:tc>
          <w:tcPr>
            <w:tcW w:w="796"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2B401972">
            <w:pPr>
              <w:widowControl/>
              <w:jc w:val="center"/>
              <w:rPr>
                <w:rFonts w:eastAsia="仿宋_GB2312"/>
                <w:kern w:val="0"/>
                <w:szCs w:val="21"/>
              </w:rPr>
            </w:pPr>
            <w:r>
              <w:rPr>
                <w:rFonts w:eastAsia="仿宋_GB2312"/>
                <w:kern w:val="0"/>
                <w:szCs w:val="21"/>
              </w:rPr>
              <w:t>过      程</w:t>
            </w:r>
          </w:p>
        </w:tc>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14:paraId="4C3EBE22">
            <w:pPr>
              <w:widowControl/>
              <w:jc w:val="left"/>
              <w:rPr>
                <w:rFonts w:eastAsia="仿宋_GB2312"/>
                <w:kern w:val="0"/>
                <w:szCs w:val="21"/>
              </w:rPr>
            </w:pPr>
            <w:r>
              <w:rPr>
                <w:rFonts w:eastAsia="仿宋_GB2312"/>
                <w:kern w:val="0"/>
                <w:szCs w:val="21"/>
              </w:rPr>
              <w:t>预算管理</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14:paraId="7DB6DFCA">
            <w:pPr>
              <w:widowControl/>
              <w:jc w:val="center"/>
              <w:rPr>
                <w:rFonts w:eastAsia="仿宋_GB2312"/>
                <w:kern w:val="0"/>
                <w:szCs w:val="21"/>
              </w:rPr>
            </w:pPr>
            <w:r>
              <w:rPr>
                <w:rFonts w:eastAsia="仿宋_GB2312"/>
                <w:kern w:val="0"/>
                <w:szCs w:val="21"/>
              </w:rPr>
              <w:t>16</w:t>
            </w:r>
          </w:p>
        </w:tc>
        <w:tc>
          <w:tcPr>
            <w:tcW w:w="1334" w:type="dxa"/>
            <w:tcBorders>
              <w:top w:val="single" w:color="auto" w:sz="4" w:space="0"/>
              <w:left w:val="single" w:color="auto" w:sz="4" w:space="0"/>
              <w:bottom w:val="single" w:color="auto" w:sz="4" w:space="0"/>
              <w:right w:val="single" w:color="auto" w:sz="4" w:space="0"/>
            </w:tcBorders>
            <w:noWrap w:val="0"/>
            <w:vAlign w:val="center"/>
          </w:tcPr>
          <w:p w14:paraId="201B42D8">
            <w:pPr>
              <w:widowControl/>
              <w:jc w:val="center"/>
              <w:rPr>
                <w:rFonts w:eastAsia="仿宋_GB2312"/>
                <w:kern w:val="0"/>
                <w:szCs w:val="21"/>
              </w:rPr>
            </w:pPr>
            <w:r>
              <w:rPr>
                <w:rFonts w:eastAsia="仿宋_GB2312"/>
                <w:kern w:val="0"/>
                <w:szCs w:val="21"/>
              </w:rPr>
              <w:t>管理制度</w:t>
            </w:r>
            <w:r>
              <w:rPr>
                <w:rFonts w:eastAsia="仿宋_GB2312"/>
                <w:kern w:val="0"/>
                <w:szCs w:val="21"/>
              </w:rPr>
              <w:br w:type="textWrapping"/>
            </w:r>
            <w:r>
              <w:rPr>
                <w:rFonts w:eastAsia="仿宋_GB2312"/>
                <w:kern w:val="0"/>
                <w:szCs w:val="21"/>
              </w:rPr>
              <w:t>健全性</w:t>
            </w:r>
          </w:p>
        </w:tc>
        <w:tc>
          <w:tcPr>
            <w:tcW w:w="794" w:type="dxa"/>
            <w:tcBorders>
              <w:top w:val="single" w:color="auto" w:sz="4" w:space="0"/>
              <w:left w:val="single" w:color="auto" w:sz="4" w:space="0"/>
              <w:bottom w:val="single" w:color="auto" w:sz="4" w:space="0"/>
              <w:right w:val="single" w:color="auto" w:sz="4" w:space="0"/>
            </w:tcBorders>
            <w:noWrap w:val="0"/>
            <w:vAlign w:val="center"/>
          </w:tcPr>
          <w:p w14:paraId="136325BD">
            <w:pPr>
              <w:widowControl/>
              <w:jc w:val="center"/>
              <w:rPr>
                <w:rFonts w:eastAsia="仿宋_GB2312"/>
                <w:kern w:val="0"/>
                <w:szCs w:val="21"/>
              </w:rPr>
            </w:pPr>
            <w:r>
              <w:rPr>
                <w:rFonts w:eastAsia="仿宋_GB2312"/>
                <w:kern w:val="0"/>
                <w:szCs w:val="21"/>
              </w:rPr>
              <w:t>6</w:t>
            </w:r>
          </w:p>
        </w:tc>
        <w:tc>
          <w:tcPr>
            <w:tcW w:w="4140" w:type="dxa"/>
            <w:tcBorders>
              <w:top w:val="single" w:color="auto" w:sz="4" w:space="0"/>
              <w:left w:val="single" w:color="auto" w:sz="4" w:space="0"/>
              <w:bottom w:val="single" w:color="auto" w:sz="4" w:space="0"/>
              <w:right w:val="single" w:color="auto" w:sz="4" w:space="0"/>
            </w:tcBorders>
            <w:noWrap w:val="0"/>
            <w:vAlign w:val="center"/>
          </w:tcPr>
          <w:p w14:paraId="591A1B2A">
            <w:pPr>
              <w:widowControl/>
              <w:jc w:val="left"/>
              <w:rPr>
                <w:rFonts w:eastAsia="仿宋_GB2312"/>
                <w:kern w:val="0"/>
                <w:szCs w:val="21"/>
              </w:rPr>
            </w:pPr>
            <w:r>
              <w:rPr>
                <w:rFonts w:eastAsia="仿宋_GB2312"/>
                <w:kern w:val="0"/>
                <w:szCs w:val="21"/>
              </w:rPr>
              <w:t>①已制定或具有预算资金管理办法，内部财务管理制度、会计核算制度等管理制度，2分；</w:t>
            </w:r>
            <w:r>
              <w:rPr>
                <w:rFonts w:eastAsia="仿宋_GB2312"/>
                <w:kern w:val="0"/>
                <w:szCs w:val="21"/>
              </w:rPr>
              <w:br w:type="textWrapping"/>
            </w:r>
            <w:r>
              <w:rPr>
                <w:rFonts w:eastAsia="仿宋_GB2312"/>
                <w:kern w:val="0"/>
                <w:szCs w:val="21"/>
              </w:rPr>
              <w:t>②相关管理制度合法、合规、完整，2分；</w:t>
            </w:r>
            <w:r>
              <w:rPr>
                <w:rFonts w:eastAsia="仿宋_GB2312"/>
                <w:kern w:val="0"/>
                <w:szCs w:val="21"/>
              </w:rPr>
              <w:br w:type="textWrapping"/>
            </w:r>
            <w:r>
              <w:rPr>
                <w:rFonts w:eastAsia="仿宋_GB2312"/>
                <w:kern w:val="0"/>
                <w:szCs w:val="21"/>
              </w:rPr>
              <w:t>③相关管理制度得到有效执行，2分。</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1A755831">
            <w:pPr>
              <w:widowControl/>
              <w:jc w:val="left"/>
              <w:rPr>
                <w:rFonts w:eastAsia="仿宋_GB2312"/>
                <w:kern w:val="0"/>
                <w:szCs w:val="21"/>
              </w:rPr>
            </w:pPr>
            <w:r>
              <w:rPr>
                <w:rFonts w:eastAsia="仿宋_GB2312"/>
                <w:kern w:val="0"/>
                <w:szCs w:val="21"/>
              </w:rPr>
              <w:t>　</w:t>
            </w:r>
          </w:p>
        </w:tc>
        <w:tc>
          <w:tcPr>
            <w:tcW w:w="2107" w:type="dxa"/>
            <w:tcBorders>
              <w:top w:val="single" w:color="auto" w:sz="4" w:space="0"/>
              <w:left w:val="single" w:color="auto" w:sz="4" w:space="0"/>
              <w:bottom w:val="single" w:color="auto" w:sz="4" w:space="0"/>
              <w:right w:val="single" w:color="auto" w:sz="4" w:space="0"/>
            </w:tcBorders>
            <w:noWrap w:val="0"/>
            <w:vAlign w:val="center"/>
          </w:tcPr>
          <w:p w14:paraId="3C9E9D53">
            <w:pPr>
              <w:widowControl/>
              <w:jc w:val="left"/>
              <w:rPr>
                <w:rFonts w:hint="eastAsia" w:eastAsia="宋体"/>
                <w:kern w:val="0"/>
                <w:szCs w:val="21"/>
                <w:lang w:val="en-US" w:eastAsia="zh-CN"/>
              </w:rPr>
            </w:pPr>
            <w:r>
              <w:rPr>
                <w:kern w:val="0"/>
                <w:szCs w:val="21"/>
              </w:rPr>
              <w:t>　</w:t>
            </w:r>
            <w:r>
              <w:rPr>
                <w:rFonts w:hint="eastAsia"/>
                <w:kern w:val="0"/>
                <w:szCs w:val="21"/>
                <w:lang w:val="en-US" w:eastAsia="zh-CN"/>
              </w:rPr>
              <w:t>6</w:t>
            </w:r>
          </w:p>
        </w:tc>
      </w:tr>
      <w:tr w14:paraId="0B8C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0"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14:paraId="66E7D63B">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14:paraId="44BAE590">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1AA2C182">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14:paraId="5EA32CB5">
            <w:pPr>
              <w:widowControl/>
              <w:jc w:val="center"/>
              <w:rPr>
                <w:rFonts w:eastAsia="仿宋_GB2312"/>
                <w:kern w:val="0"/>
                <w:szCs w:val="21"/>
              </w:rPr>
            </w:pPr>
            <w:r>
              <w:rPr>
                <w:rFonts w:eastAsia="仿宋_GB2312"/>
                <w:kern w:val="0"/>
                <w:szCs w:val="21"/>
              </w:rPr>
              <w:t>资金使用</w:t>
            </w:r>
            <w:r>
              <w:rPr>
                <w:rFonts w:eastAsia="仿宋_GB2312"/>
                <w:kern w:val="0"/>
                <w:szCs w:val="21"/>
              </w:rPr>
              <w:br w:type="textWrapping"/>
            </w:r>
            <w:r>
              <w:rPr>
                <w:rFonts w:eastAsia="仿宋_GB2312"/>
                <w:kern w:val="0"/>
                <w:szCs w:val="21"/>
              </w:rPr>
              <w:t>合规性</w:t>
            </w:r>
          </w:p>
        </w:tc>
        <w:tc>
          <w:tcPr>
            <w:tcW w:w="794" w:type="dxa"/>
            <w:tcBorders>
              <w:top w:val="single" w:color="auto" w:sz="4" w:space="0"/>
              <w:left w:val="single" w:color="auto" w:sz="4" w:space="0"/>
              <w:bottom w:val="single" w:color="auto" w:sz="4" w:space="0"/>
              <w:right w:val="single" w:color="auto" w:sz="4" w:space="0"/>
            </w:tcBorders>
            <w:noWrap w:val="0"/>
            <w:vAlign w:val="center"/>
          </w:tcPr>
          <w:p w14:paraId="1D3AE126">
            <w:pPr>
              <w:widowControl/>
              <w:jc w:val="center"/>
              <w:rPr>
                <w:rFonts w:eastAsia="仿宋_GB2312"/>
                <w:kern w:val="0"/>
                <w:szCs w:val="21"/>
              </w:rPr>
            </w:pPr>
            <w:r>
              <w:rPr>
                <w:rFonts w:eastAsia="仿宋_GB2312"/>
                <w:kern w:val="0"/>
                <w:szCs w:val="21"/>
              </w:rPr>
              <w:t>5</w:t>
            </w:r>
          </w:p>
        </w:tc>
        <w:tc>
          <w:tcPr>
            <w:tcW w:w="4140" w:type="dxa"/>
            <w:tcBorders>
              <w:top w:val="single" w:color="auto" w:sz="4" w:space="0"/>
              <w:left w:val="single" w:color="auto" w:sz="4" w:space="0"/>
              <w:bottom w:val="single" w:color="auto" w:sz="4" w:space="0"/>
              <w:right w:val="single" w:color="auto" w:sz="4" w:space="0"/>
            </w:tcBorders>
            <w:noWrap w:val="0"/>
            <w:vAlign w:val="center"/>
          </w:tcPr>
          <w:p w14:paraId="5FAC75EA">
            <w:pPr>
              <w:widowControl/>
              <w:jc w:val="left"/>
              <w:rPr>
                <w:rFonts w:eastAsia="仿宋_GB2312"/>
                <w:kern w:val="0"/>
                <w:szCs w:val="21"/>
              </w:rPr>
            </w:pPr>
            <w:r>
              <w:rPr>
                <w:rFonts w:eastAsia="仿宋_GB2312"/>
                <w:kern w:val="0"/>
                <w:szCs w:val="21"/>
              </w:rPr>
              <w:t>①支出符合国家财经法规和财务管理制度规定以及有关专项资金管理办法的规定；</w:t>
            </w:r>
            <w:r>
              <w:rPr>
                <w:rFonts w:eastAsia="仿宋_GB2312"/>
                <w:kern w:val="0"/>
                <w:szCs w:val="21"/>
              </w:rPr>
              <w:br w:type="textWrapping"/>
            </w:r>
            <w:r>
              <w:rPr>
                <w:rFonts w:eastAsia="仿宋_GB2312"/>
                <w:kern w:val="0"/>
                <w:szCs w:val="21"/>
              </w:rPr>
              <w:t>②资金拨付有完整的审批程序和手续；</w:t>
            </w:r>
            <w:r>
              <w:rPr>
                <w:rFonts w:eastAsia="仿宋_GB2312"/>
                <w:kern w:val="0"/>
                <w:szCs w:val="21"/>
              </w:rPr>
              <w:br w:type="textWrapping"/>
            </w:r>
            <w:r>
              <w:rPr>
                <w:rFonts w:eastAsia="仿宋_GB2312"/>
                <w:kern w:val="0"/>
                <w:szCs w:val="21"/>
              </w:rPr>
              <w:t>③项目支出符合政府采购及基建预决算评审相关要求；</w:t>
            </w:r>
            <w:r>
              <w:rPr>
                <w:rFonts w:eastAsia="仿宋_GB2312"/>
                <w:kern w:val="0"/>
                <w:szCs w:val="21"/>
              </w:rPr>
              <w:br w:type="textWrapping"/>
            </w:r>
            <w:r>
              <w:rPr>
                <w:rFonts w:eastAsia="仿宋_GB2312"/>
                <w:kern w:val="0"/>
                <w:szCs w:val="21"/>
              </w:rPr>
              <w:t>④支出符合部门预算批复的用途；</w:t>
            </w:r>
            <w:r>
              <w:rPr>
                <w:rFonts w:eastAsia="仿宋_GB2312"/>
                <w:kern w:val="0"/>
                <w:szCs w:val="21"/>
              </w:rPr>
              <w:br w:type="textWrapping"/>
            </w:r>
            <w:r>
              <w:rPr>
                <w:rFonts w:eastAsia="仿宋_GB2312"/>
                <w:kern w:val="0"/>
                <w:szCs w:val="21"/>
              </w:rPr>
              <w:t>⑤资金使用无截留、挤占、挪用、虚列支出等情况。</w:t>
            </w:r>
            <w:r>
              <w:rPr>
                <w:rFonts w:eastAsia="仿宋_GB2312"/>
                <w:kern w:val="0"/>
                <w:szCs w:val="21"/>
              </w:rPr>
              <w:br w:type="textWrapping"/>
            </w:r>
            <w:r>
              <w:rPr>
                <w:rFonts w:eastAsia="仿宋_GB2312"/>
                <w:kern w:val="0"/>
                <w:szCs w:val="21"/>
              </w:rPr>
              <w:t>以上情况每出现一例不符合要求的扣1分，扣完为止。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1349A4E6">
            <w:pPr>
              <w:widowControl/>
              <w:jc w:val="left"/>
              <w:rPr>
                <w:rFonts w:eastAsia="仿宋_GB2312"/>
                <w:kern w:val="0"/>
                <w:szCs w:val="21"/>
              </w:rPr>
            </w:pPr>
            <w:r>
              <w:rPr>
                <w:rFonts w:eastAsia="仿宋_GB2312"/>
                <w:kern w:val="0"/>
                <w:szCs w:val="21"/>
              </w:rPr>
              <w:t>部门（单位）使用预算资金是否符合相关的预算财务管理制度的规定，用以反映和考核部门（单位）预算资金的规范运行情况。</w:t>
            </w:r>
          </w:p>
        </w:tc>
        <w:tc>
          <w:tcPr>
            <w:tcW w:w="2107" w:type="dxa"/>
            <w:tcBorders>
              <w:top w:val="single" w:color="auto" w:sz="4" w:space="0"/>
              <w:left w:val="single" w:color="auto" w:sz="4" w:space="0"/>
              <w:bottom w:val="single" w:color="auto" w:sz="4" w:space="0"/>
              <w:right w:val="single" w:color="auto" w:sz="4" w:space="0"/>
            </w:tcBorders>
            <w:noWrap w:val="0"/>
            <w:vAlign w:val="center"/>
          </w:tcPr>
          <w:p w14:paraId="6AC93D46">
            <w:pPr>
              <w:widowControl/>
              <w:jc w:val="left"/>
              <w:rPr>
                <w:rFonts w:hint="eastAsia" w:eastAsia="宋体"/>
                <w:kern w:val="0"/>
                <w:szCs w:val="21"/>
                <w:lang w:val="en-US" w:eastAsia="zh-CN"/>
              </w:rPr>
            </w:pPr>
            <w:r>
              <w:rPr>
                <w:kern w:val="0"/>
                <w:szCs w:val="21"/>
              </w:rPr>
              <w:t>　</w:t>
            </w:r>
            <w:r>
              <w:rPr>
                <w:rFonts w:hint="eastAsia"/>
                <w:kern w:val="0"/>
                <w:szCs w:val="21"/>
                <w:lang w:val="en-US" w:eastAsia="zh-CN"/>
              </w:rPr>
              <w:t>5</w:t>
            </w:r>
          </w:p>
        </w:tc>
      </w:tr>
      <w:tr w14:paraId="36273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3"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14:paraId="3B82891E">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14:paraId="5ECE68CD">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2CFDB3E7">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14:paraId="093B3FBD">
            <w:pPr>
              <w:widowControl/>
              <w:jc w:val="center"/>
              <w:rPr>
                <w:rFonts w:eastAsia="仿宋_GB2312"/>
                <w:kern w:val="0"/>
                <w:szCs w:val="21"/>
              </w:rPr>
            </w:pPr>
            <w:r>
              <w:rPr>
                <w:rFonts w:eastAsia="仿宋_GB2312"/>
                <w:kern w:val="0"/>
                <w:szCs w:val="21"/>
              </w:rPr>
              <w:t>预决算信息公开性和完善性</w:t>
            </w:r>
          </w:p>
        </w:tc>
        <w:tc>
          <w:tcPr>
            <w:tcW w:w="794" w:type="dxa"/>
            <w:tcBorders>
              <w:top w:val="single" w:color="auto" w:sz="4" w:space="0"/>
              <w:left w:val="single" w:color="auto" w:sz="4" w:space="0"/>
              <w:bottom w:val="single" w:color="auto" w:sz="4" w:space="0"/>
              <w:right w:val="single" w:color="auto" w:sz="4" w:space="0"/>
            </w:tcBorders>
            <w:noWrap w:val="0"/>
            <w:vAlign w:val="center"/>
          </w:tcPr>
          <w:p w14:paraId="56372F80">
            <w:pPr>
              <w:widowControl/>
              <w:jc w:val="center"/>
              <w:rPr>
                <w:rFonts w:eastAsia="仿宋_GB2312"/>
                <w:kern w:val="0"/>
                <w:szCs w:val="21"/>
              </w:rPr>
            </w:pPr>
            <w:r>
              <w:rPr>
                <w:rFonts w:eastAsia="仿宋_GB2312"/>
                <w:kern w:val="0"/>
                <w:szCs w:val="21"/>
              </w:rPr>
              <w:t>5</w:t>
            </w:r>
          </w:p>
        </w:tc>
        <w:tc>
          <w:tcPr>
            <w:tcW w:w="4140" w:type="dxa"/>
            <w:tcBorders>
              <w:top w:val="single" w:color="auto" w:sz="4" w:space="0"/>
              <w:left w:val="single" w:color="auto" w:sz="4" w:space="0"/>
              <w:bottom w:val="single" w:color="auto" w:sz="4" w:space="0"/>
              <w:right w:val="single" w:color="auto" w:sz="4" w:space="0"/>
            </w:tcBorders>
            <w:noWrap w:val="0"/>
            <w:vAlign w:val="center"/>
          </w:tcPr>
          <w:p w14:paraId="49D244D9">
            <w:pPr>
              <w:widowControl/>
              <w:jc w:val="left"/>
              <w:rPr>
                <w:rFonts w:eastAsia="仿宋_GB2312"/>
                <w:kern w:val="0"/>
                <w:szCs w:val="21"/>
              </w:rPr>
            </w:pPr>
            <w:r>
              <w:rPr>
                <w:rFonts w:eastAsia="仿宋_GB2312"/>
                <w:kern w:val="0"/>
                <w:szCs w:val="21"/>
              </w:rPr>
              <w:t>①按规定内容公开预决算信息，1分；</w:t>
            </w:r>
            <w:r>
              <w:rPr>
                <w:rFonts w:eastAsia="仿宋_GB2312"/>
                <w:kern w:val="0"/>
                <w:szCs w:val="21"/>
              </w:rPr>
              <w:br w:type="textWrapping"/>
            </w:r>
            <w:r>
              <w:rPr>
                <w:rFonts w:eastAsia="仿宋_GB2312"/>
                <w:kern w:val="0"/>
                <w:szCs w:val="21"/>
              </w:rPr>
              <w:t>②按规定时限公开预决算信息，1分；</w:t>
            </w:r>
            <w:r>
              <w:rPr>
                <w:rFonts w:eastAsia="仿宋_GB2312"/>
                <w:kern w:val="0"/>
                <w:szCs w:val="21"/>
              </w:rPr>
              <w:br w:type="textWrapping"/>
            </w:r>
            <w:r>
              <w:rPr>
                <w:rFonts w:eastAsia="仿宋_GB2312"/>
                <w:kern w:val="0"/>
                <w:szCs w:val="21"/>
              </w:rPr>
              <w:t>③基础数据信息和会计信息资料真实，1分；</w:t>
            </w:r>
            <w:r>
              <w:rPr>
                <w:rFonts w:eastAsia="仿宋_GB2312"/>
                <w:kern w:val="0"/>
                <w:szCs w:val="21"/>
              </w:rPr>
              <w:br w:type="textWrapping"/>
            </w:r>
            <w:r>
              <w:rPr>
                <w:rFonts w:eastAsia="仿宋_GB2312"/>
                <w:kern w:val="0"/>
                <w:szCs w:val="21"/>
              </w:rPr>
              <w:t>④基础数据信息和会计信息资料完整，1分；</w:t>
            </w:r>
            <w:r>
              <w:rPr>
                <w:rFonts w:eastAsia="仿宋_GB2312"/>
                <w:kern w:val="0"/>
                <w:szCs w:val="21"/>
              </w:rPr>
              <w:br w:type="textWrapping"/>
            </w:r>
            <w:r>
              <w:rPr>
                <w:rFonts w:eastAsia="仿宋_GB2312"/>
                <w:kern w:val="0"/>
                <w:szCs w:val="21"/>
              </w:rPr>
              <w:t xml:space="preserve">⑤基础数据信息和汇集信息资料准确，1分。                                            </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0DE52254">
            <w:pPr>
              <w:widowControl/>
              <w:jc w:val="left"/>
              <w:rPr>
                <w:rFonts w:eastAsia="仿宋_GB2312"/>
                <w:kern w:val="0"/>
                <w:szCs w:val="21"/>
              </w:rPr>
            </w:pPr>
            <w:r>
              <w:rPr>
                <w:rFonts w:eastAsia="仿宋_GB2312"/>
                <w:kern w:val="0"/>
                <w:szCs w:val="21"/>
              </w:rPr>
              <w:t xml:space="preserve">预决算信息是指与部门预算、执行、决算、监督、绩效等管理相关的信息。                                            </w:t>
            </w:r>
          </w:p>
        </w:tc>
        <w:tc>
          <w:tcPr>
            <w:tcW w:w="2107" w:type="dxa"/>
            <w:tcBorders>
              <w:top w:val="single" w:color="auto" w:sz="4" w:space="0"/>
              <w:left w:val="single" w:color="auto" w:sz="4" w:space="0"/>
              <w:bottom w:val="single" w:color="auto" w:sz="4" w:space="0"/>
              <w:right w:val="single" w:color="auto" w:sz="4" w:space="0"/>
            </w:tcBorders>
            <w:noWrap w:val="0"/>
            <w:vAlign w:val="center"/>
          </w:tcPr>
          <w:p w14:paraId="15819A3A">
            <w:pPr>
              <w:widowControl/>
              <w:jc w:val="left"/>
              <w:rPr>
                <w:rFonts w:hint="eastAsia" w:eastAsia="宋体"/>
                <w:kern w:val="0"/>
                <w:szCs w:val="21"/>
                <w:lang w:val="en-US" w:eastAsia="zh-CN"/>
              </w:rPr>
            </w:pPr>
            <w:r>
              <w:rPr>
                <w:kern w:val="0"/>
                <w:szCs w:val="21"/>
              </w:rPr>
              <w:t>　</w:t>
            </w:r>
            <w:r>
              <w:rPr>
                <w:rFonts w:hint="eastAsia"/>
                <w:kern w:val="0"/>
                <w:szCs w:val="21"/>
                <w:lang w:val="en-US" w:eastAsia="zh-CN"/>
              </w:rPr>
              <w:t>5</w:t>
            </w:r>
          </w:p>
        </w:tc>
      </w:tr>
      <w:tr w14:paraId="6D3F8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7"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14:paraId="11F78466">
            <w:pPr>
              <w:rPr>
                <w:szCs w:val="21"/>
              </w:rPr>
            </w:pPr>
          </w:p>
        </w:tc>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14:paraId="7814E9D5">
            <w:pPr>
              <w:widowControl/>
              <w:jc w:val="center"/>
              <w:rPr>
                <w:rFonts w:eastAsia="仿宋_GB2312"/>
                <w:kern w:val="0"/>
                <w:szCs w:val="21"/>
              </w:rPr>
            </w:pPr>
            <w:r>
              <w:rPr>
                <w:rFonts w:eastAsia="仿宋_GB2312"/>
                <w:kern w:val="0"/>
                <w:szCs w:val="21"/>
              </w:rPr>
              <w:t>资产管理</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14:paraId="04F21661">
            <w:pPr>
              <w:widowControl/>
              <w:jc w:val="center"/>
              <w:rPr>
                <w:rFonts w:eastAsia="仿宋_GB2312"/>
                <w:kern w:val="0"/>
                <w:szCs w:val="21"/>
              </w:rPr>
            </w:pPr>
            <w:r>
              <w:rPr>
                <w:rFonts w:eastAsia="仿宋_GB2312"/>
                <w:kern w:val="0"/>
                <w:szCs w:val="21"/>
              </w:rPr>
              <w:t>12</w:t>
            </w:r>
          </w:p>
        </w:tc>
        <w:tc>
          <w:tcPr>
            <w:tcW w:w="1334" w:type="dxa"/>
            <w:tcBorders>
              <w:top w:val="single" w:color="auto" w:sz="4" w:space="0"/>
              <w:left w:val="single" w:color="auto" w:sz="4" w:space="0"/>
              <w:bottom w:val="single" w:color="auto" w:sz="4" w:space="0"/>
              <w:right w:val="single" w:color="auto" w:sz="4" w:space="0"/>
            </w:tcBorders>
            <w:noWrap w:val="0"/>
            <w:vAlign w:val="center"/>
          </w:tcPr>
          <w:p w14:paraId="0C3AE7D8">
            <w:pPr>
              <w:widowControl/>
              <w:jc w:val="center"/>
              <w:rPr>
                <w:rFonts w:eastAsia="仿宋_GB2312"/>
                <w:kern w:val="0"/>
                <w:szCs w:val="21"/>
              </w:rPr>
            </w:pPr>
            <w:r>
              <w:rPr>
                <w:rFonts w:eastAsia="仿宋_GB2312"/>
                <w:kern w:val="0"/>
                <w:szCs w:val="21"/>
              </w:rPr>
              <w:t>管理制度</w:t>
            </w:r>
            <w:r>
              <w:rPr>
                <w:rFonts w:eastAsia="仿宋_GB2312"/>
                <w:kern w:val="0"/>
                <w:szCs w:val="21"/>
              </w:rPr>
              <w:br w:type="textWrapping"/>
            </w:r>
            <w:r>
              <w:rPr>
                <w:rFonts w:eastAsia="仿宋_GB2312"/>
                <w:kern w:val="0"/>
                <w:szCs w:val="21"/>
              </w:rPr>
              <w:t>健全性</w:t>
            </w:r>
          </w:p>
        </w:tc>
        <w:tc>
          <w:tcPr>
            <w:tcW w:w="794" w:type="dxa"/>
            <w:tcBorders>
              <w:top w:val="single" w:color="auto" w:sz="4" w:space="0"/>
              <w:left w:val="single" w:color="auto" w:sz="4" w:space="0"/>
              <w:bottom w:val="single" w:color="auto" w:sz="4" w:space="0"/>
              <w:right w:val="single" w:color="auto" w:sz="4" w:space="0"/>
            </w:tcBorders>
            <w:noWrap w:val="0"/>
            <w:vAlign w:val="center"/>
          </w:tcPr>
          <w:p w14:paraId="17985231">
            <w:pPr>
              <w:widowControl/>
              <w:jc w:val="center"/>
              <w:rPr>
                <w:rFonts w:eastAsia="仿宋_GB2312"/>
                <w:kern w:val="0"/>
                <w:szCs w:val="21"/>
              </w:rPr>
            </w:pPr>
            <w:r>
              <w:rPr>
                <w:rFonts w:eastAsia="仿宋_GB2312"/>
                <w:kern w:val="0"/>
                <w:szCs w:val="21"/>
              </w:rPr>
              <w:t>4</w:t>
            </w:r>
          </w:p>
        </w:tc>
        <w:tc>
          <w:tcPr>
            <w:tcW w:w="4140" w:type="dxa"/>
            <w:tcBorders>
              <w:top w:val="single" w:color="auto" w:sz="4" w:space="0"/>
              <w:left w:val="single" w:color="auto" w:sz="4" w:space="0"/>
              <w:bottom w:val="single" w:color="auto" w:sz="4" w:space="0"/>
              <w:right w:val="single" w:color="auto" w:sz="4" w:space="0"/>
            </w:tcBorders>
            <w:noWrap w:val="0"/>
            <w:vAlign w:val="center"/>
          </w:tcPr>
          <w:p w14:paraId="4A3EDF67">
            <w:pPr>
              <w:widowControl/>
              <w:jc w:val="left"/>
              <w:rPr>
                <w:rFonts w:eastAsia="仿宋_GB2312"/>
                <w:kern w:val="0"/>
                <w:szCs w:val="21"/>
              </w:rPr>
            </w:pPr>
            <w:r>
              <w:rPr>
                <w:rFonts w:eastAsia="仿宋_GB2312"/>
                <w:kern w:val="0"/>
                <w:szCs w:val="21"/>
              </w:rPr>
              <w:t>①已制定或具有资产管理制度，1分；</w:t>
            </w:r>
            <w:r>
              <w:rPr>
                <w:rFonts w:eastAsia="仿宋_GB2312"/>
                <w:kern w:val="0"/>
                <w:szCs w:val="21"/>
              </w:rPr>
              <w:br w:type="textWrapping"/>
            </w:r>
            <w:r>
              <w:rPr>
                <w:rFonts w:eastAsia="仿宋_GB2312"/>
                <w:kern w:val="0"/>
                <w:szCs w:val="21"/>
              </w:rPr>
              <w:t>②相关资产管理制度合法、合规、完整，1分；</w:t>
            </w:r>
            <w:r>
              <w:rPr>
                <w:rFonts w:eastAsia="仿宋_GB2312"/>
                <w:kern w:val="0"/>
                <w:szCs w:val="21"/>
              </w:rPr>
              <w:br w:type="textWrapping"/>
            </w:r>
            <w:r>
              <w:rPr>
                <w:rFonts w:eastAsia="仿宋_GB2312"/>
                <w:kern w:val="0"/>
                <w:szCs w:val="21"/>
              </w:rPr>
              <w:t xml:space="preserve">③相关资产管理制度得到有效执行，2分。                                           </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61F3CF81">
            <w:pPr>
              <w:widowControl/>
              <w:jc w:val="left"/>
              <w:rPr>
                <w:rFonts w:eastAsia="仿宋_GB2312"/>
                <w:kern w:val="0"/>
                <w:szCs w:val="21"/>
              </w:rPr>
            </w:pPr>
            <w:r>
              <w:rPr>
                <w:rFonts w:eastAsia="仿宋_GB2312"/>
                <w:kern w:val="0"/>
                <w:szCs w:val="21"/>
              </w:rPr>
              <w:t>部门（单位）为加强资产管理，规范资产管理行为而制定的管理制度是否健全完整、用以反映和考核部门（单位）资产管理制度对完成主要职责或促进社会发展的保障情况</w:t>
            </w:r>
          </w:p>
        </w:tc>
        <w:tc>
          <w:tcPr>
            <w:tcW w:w="2107" w:type="dxa"/>
            <w:tcBorders>
              <w:top w:val="single" w:color="auto" w:sz="4" w:space="0"/>
              <w:left w:val="single" w:color="auto" w:sz="4" w:space="0"/>
              <w:bottom w:val="single" w:color="auto" w:sz="4" w:space="0"/>
              <w:right w:val="single" w:color="auto" w:sz="4" w:space="0"/>
            </w:tcBorders>
            <w:noWrap w:val="0"/>
            <w:vAlign w:val="center"/>
          </w:tcPr>
          <w:p w14:paraId="7919DA5E">
            <w:pPr>
              <w:widowControl/>
              <w:jc w:val="left"/>
              <w:rPr>
                <w:rFonts w:hint="eastAsia" w:eastAsia="宋体"/>
                <w:kern w:val="0"/>
                <w:szCs w:val="21"/>
                <w:lang w:val="en-US" w:eastAsia="zh-CN"/>
              </w:rPr>
            </w:pPr>
            <w:r>
              <w:rPr>
                <w:kern w:val="0"/>
                <w:szCs w:val="21"/>
              </w:rPr>
              <w:t>　</w:t>
            </w:r>
            <w:r>
              <w:rPr>
                <w:rFonts w:hint="eastAsia"/>
                <w:kern w:val="0"/>
                <w:szCs w:val="21"/>
                <w:lang w:val="en-US" w:eastAsia="zh-CN"/>
              </w:rPr>
              <w:t>4</w:t>
            </w:r>
          </w:p>
        </w:tc>
      </w:tr>
      <w:tr w14:paraId="498AC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5"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14:paraId="2C299C4D">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14:paraId="75C5E453">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6BE22739">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14:paraId="33936BFF">
            <w:pPr>
              <w:widowControl/>
              <w:jc w:val="center"/>
              <w:rPr>
                <w:rFonts w:eastAsia="仿宋_GB2312"/>
                <w:kern w:val="0"/>
                <w:szCs w:val="21"/>
              </w:rPr>
            </w:pPr>
            <w:r>
              <w:rPr>
                <w:rFonts w:eastAsia="仿宋_GB2312"/>
                <w:kern w:val="0"/>
                <w:szCs w:val="21"/>
              </w:rPr>
              <w:t>资产管理</w:t>
            </w:r>
            <w:r>
              <w:rPr>
                <w:rFonts w:eastAsia="仿宋_GB2312"/>
                <w:kern w:val="0"/>
                <w:szCs w:val="21"/>
              </w:rPr>
              <w:br w:type="textWrapping"/>
            </w:r>
            <w:r>
              <w:rPr>
                <w:rFonts w:eastAsia="仿宋_GB2312"/>
                <w:kern w:val="0"/>
                <w:szCs w:val="21"/>
              </w:rPr>
              <w:t>安全性</w:t>
            </w:r>
          </w:p>
        </w:tc>
        <w:tc>
          <w:tcPr>
            <w:tcW w:w="794" w:type="dxa"/>
            <w:tcBorders>
              <w:top w:val="single" w:color="auto" w:sz="4" w:space="0"/>
              <w:left w:val="single" w:color="auto" w:sz="4" w:space="0"/>
              <w:bottom w:val="single" w:color="auto" w:sz="4" w:space="0"/>
              <w:right w:val="single" w:color="auto" w:sz="4" w:space="0"/>
            </w:tcBorders>
            <w:noWrap w:val="0"/>
            <w:vAlign w:val="center"/>
          </w:tcPr>
          <w:p w14:paraId="34890DF2">
            <w:pPr>
              <w:widowControl/>
              <w:jc w:val="center"/>
              <w:rPr>
                <w:rFonts w:eastAsia="仿宋_GB2312"/>
                <w:kern w:val="0"/>
                <w:szCs w:val="21"/>
              </w:rPr>
            </w:pPr>
            <w:r>
              <w:rPr>
                <w:rFonts w:eastAsia="仿宋_GB2312"/>
                <w:kern w:val="0"/>
                <w:szCs w:val="21"/>
              </w:rPr>
              <w:t>5</w:t>
            </w:r>
          </w:p>
        </w:tc>
        <w:tc>
          <w:tcPr>
            <w:tcW w:w="4140" w:type="dxa"/>
            <w:tcBorders>
              <w:top w:val="single" w:color="auto" w:sz="4" w:space="0"/>
              <w:left w:val="single" w:color="auto" w:sz="4" w:space="0"/>
              <w:bottom w:val="single" w:color="auto" w:sz="4" w:space="0"/>
              <w:right w:val="single" w:color="auto" w:sz="4" w:space="0"/>
            </w:tcBorders>
            <w:noWrap w:val="0"/>
            <w:vAlign w:val="center"/>
          </w:tcPr>
          <w:p w14:paraId="5A557FFF">
            <w:pPr>
              <w:widowControl/>
              <w:jc w:val="left"/>
              <w:rPr>
                <w:rFonts w:eastAsia="仿宋_GB2312"/>
                <w:kern w:val="0"/>
                <w:szCs w:val="21"/>
              </w:rPr>
            </w:pPr>
            <w:r>
              <w:rPr>
                <w:rFonts w:eastAsia="仿宋_GB2312"/>
                <w:kern w:val="0"/>
                <w:szCs w:val="21"/>
              </w:rPr>
              <w:t>①资产保存完整；</w:t>
            </w:r>
            <w:r>
              <w:rPr>
                <w:rFonts w:eastAsia="仿宋_GB2312"/>
                <w:kern w:val="0"/>
                <w:szCs w:val="21"/>
              </w:rPr>
              <w:br w:type="textWrapping"/>
            </w:r>
            <w:r>
              <w:rPr>
                <w:rFonts w:eastAsia="仿宋_GB2312"/>
                <w:kern w:val="0"/>
                <w:szCs w:val="21"/>
              </w:rPr>
              <w:t>②资产配置合理；</w:t>
            </w:r>
            <w:r>
              <w:rPr>
                <w:rFonts w:eastAsia="仿宋_GB2312"/>
                <w:kern w:val="0"/>
                <w:szCs w:val="21"/>
              </w:rPr>
              <w:br w:type="textWrapping"/>
            </w:r>
            <w:r>
              <w:rPr>
                <w:rFonts w:eastAsia="仿宋_GB2312"/>
                <w:kern w:val="0"/>
                <w:szCs w:val="21"/>
              </w:rPr>
              <w:t xml:space="preserve">③资产处置规范； </w:t>
            </w:r>
            <w:r>
              <w:rPr>
                <w:rFonts w:eastAsia="仿宋_GB2312"/>
                <w:kern w:val="0"/>
                <w:szCs w:val="21"/>
              </w:rPr>
              <w:br w:type="textWrapping"/>
            </w:r>
            <w:r>
              <w:rPr>
                <w:rFonts w:eastAsia="仿宋_GB2312"/>
                <w:kern w:val="0"/>
                <w:szCs w:val="21"/>
              </w:rPr>
              <w:t>④资产账务管理合规，帐实相符；</w:t>
            </w:r>
            <w:r>
              <w:rPr>
                <w:rFonts w:eastAsia="仿宋_GB2312"/>
                <w:kern w:val="0"/>
                <w:szCs w:val="21"/>
              </w:rPr>
              <w:br w:type="textWrapping"/>
            </w:r>
            <w:r>
              <w:rPr>
                <w:rFonts w:eastAsia="仿宋_GB2312"/>
                <w:kern w:val="0"/>
                <w:szCs w:val="21"/>
              </w:rPr>
              <w:t>⑤资产有偿使用及处置收入及时足额上缴；</w:t>
            </w:r>
            <w:r>
              <w:rPr>
                <w:rFonts w:eastAsia="仿宋_GB2312"/>
                <w:kern w:val="0"/>
                <w:szCs w:val="21"/>
              </w:rPr>
              <w:br w:type="textWrapping"/>
            </w:r>
            <w:r>
              <w:rPr>
                <w:rFonts w:eastAsia="仿宋_GB2312"/>
                <w:kern w:val="0"/>
                <w:szCs w:val="21"/>
              </w:rPr>
              <w:t>以上情况每出现一例不符合有关要求的扣1分，扣完为止。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7C9F956B">
            <w:pPr>
              <w:widowControl/>
              <w:jc w:val="left"/>
              <w:rPr>
                <w:rFonts w:eastAsia="仿宋_GB2312"/>
                <w:kern w:val="0"/>
                <w:szCs w:val="21"/>
              </w:rPr>
            </w:pPr>
            <w:r>
              <w:rPr>
                <w:rFonts w:eastAsia="仿宋_GB2312"/>
                <w:kern w:val="0"/>
                <w:szCs w:val="21"/>
              </w:rPr>
              <w:t>部门（单位）的资产是否保存完整、使用合规、配置合理、处置规范、收入及时足额上缴，用以反映和考核部门（单位）资产安全运行情况</w:t>
            </w:r>
          </w:p>
        </w:tc>
        <w:tc>
          <w:tcPr>
            <w:tcW w:w="2107" w:type="dxa"/>
            <w:tcBorders>
              <w:top w:val="single" w:color="auto" w:sz="4" w:space="0"/>
              <w:left w:val="single" w:color="auto" w:sz="4" w:space="0"/>
              <w:bottom w:val="single" w:color="auto" w:sz="4" w:space="0"/>
              <w:right w:val="single" w:color="auto" w:sz="4" w:space="0"/>
            </w:tcBorders>
            <w:noWrap w:val="0"/>
            <w:vAlign w:val="center"/>
          </w:tcPr>
          <w:p w14:paraId="7D298066">
            <w:pPr>
              <w:widowControl/>
              <w:jc w:val="left"/>
              <w:rPr>
                <w:rFonts w:hint="eastAsia" w:eastAsia="宋体"/>
                <w:kern w:val="0"/>
                <w:szCs w:val="21"/>
                <w:lang w:val="en-US" w:eastAsia="zh-CN"/>
              </w:rPr>
            </w:pPr>
            <w:r>
              <w:rPr>
                <w:kern w:val="0"/>
                <w:szCs w:val="21"/>
              </w:rPr>
              <w:t>　</w:t>
            </w:r>
            <w:r>
              <w:rPr>
                <w:rFonts w:hint="eastAsia"/>
                <w:kern w:val="0"/>
                <w:szCs w:val="21"/>
                <w:lang w:val="en-US" w:eastAsia="zh-CN"/>
              </w:rPr>
              <w:t>5</w:t>
            </w:r>
          </w:p>
        </w:tc>
      </w:tr>
      <w:tr w14:paraId="1CC8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14:paraId="046B836A">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14:paraId="4EAA4C42">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659494C7">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14:paraId="6E714C86">
            <w:pPr>
              <w:widowControl/>
              <w:jc w:val="center"/>
              <w:rPr>
                <w:rFonts w:eastAsia="仿宋_GB2312"/>
                <w:kern w:val="0"/>
                <w:szCs w:val="21"/>
              </w:rPr>
            </w:pPr>
            <w:r>
              <w:rPr>
                <w:rFonts w:eastAsia="仿宋_GB2312"/>
                <w:kern w:val="0"/>
                <w:szCs w:val="21"/>
              </w:rPr>
              <w:t>固定资产</w:t>
            </w:r>
            <w:r>
              <w:rPr>
                <w:rFonts w:eastAsia="仿宋_GB2312"/>
                <w:kern w:val="0"/>
                <w:szCs w:val="21"/>
              </w:rPr>
              <w:br w:type="textWrapping"/>
            </w:r>
            <w:r>
              <w:rPr>
                <w:rFonts w:eastAsia="仿宋_GB2312"/>
                <w:kern w:val="0"/>
                <w:szCs w:val="21"/>
              </w:rPr>
              <w:t>利用率</w:t>
            </w:r>
          </w:p>
        </w:tc>
        <w:tc>
          <w:tcPr>
            <w:tcW w:w="794" w:type="dxa"/>
            <w:tcBorders>
              <w:top w:val="single" w:color="auto" w:sz="4" w:space="0"/>
              <w:left w:val="single" w:color="auto" w:sz="4" w:space="0"/>
              <w:bottom w:val="single" w:color="auto" w:sz="4" w:space="0"/>
              <w:right w:val="single" w:color="auto" w:sz="4" w:space="0"/>
            </w:tcBorders>
            <w:noWrap w:val="0"/>
            <w:vAlign w:val="center"/>
          </w:tcPr>
          <w:p w14:paraId="13D945FD">
            <w:pPr>
              <w:widowControl/>
              <w:jc w:val="center"/>
              <w:rPr>
                <w:rFonts w:eastAsia="仿宋_GB2312"/>
                <w:kern w:val="0"/>
                <w:szCs w:val="21"/>
              </w:rPr>
            </w:pPr>
            <w:r>
              <w:rPr>
                <w:rFonts w:eastAsia="仿宋_GB2312"/>
                <w:kern w:val="0"/>
                <w:szCs w:val="21"/>
              </w:rPr>
              <w:t>3</w:t>
            </w:r>
          </w:p>
        </w:tc>
        <w:tc>
          <w:tcPr>
            <w:tcW w:w="4140" w:type="dxa"/>
            <w:tcBorders>
              <w:top w:val="single" w:color="auto" w:sz="4" w:space="0"/>
              <w:left w:val="single" w:color="auto" w:sz="4" w:space="0"/>
              <w:bottom w:val="single" w:color="auto" w:sz="4" w:space="0"/>
              <w:right w:val="single" w:color="auto" w:sz="4" w:space="0"/>
            </w:tcBorders>
            <w:noWrap w:val="0"/>
            <w:vAlign w:val="center"/>
          </w:tcPr>
          <w:p w14:paraId="2328F85F">
            <w:pPr>
              <w:widowControl/>
              <w:jc w:val="left"/>
              <w:rPr>
                <w:rFonts w:eastAsia="仿宋_GB2312"/>
                <w:kern w:val="0"/>
                <w:szCs w:val="21"/>
              </w:rPr>
            </w:pPr>
            <w:r>
              <w:rPr>
                <w:rFonts w:eastAsia="仿宋_GB2312"/>
                <w:kern w:val="0"/>
                <w:szCs w:val="21"/>
              </w:rPr>
              <w:t>每低于100%一个百分点扣0.2分，扣完为止。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5D7CC8B4">
            <w:pPr>
              <w:widowControl/>
              <w:jc w:val="left"/>
              <w:rPr>
                <w:rFonts w:eastAsia="仿宋_GB2312"/>
                <w:kern w:val="0"/>
                <w:szCs w:val="21"/>
              </w:rPr>
            </w:pPr>
            <w:r>
              <w:rPr>
                <w:rFonts w:eastAsia="仿宋_GB2312"/>
                <w:kern w:val="0"/>
                <w:szCs w:val="21"/>
              </w:rPr>
              <w:t>固定资产利用率=（实际在用固定资产总额/所有固定资产总额）×100%</w:t>
            </w:r>
          </w:p>
        </w:tc>
        <w:tc>
          <w:tcPr>
            <w:tcW w:w="2107" w:type="dxa"/>
            <w:tcBorders>
              <w:top w:val="single" w:color="auto" w:sz="4" w:space="0"/>
              <w:left w:val="single" w:color="auto" w:sz="4" w:space="0"/>
              <w:bottom w:val="single" w:color="auto" w:sz="4" w:space="0"/>
              <w:right w:val="single" w:color="auto" w:sz="4" w:space="0"/>
            </w:tcBorders>
            <w:noWrap w:val="0"/>
            <w:vAlign w:val="center"/>
          </w:tcPr>
          <w:p w14:paraId="6AE311F4">
            <w:pPr>
              <w:widowControl/>
              <w:jc w:val="left"/>
              <w:rPr>
                <w:rFonts w:hint="eastAsia" w:eastAsia="宋体"/>
                <w:kern w:val="0"/>
                <w:szCs w:val="21"/>
                <w:lang w:val="en-US" w:eastAsia="zh-CN"/>
              </w:rPr>
            </w:pPr>
            <w:r>
              <w:rPr>
                <w:kern w:val="0"/>
                <w:szCs w:val="21"/>
              </w:rPr>
              <w:t>　</w:t>
            </w:r>
            <w:r>
              <w:rPr>
                <w:rFonts w:hint="eastAsia"/>
                <w:kern w:val="0"/>
                <w:szCs w:val="21"/>
                <w:lang w:val="en-US" w:eastAsia="zh-CN"/>
              </w:rPr>
              <w:t>3</w:t>
            </w:r>
          </w:p>
        </w:tc>
      </w:tr>
      <w:tr w14:paraId="7A10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4" w:hRule="atLeast"/>
          <w:jc w:val="center"/>
        </w:trPr>
        <w:tc>
          <w:tcPr>
            <w:tcW w:w="796"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022512EF">
            <w:pPr>
              <w:widowControl/>
              <w:jc w:val="center"/>
              <w:rPr>
                <w:rFonts w:eastAsia="仿宋_GB2312"/>
                <w:kern w:val="0"/>
                <w:szCs w:val="21"/>
              </w:rPr>
            </w:pPr>
            <w:r>
              <w:rPr>
                <w:rFonts w:eastAsia="仿宋_GB2312"/>
                <w:kern w:val="0"/>
                <w:szCs w:val="21"/>
              </w:rPr>
              <w:t>产   出</w:t>
            </w:r>
          </w:p>
        </w:tc>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14:paraId="5C0D6623">
            <w:pPr>
              <w:widowControl/>
              <w:jc w:val="center"/>
              <w:rPr>
                <w:rFonts w:eastAsia="仿宋_GB2312"/>
                <w:kern w:val="0"/>
                <w:szCs w:val="21"/>
              </w:rPr>
            </w:pPr>
            <w:r>
              <w:rPr>
                <w:rFonts w:eastAsia="仿宋_GB2312"/>
                <w:kern w:val="0"/>
                <w:szCs w:val="21"/>
              </w:rPr>
              <w:t>职责 履行</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14:paraId="2594A39F">
            <w:pPr>
              <w:widowControl/>
              <w:jc w:val="center"/>
              <w:rPr>
                <w:rFonts w:eastAsia="仿宋_GB2312"/>
                <w:kern w:val="0"/>
                <w:szCs w:val="21"/>
              </w:rPr>
            </w:pPr>
            <w:r>
              <w:rPr>
                <w:rFonts w:eastAsia="仿宋_GB2312"/>
                <w:kern w:val="0"/>
                <w:szCs w:val="21"/>
              </w:rPr>
              <w:t>16</w:t>
            </w:r>
          </w:p>
        </w:tc>
        <w:tc>
          <w:tcPr>
            <w:tcW w:w="1334" w:type="dxa"/>
            <w:tcBorders>
              <w:top w:val="single" w:color="auto" w:sz="4" w:space="0"/>
              <w:left w:val="single" w:color="auto" w:sz="4" w:space="0"/>
              <w:bottom w:val="single" w:color="auto" w:sz="4" w:space="0"/>
              <w:right w:val="single" w:color="auto" w:sz="4" w:space="0"/>
            </w:tcBorders>
            <w:noWrap w:val="0"/>
            <w:vAlign w:val="center"/>
          </w:tcPr>
          <w:p w14:paraId="7B466AAE">
            <w:pPr>
              <w:widowControl/>
              <w:jc w:val="center"/>
              <w:rPr>
                <w:rFonts w:eastAsia="仿宋_GB2312"/>
                <w:kern w:val="0"/>
                <w:szCs w:val="21"/>
              </w:rPr>
            </w:pPr>
            <w:r>
              <w:rPr>
                <w:rFonts w:eastAsia="仿宋_GB2312"/>
                <w:kern w:val="0"/>
                <w:szCs w:val="21"/>
              </w:rPr>
              <w:t>重点工作实际完成率</w:t>
            </w:r>
          </w:p>
        </w:tc>
        <w:tc>
          <w:tcPr>
            <w:tcW w:w="794" w:type="dxa"/>
            <w:tcBorders>
              <w:top w:val="single" w:color="auto" w:sz="4" w:space="0"/>
              <w:left w:val="single" w:color="auto" w:sz="4" w:space="0"/>
              <w:bottom w:val="single" w:color="auto" w:sz="4" w:space="0"/>
              <w:right w:val="single" w:color="auto" w:sz="4" w:space="0"/>
            </w:tcBorders>
            <w:noWrap w:val="0"/>
            <w:vAlign w:val="center"/>
          </w:tcPr>
          <w:p w14:paraId="20E3C20C">
            <w:pPr>
              <w:widowControl/>
              <w:jc w:val="center"/>
              <w:rPr>
                <w:rFonts w:eastAsia="仿宋_GB2312"/>
                <w:kern w:val="0"/>
                <w:szCs w:val="21"/>
              </w:rPr>
            </w:pPr>
            <w:r>
              <w:rPr>
                <w:rFonts w:eastAsia="仿宋_GB2312"/>
                <w:kern w:val="0"/>
                <w:szCs w:val="21"/>
              </w:rPr>
              <w:t>10</w:t>
            </w:r>
          </w:p>
        </w:tc>
        <w:tc>
          <w:tcPr>
            <w:tcW w:w="4140" w:type="dxa"/>
            <w:tcBorders>
              <w:top w:val="single" w:color="auto" w:sz="4" w:space="0"/>
              <w:left w:val="single" w:color="auto" w:sz="4" w:space="0"/>
              <w:bottom w:val="single" w:color="auto" w:sz="4" w:space="0"/>
              <w:right w:val="single" w:color="auto" w:sz="4" w:space="0"/>
            </w:tcBorders>
            <w:noWrap w:val="0"/>
            <w:vAlign w:val="center"/>
          </w:tcPr>
          <w:p w14:paraId="6BFFB7FD">
            <w:pPr>
              <w:widowControl/>
              <w:jc w:val="left"/>
              <w:rPr>
                <w:rFonts w:eastAsia="仿宋_GB2312"/>
                <w:kern w:val="0"/>
                <w:szCs w:val="21"/>
              </w:rPr>
            </w:pPr>
            <w:r>
              <w:rPr>
                <w:rFonts w:eastAsia="仿宋_GB2312"/>
                <w:kern w:val="0"/>
                <w:szCs w:val="21"/>
              </w:rPr>
              <w:t>①（重点工作完成件数/重点工作计划件数）*6</w:t>
            </w:r>
          </w:p>
          <w:p w14:paraId="54659786">
            <w:pPr>
              <w:widowControl/>
              <w:jc w:val="left"/>
              <w:rPr>
                <w:rFonts w:eastAsia="仿宋_GB2312"/>
                <w:kern w:val="0"/>
                <w:szCs w:val="21"/>
              </w:rPr>
            </w:pPr>
            <w:r>
              <w:rPr>
                <w:rFonts w:eastAsia="仿宋_GB2312"/>
                <w:kern w:val="0"/>
                <w:szCs w:val="21"/>
              </w:rPr>
              <w:t>②根据绩效办2013年对各部门为民办实事和部门重点工程与重点工作考核分数折算。</w:t>
            </w:r>
            <w:r>
              <w:rPr>
                <w:rFonts w:eastAsia="仿宋_GB2312"/>
                <w:kern w:val="0"/>
                <w:szCs w:val="21"/>
              </w:rPr>
              <w:br w:type="textWrapping"/>
            </w:r>
            <w:r>
              <w:rPr>
                <w:rFonts w:eastAsia="仿宋_GB2312"/>
                <w:kern w:val="0"/>
                <w:szCs w:val="21"/>
              </w:rPr>
              <w:t>该项得分=（绩效办考核得分/总分）*4</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454DBC38">
            <w:pPr>
              <w:widowControl/>
              <w:jc w:val="left"/>
              <w:rPr>
                <w:rFonts w:eastAsia="仿宋_GB2312"/>
                <w:kern w:val="0"/>
                <w:szCs w:val="21"/>
              </w:rPr>
            </w:pPr>
            <w:r>
              <w:rPr>
                <w:rFonts w:eastAsia="仿宋_GB2312"/>
                <w:kern w:val="0"/>
                <w:szCs w:val="21"/>
              </w:rPr>
              <w:t>①+②为此项指标考评得分</w:t>
            </w:r>
          </w:p>
        </w:tc>
        <w:tc>
          <w:tcPr>
            <w:tcW w:w="2107" w:type="dxa"/>
            <w:tcBorders>
              <w:top w:val="single" w:color="auto" w:sz="4" w:space="0"/>
              <w:left w:val="single" w:color="auto" w:sz="4" w:space="0"/>
              <w:bottom w:val="single" w:color="auto" w:sz="4" w:space="0"/>
              <w:right w:val="single" w:color="auto" w:sz="4" w:space="0"/>
            </w:tcBorders>
            <w:noWrap w:val="0"/>
            <w:vAlign w:val="center"/>
          </w:tcPr>
          <w:p w14:paraId="30C8BEEF">
            <w:pPr>
              <w:widowControl/>
              <w:jc w:val="left"/>
              <w:rPr>
                <w:rFonts w:hint="default" w:eastAsia="宋体"/>
                <w:kern w:val="0"/>
                <w:szCs w:val="21"/>
                <w:lang w:val="en-US" w:eastAsia="zh-CN"/>
              </w:rPr>
            </w:pPr>
            <w:r>
              <w:rPr>
                <w:kern w:val="0"/>
                <w:szCs w:val="21"/>
              </w:rPr>
              <w:t>　</w:t>
            </w:r>
            <w:r>
              <w:rPr>
                <w:rFonts w:hint="eastAsia"/>
                <w:kern w:val="0"/>
                <w:szCs w:val="21"/>
                <w:lang w:val="en-US" w:eastAsia="zh-CN"/>
              </w:rPr>
              <w:t>10</w:t>
            </w:r>
          </w:p>
        </w:tc>
      </w:tr>
      <w:tr w14:paraId="034C9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42"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14:paraId="282081DF">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14:paraId="7A253558">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40B4B0C3">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14:paraId="0108CBC7">
            <w:pPr>
              <w:widowControl/>
              <w:jc w:val="center"/>
              <w:rPr>
                <w:rFonts w:eastAsia="仿宋_GB2312"/>
                <w:kern w:val="0"/>
                <w:szCs w:val="21"/>
              </w:rPr>
            </w:pPr>
            <w:r>
              <w:rPr>
                <w:rFonts w:eastAsia="仿宋_GB2312"/>
                <w:kern w:val="0"/>
                <w:szCs w:val="21"/>
              </w:rPr>
              <w:t>重点工作质量达标率</w:t>
            </w:r>
          </w:p>
        </w:tc>
        <w:tc>
          <w:tcPr>
            <w:tcW w:w="794" w:type="dxa"/>
            <w:tcBorders>
              <w:top w:val="single" w:color="auto" w:sz="4" w:space="0"/>
              <w:left w:val="single" w:color="auto" w:sz="4" w:space="0"/>
              <w:bottom w:val="single" w:color="auto" w:sz="4" w:space="0"/>
              <w:right w:val="single" w:color="auto" w:sz="4" w:space="0"/>
            </w:tcBorders>
            <w:noWrap w:val="0"/>
            <w:vAlign w:val="center"/>
          </w:tcPr>
          <w:p w14:paraId="78DA2051">
            <w:pPr>
              <w:widowControl/>
              <w:jc w:val="center"/>
              <w:rPr>
                <w:rFonts w:eastAsia="仿宋_GB2312"/>
                <w:kern w:val="0"/>
                <w:szCs w:val="21"/>
              </w:rPr>
            </w:pPr>
            <w:r>
              <w:rPr>
                <w:rFonts w:eastAsia="仿宋_GB2312"/>
                <w:kern w:val="0"/>
                <w:szCs w:val="21"/>
              </w:rPr>
              <w:t>6</w:t>
            </w:r>
          </w:p>
        </w:tc>
        <w:tc>
          <w:tcPr>
            <w:tcW w:w="4140" w:type="dxa"/>
            <w:tcBorders>
              <w:top w:val="single" w:color="auto" w:sz="4" w:space="0"/>
              <w:left w:val="single" w:color="auto" w:sz="4" w:space="0"/>
              <w:bottom w:val="single" w:color="auto" w:sz="4" w:space="0"/>
              <w:right w:val="single" w:color="auto" w:sz="4" w:space="0"/>
            </w:tcBorders>
            <w:noWrap w:val="0"/>
            <w:vAlign w:val="center"/>
          </w:tcPr>
          <w:p w14:paraId="0A346F0B">
            <w:pPr>
              <w:widowControl/>
              <w:jc w:val="left"/>
              <w:rPr>
                <w:rFonts w:eastAsia="仿宋_GB2312"/>
                <w:kern w:val="0"/>
                <w:szCs w:val="21"/>
              </w:rPr>
            </w:pPr>
            <w:r>
              <w:rPr>
                <w:rFonts w:eastAsia="仿宋_GB2312"/>
                <w:kern w:val="0"/>
                <w:szCs w:val="21"/>
              </w:rPr>
              <w:t>质量达标率达到100%，计6分；</w:t>
            </w:r>
            <w:r>
              <w:rPr>
                <w:rFonts w:eastAsia="仿宋_GB2312"/>
                <w:kern w:val="0"/>
                <w:szCs w:val="21"/>
              </w:rPr>
              <w:br w:type="textWrapping"/>
            </w:r>
            <w:r>
              <w:rPr>
                <w:rFonts w:eastAsia="仿宋_GB2312"/>
                <w:kern w:val="0"/>
                <w:szCs w:val="21"/>
              </w:rPr>
              <w:t>每低于100%一个百分点扣0.5分，扣完为止。</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52C0F0C6">
            <w:pPr>
              <w:widowControl/>
              <w:jc w:val="left"/>
              <w:rPr>
                <w:rFonts w:eastAsia="仿宋_GB2312"/>
                <w:kern w:val="0"/>
                <w:szCs w:val="21"/>
              </w:rPr>
            </w:pPr>
            <w:r>
              <w:rPr>
                <w:rFonts w:eastAsia="仿宋_GB2312"/>
                <w:kern w:val="0"/>
                <w:szCs w:val="21"/>
              </w:rPr>
              <w:t>质量达标率=（质量达标实际工作数/计划工作数）×100%</w:t>
            </w:r>
            <w:r>
              <w:rPr>
                <w:rFonts w:eastAsia="仿宋_GB2312"/>
                <w:kern w:val="0"/>
                <w:szCs w:val="21"/>
              </w:rPr>
              <w:br w:type="textWrapping"/>
            </w:r>
            <w:r>
              <w:rPr>
                <w:rFonts w:eastAsia="仿宋_GB2312"/>
                <w:kern w:val="0"/>
                <w:szCs w:val="21"/>
              </w:rPr>
              <w:t>质量达标实际工作数：2013年部门（单位）实际完成为民办实事和部门重点工程与重点工作数中，质量达到绩效标准值的工作任务数量。</w:t>
            </w:r>
          </w:p>
        </w:tc>
        <w:tc>
          <w:tcPr>
            <w:tcW w:w="2107" w:type="dxa"/>
            <w:tcBorders>
              <w:top w:val="single" w:color="auto" w:sz="4" w:space="0"/>
              <w:left w:val="single" w:color="auto" w:sz="4" w:space="0"/>
              <w:bottom w:val="single" w:color="auto" w:sz="4" w:space="0"/>
              <w:right w:val="single" w:color="auto" w:sz="4" w:space="0"/>
            </w:tcBorders>
            <w:noWrap w:val="0"/>
            <w:vAlign w:val="center"/>
          </w:tcPr>
          <w:p w14:paraId="2A419A7A">
            <w:pPr>
              <w:widowControl/>
              <w:jc w:val="left"/>
              <w:rPr>
                <w:rFonts w:hint="eastAsia" w:eastAsia="宋体"/>
                <w:kern w:val="0"/>
                <w:szCs w:val="21"/>
                <w:lang w:val="en-US" w:eastAsia="zh-CN"/>
              </w:rPr>
            </w:pPr>
            <w:r>
              <w:rPr>
                <w:kern w:val="0"/>
                <w:szCs w:val="21"/>
              </w:rPr>
              <w:t>　</w:t>
            </w:r>
            <w:r>
              <w:rPr>
                <w:rFonts w:hint="eastAsia"/>
                <w:kern w:val="0"/>
                <w:szCs w:val="21"/>
                <w:lang w:val="en-US" w:eastAsia="zh-CN"/>
              </w:rPr>
              <w:t>6</w:t>
            </w:r>
          </w:p>
        </w:tc>
      </w:tr>
      <w:tr w14:paraId="4B07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796"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14:paraId="487C42E0">
            <w:pPr>
              <w:widowControl/>
              <w:jc w:val="center"/>
              <w:rPr>
                <w:rFonts w:eastAsia="仿宋_GB2312"/>
                <w:kern w:val="0"/>
                <w:szCs w:val="21"/>
              </w:rPr>
            </w:pPr>
            <w:r>
              <w:rPr>
                <w:rFonts w:eastAsia="仿宋_GB2312"/>
                <w:kern w:val="0"/>
                <w:szCs w:val="21"/>
              </w:rPr>
              <w:t>效  果</w:t>
            </w:r>
          </w:p>
        </w:tc>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14:paraId="711621B0">
            <w:pPr>
              <w:widowControl/>
              <w:jc w:val="center"/>
              <w:rPr>
                <w:rFonts w:eastAsia="仿宋_GB2312"/>
                <w:kern w:val="0"/>
                <w:szCs w:val="21"/>
              </w:rPr>
            </w:pPr>
            <w:r>
              <w:rPr>
                <w:rFonts w:eastAsia="仿宋_GB2312"/>
                <w:kern w:val="0"/>
                <w:szCs w:val="21"/>
              </w:rPr>
              <w:t>履职 效益</w:t>
            </w:r>
          </w:p>
        </w:tc>
        <w:tc>
          <w:tcPr>
            <w:tcW w:w="426" w:type="dxa"/>
            <w:vMerge w:val="restart"/>
            <w:tcBorders>
              <w:top w:val="single" w:color="auto" w:sz="4" w:space="0"/>
              <w:left w:val="single" w:color="auto" w:sz="4" w:space="0"/>
              <w:bottom w:val="single" w:color="auto" w:sz="4" w:space="0"/>
              <w:right w:val="single" w:color="auto" w:sz="4" w:space="0"/>
            </w:tcBorders>
            <w:noWrap w:val="0"/>
            <w:vAlign w:val="center"/>
          </w:tcPr>
          <w:p w14:paraId="2ECE5FE1">
            <w:pPr>
              <w:widowControl/>
              <w:jc w:val="center"/>
              <w:rPr>
                <w:rFonts w:eastAsia="仿宋_GB2312"/>
                <w:kern w:val="0"/>
                <w:szCs w:val="21"/>
              </w:rPr>
            </w:pPr>
            <w:r>
              <w:rPr>
                <w:rFonts w:eastAsia="仿宋_GB2312"/>
                <w:kern w:val="0"/>
                <w:szCs w:val="21"/>
              </w:rPr>
              <w:t>20</w:t>
            </w:r>
          </w:p>
        </w:tc>
        <w:tc>
          <w:tcPr>
            <w:tcW w:w="1334" w:type="dxa"/>
            <w:tcBorders>
              <w:top w:val="single" w:color="auto" w:sz="4" w:space="0"/>
              <w:left w:val="single" w:color="auto" w:sz="4" w:space="0"/>
              <w:bottom w:val="single" w:color="auto" w:sz="4" w:space="0"/>
              <w:right w:val="single" w:color="auto" w:sz="4" w:space="0"/>
            </w:tcBorders>
            <w:noWrap w:val="0"/>
            <w:vAlign w:val="center"/>
          </w:tcPr>
          <w:p w14:paraId="5DBA724A">
            <w:pPr>
              <w:widowControl/>
              <w:jc w:val="center"/>
              <w:rPr>
                <w:rFonts w:eastAsia="仿宋_GB2312"/>
                <w:kern w:val="0"/>
                <w:szCs w:val="21"/>
              </w:rPr>
            </w:pPr>
            <w:r>
              <w:rPr>
                <w:rFonts w:eastAsia="仿宋_GB2312"/>
                <w:kern w:val="0"/>
                <w:szCs w:val="21"/>
              </w:rPr>
              <w:t>经济效益</w:t>
            </w:r>
          </w:p>
        </w:tc>
        <w:tc>
          <w:tcPr>
            <w:tcW w:w="794" w:type="dxa"/>
            <w:tcBorders>
              <w:top w:val="single" w:color="auto" w:sz="4" w:space="0"/>
              <w:left w:val="single" w:color="auto" w:sz="4" w:space="0"/>
              <w:bottom w:val="single" w:color="auto" w:sz="4" w:space="0"/>
              <w:right w:val="single" w:color="auto" w:sz="4" w:space="0"/>
            </w:tcBorders>
            <w:noWrap w:val="0"/>
            <w:vAlign w:val="center"/>
          </w:tcPr>
          <w:p w14:paraId="7876213C">
            <w:pPr>
              <w:widowControl/>
              <w:jc w:val="center"/>
              <w:rPr>
                <w:rFonts w:eastAsia="仿宋_GB2312"/>
                <w:kern w:val="0"/>
                <w:szCs w:val="21"/>
              </w:rPr>
            </w:pPr>
            <w:r>
              <w:rPr>
                <w:rFonts w:eastAsia="仿宋_GB2312"/>
                <w:kern w:val="0"/>
                <w:szCs w:val="21"/>
              </w:rPr>
              <w:t>4</w:t>
            </w:r>
          </w:p>
        </w:tc>
        <w:tc>
          <w:tcPr>
            <w:tcW w:w="4140" w:type="dxa"/>
            <w:vMerge w:val="restart"/>
            <w:tcBorders>
              <w:top w:val="single" w:color="auto" w:sz="4" w:space="0"/>
              <w:left w:val="single" w:color="auto" w:sz="4" w:space="0"/>
              <w:bottom w:val="single" w:color="auto" w:sz="4" w:space="0"/>
              <w:right w:val="single" w:color="auto" w:sz="4" w:space="0"/>
            </w:tcBorders>
            <w:noWrap w:val="0"/>
            <w:vAlign w:val="center"/>
          </w:tcPr>
          <w:p w14:paraId="698E9428">
            <w:pPr>
              <w:widowControl/>
              <w:jc w:val="left"/>
              <w:rPr>
                <w:rFonts w:eastAsia="仿宋_GB2312"/>
                <w:kern w:val="0"/>
                <w:szCs w:val="21"/>
              </w:rPr>
            </w:pPr>
            <w:r>
              <w:rPr>
                <w:rFonts w:eastAsia="仿宋_GB2312"/>
                <w:kern w:val="0"/>
                <w:szCs w:val="21"/>
              </w:rPr>
              <w:t>此三项指标为设置部门整体支出绩效评价指标时必须考虑的共性要素，可根据部门实际并结合部门整体支出绩效目标设立情况有选择的进行设置，并将其细化为相应的个性化指标。建议部门（单位）根据2013年专项资金绩效目标，汇总提炼部门整体支出绩效评价指标。</w:t>
            </w:r>
          </w:p>
        </w:tc>
        <w:tc>
          <w:tcPr>
            <w:tcW w:w="3432" w:type="dxa"/>
            <w:vMerge w:val="restart"/>
            <w:tcBorders>
              <w:top w:val="single" w:color="auto" w:sz="4" w:space="0"/>
              <w:left w:val="single" w:color="auto" w:sz="4" w:space="0"/>
              <w:bottom w:val="single" w:color="auto" w:sz="4" w:space="0"/>
              <w:right w:val="single" w:color="auto" w:sz="4" w:space="0"/>
            </w:tcBorders>
            <w:noWrap w:val="0"/>
            <w:vAlign w:val="center"/>
          </w:tcPr>
          <w:p w14:paraId="21868FC7">
            <w:pPr>
              <w:widowControl/>
              <w:jc w:val="left"/>
              <w:rPr>
                <w:rFonts w:eastAsia="仿宋_GB2312"/>
                <w:kern w:val="0"/>
                <w:szCs w:val="21"/>
              </w:rPr>
            </w:pPr>
          </w:p>
        </w:tc>
        <w:tc>
          <w:tcPr>
            <w:tcW w:w="2107" w:type="dxa"/>
            <w:vMerge w:val="restart"/>
            <w:tcBorders>
              <w:top w:val="single" w:color="auto" w:sz="4" w:space="0"/>
              <w:left w:val="single" w:color="auto" w:sz="4" w:space="0"/>
              <w:bottom w:val="single" w:color="auto" w:sz="4" w:space="0"/>
              <w:right w:val="single" w:color="auto" w:sz="4" w:space="0"/>
            </w:tcBorders>
            <w:noWrap w:val="0"/>
            <w:vAlign w:val="center"/>
          </w:tcPr>
          <w:p w14:paraId="5657B565">
            <w:pPr>
              <w:widowControl/>
              <w:jc w:val="center"/>
              <w:rPr>
                <w:kern w:val="0"/>
                <w:szCs w:val="21"/>
              </w:rPr>
            </w:pPr>
            <w:r>
              <w:rPr>
                <w:rFonts w:hint="eastAsia"/>
                <w:kern w:val="0"/>
                <w:szCs w:val="21"/>
                <w:lang w:val="en-US" w:eastAsia="zh-CN"/>
              </w:rPr>
              <w:t>12</w:t>
            </w:r>
            <w:r>
              <w:rPr>
                <w:kern w:val="0"/>
                <w:szCs w:val="21"/>
              </w:rPr>
              <w:t>　</w:t>
            </w:r>
          </w:p>
        </w:tc>
      </w:tr>
      <w:tr w14:paraId="345F6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14:paraId="74B7FD7E">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14:paraId="6636C53D">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73E409AD">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14:paraId="2EA3B29B">
            <w:pPr>
              <w:widowControl/>
              <w:jc w:val="center"/>
              <w:rPr>
                <w:rFonts w:eastAsia="仿宋_GB2312"/>
                <w:kern w:val="0"/>
                <w:szCs w:val="21"/>
              </w:rPr>
            </w:pPr>
            <w:r>
              <w:rPr>
                <w:rFonts w:eastAsia="仿宋_GB2312"/>
                <w:kern w:val="0"/>
                <w:szCs w:val="21"/>
              </w:rPr>
              <w:t>社会效益</w:t>
            </w:r>
          </w:p>
        </w:tc>
        <w:tc>
          <w:tcPr>
            <w:tcW w:w="794" w:type="dxa"/>
            <w:tcBorders>
              <w:top w:val="single" w:color="auto" w:sz="4" w:space="0"/>
              <w:left w:val="single" w:color="auto" w:sz="4" w:space="0"/>
              <w:bottom w:val="single" w:color="auto" w:sz="4" w:space="0"/>
              <w:right w:val="single" w:color="auto" w:sz="4" w:space="0"/>
            </w:tcBorders>
            <w:noWrap w:val="0"/>
            <w:vAlign w:val="center"/>
          </w:tcPr>
          <w:p w14:paraId="38528938">
            <w:pPr>
              <w:widowControl/>
              <w:jc w:val="center"/>
              <w:rPr>
                <w:rFonts w:eastAsia="仿宋_GB2312"/>
                <w:kern w:val="0"/>
                <w:szCs w:val="21"/>
              </w:rPr>
            </w:pPr>
            <w:r>
              <w:rPr>
                <w:rFonts w:eastAsia="仿宋_GB2312"/>
                <w:kern w:val="0"/>
                <w:szCs w:val="21"/>
              </w:rPr>
              <w:t>4</w:t>
            </w:r>
          </w:p>
        </w:tc>
        <w:tc>
          <w:tcPr>
            <w:tcW w:w="4140" w:type="dxa"/>
            <w:vMerge w:val="continue"/>
            <w:tcBorders>
              <w:top w:val="single" w:color="auto" w:sz="4" w:space="0"/>
              <w:left w:val="single" w:color="auto" w:sz="4" w:space="0"/>
              <w:bottom w:val="single" w:color="auto" w:sz="4" w:space="0"/>
              <w:right w:val="single" w:color="auto" w:sz="4" w:space="0"/>
            </w:tcBorders>
            <w:noWrap w:val="0"/>
            <w:vAlign w:val="center"/>
          </w:tcPr>
          <w:p w14:paraId="0C014D46">
            <w:pPr>
              <w:rPr>
                <w:szCs w:val="21"/>
              </w:rPr>
            </w:pPr>
          </w:p>
        </w:tc>
        <w:tc>
          <w:tcPr>
            <w:tcW w:w="3432" w:type="dxa"/>
            <w:vMerge w:val="continue"/>
            <w:tcBorders>
              <w:top w:val="single" w:color="auto" w:sz="4" w:space="0"/>
              <w:left w:val="single" w:color="auto" w:sz="4" w:space="0"/>
              <w:bottom w:val="single" w:color="auto" w:sz="4" w:space="0"/>
              <w:right w:val="single" w:color="auto" w:sz="4" w:space="0"/>
            </w:tcBorders>
            <w:noWrap w:val="0"/>
            <w:vAlign w:val="center"/>
          </w:tcPr>
          <w:p w14:paraId="47D88EC2">
            <w:pPr>
              <w:rPr>
                <w:szCs w:val="21"/>
              </w:rPr>
            </w:pPr>
          </w:p>
        </w:tc>
        <w:tc>
          <w:tcPr>
            <w:tcW w:w="2107" w:type="dxa"/>
            <w:vMerge w:val="continue"/>
            <w:tcBorders>
              <w:top w:val="single" w:color="auto" w:sz="4" w:space="0"/>
              <w:left w:val="single" w:color="auto" w:sz="4" w:space="0"/>
              <w:bottom w:val="single" w:color="auto" w:sz="4" w:space="0"/>
              <w:right w:val="single" w:color="auto" w:sz="4" w:space="0"/>
            </w:tcBorders>
            <w:noWrap w:val="0"/>
            <w:vAlign w:val="center"/>
          </w:tcPr>
          <w:p w14:paraId="5F86C740">
            <w:pPr>
              <w:rPr>
                <w:szCs w:val="21"/>
              </w:rPr>
            </w:pPr>
          </w:p>
        </w:tc>
      </w:tr>
      <w:tr w14:paraId="7196C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7"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14:paraId="2214480D">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14:paraId="54E1CDD3">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582F88D7">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14:paraId="6C9983C7">
            <w:pPr>
              <w:widowControl/>
              <w:jc w:val="center"/>
              <w:rPr>
                <w:rFonts w:eastAsia="仿宋_GB2312"/>
                <w:kern w:val="0"/>
                <w:szCs w:val="21"/>
              </w:rPr>
            </w:pPr>
            <w:r>
              <w:rPr>
                <w:rFonts w:eastAsia="仿宋_GB2312"/>
                <w:kern w:val="0"/>
                <w:szCs w:val="21"/>
              </w:rPr>
              <w:t>生态效益</w:t>
            </w:r>
          </w:p>
        </w:tc>
        <w:tc>
          <w:tcPr>
            <w:tcW w:w="794" w:type="dxa"/>
            <w:tcBorders>
              <w:top w:val="single" w:color="auto" w:sz="4" w:space="0"/>
              <w:left w:val="single" w:color="auto" w:sz="4" w:space="0"/>
              <w:bottom w:val="single" w:color="auto" w:sz="4" w:space="0"/>
              <w:right w:val="single" w:color="auto" w:sz="4" w:space="0"/>
            </w:tcBorders>
            <w:noWrap w:val="0"/>
            <w:vAlign w:val="center"/>
          </w:tcPr>
          <w:p w14:paraId="780EB419">
            <w:pPr>
              <w:widowControl/>
              <w:jc w:val="center"/>
              <w:rPr>
                <w:rFonts w:eastAsia="仿宋_GB2312"/>
                <w:kern w:val="0"/>
                <w:szCs w:val="21"/>
              </w:rPr>
            </w:pPr>
            <w:r>
              <w:rPr>
                <w:rFonts w:eastAsia="仿宋_GB2312"/>
                <w:kern w:val="0"/>
                <w:szCs w:val="21"/>
              </w:rPr>
              <w:t>4</w:t>
            </w:r>
          </w:p>
        </w:tc>
        <w:tc>
          <w:tcPr>
            <w:tcW w:w="4140" w:type="dxa"/>
            <w:vMerge w:val="continue"/>
            <w:tcBorders>
              <w:top w:val="single" w:color="auto" w:sz="4" w:space="0"/>
              <w:left w:val="single" w:color="auto" w:sz="4" w:space="0"/>
              <w:bottom w:val="single" w:color="auto" w:sz="4" w:space="0"/>
              <w:right w:val="single" w:color="auto" w:sz="4" w:space="0"/>
            </w:tcBorders>
            <w:noWrap w:val="0"/>
            <w:vAlign w:val="center"/>
          </w:tcPr>
          <w:p w14:paraId="56DACFA3">
            <w:pPr>
              <w:rPr>
                <w:szCs w:val="21"/>
              </w:rPr>
            </w:pPr>
          </w:p>
        </w:tc>
        <w:tc>
          <w:tcPr>
            <w:tcW w:w="3432" w:type="dxa"/>
            <w:vMerge w:val="continue"/>
            <w:tcBorders>
              <w:top w:val="single" w:color="auto" w:sz="4" w:space="0"/>
              <w:left w:val="single" w:color="auto" w:sz="4" w:space="0"/>
              <w:bottom w:val="single" w:color="auto" w:sz="4" w:space="0"/>
              <w:right w:val="single" w:color="auto" w:sz="4" w:space="0"/>
            </w:tcBorders>
            <w:noWrap w:val="0"/>
            <w:vAlign w:val="center"/>
          </w:tcPr>
          <w:p w14:paraId="2111B3E4">
            <w:pPr>
              <w:rPr>
                <w:szCs w:val="21"/>
              </w:rPr>
            </w:pPr>
          </w:p>
        </w:tc>
        <w:tc>
          <w:tcPr>
            <w:tcW w:w="2107" w:type="dxa"/>
            <w:vMerge w:val="continue"/>
            <w:tcBorders>
              <w:top w:val="single" w:color="auto" w:sz="4" w:space="0"/>
              <w:left w:val="single" w:color="auto" w:sz="4" w:space="0"/>
              <w:bottom w:val="single" w:color="auto" w:sz="4" w:space="0"/>
              <w:right w:val="single" w:color="auto" w:sz="4" w:space="0"/>
            </w:tcBorders>
            <w:noWrap w:val="0"/>
            <w:vAlign w:val="center"/>
          </w:tcPr>
          <w:p w14:paraId="68270115">
            <w:pPr>
              <w:rPr>
                <w:szCs w:val="21"/>
              </w:rPr>
            </w:pPr>
          </w:p>
        </w:tc>
      </w:tr>
      <w:tr w14:paraId="6AA94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796" w:type="dxa"/>
            <w:vMerge w:val="continue"/>
            <w:tcBorders>
              <w:top w:val="single" w:color="auto" w:sz="4" w:space="0"/>
              <w:left w:val="single" w:color="auto" w:sz="4" w:space="0"/>
              <w:bottom w:val="single" w:color="auto" w:sz="4" w:space="0"/>
              <w:right w:val="single" w:color="auto" w:sz="4" w:space="0"/>
            </w:tcBorders>
            <w:noWrap w:val="0"/>
            <w:vAlign w:val="center"/>
          </w:tcPr>
          <w:p w14:paraId="4CF6F6D9">
            <w:pPr>
              <w:rPr>
                <w:szCs w:val="21"/>
              </w:rPr>
            </w:pPr>
          </w:p>
        </w:tc>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14:paraId="134A368A">
            <w:pPr>
              <w:rPr>
                <w:szCs w:val="21"/>
              </w:rPr>
            </w:pPr>
          </w:p>
        </w:tc>
        <w:tc>
          <w:tcPr>
            <w:tcW w:w="426" w:type="dxa"/>
            <w:vMerge w:val="continue"/>
            <w:tcBorders>
              <w:top w:val="single" w:color="auto" w:sz="4" w:space="0"/>
              <w:left w:val="single" w:color="auto" w:sz="4" w:space="0"/>
              <w:bottom w:val="single" w:color="auto" w:sz="4" w:space="0"/>
              <w:right w:val="single" w:color="auto" w:sz="4" w:space="0"/>
            </w:tcBorders>
            <w:noWrap w:val="0"/>
            <w:vAlign w:val="center"/>
          </w:tcPr>
          <w:p w14:paraId="1B85C93B">
            <w:pPr>
              <w:rPr>
                <w:szCs w:val="21"/>
              </w:rPr>
            </w:pPr>
          </w:p>
        </w:tc>
        <w:tc>
          <w:tcPr>
            <w:tcW w:w="1334" w:type="dxa"/>
            <w:tcBorders>
              <w:top w:val="single" w:color="auto" w:sz="4" w:space="0"/>
              <w:left w:val="single" w:color="auto" w:sz="4" w:space="0"/>
              <w:bottom w:val="single" w:color="auto" w:sz="4" w:space="0"/>
              <w:right w:val="single" w:color="auto" w:sz="4" w:space="0"/>
            </w:tcBorders>
            <w:noWrap w:val="0"/>
            <w:vAlign w:val="center"/>
          </w:tcPr>
          <w:p w14:paraId="43721CCC">
            <w:pPr>
              <w:widowControl/>
              <w:jc w:val="center"/>
              <w:rPr>
                <w:rFonts w:eastAsia="仿宋_GB2312"/>
                <w:kern w:val="0"/>
                <w:szCs w:val="21"/>
              </w:rPr>
            </w:pPr>
            <w:r>
              <w:rPr>
                <w:rFonts w:eastAsia="仿宋_GB2312"/>
                <w:kern w:val="0"/>
                <w:szCs w:val="21"/>
              </w:rPr>
              <w:t>社会公众或服务对象满意度</w:t>
            </w:r>
          </w:p>
        </w:tc>
        <w:tc>
          <w:tcPr>
            <w:tcW w:w="794" w:type="dxa"/>
            <w:tcBorders>
              <w:top w:val="single" w:color="auto" w:sz="4" w:space="0"/>
              <w:left w:val="single" w:color="auto" w:sz="4" w:space="0"/>
              <w:bottom w:val="single" w:color="auto" w:sz="4" w:space="0"/>
              <w:right w:val="single" w:color="auto" w:sz="4" w:space="0"/>
            </w:tcBorders>
            <w:noWrap w:val="0"/>
            <w:vAlign w:val="center"/>
          </w:tcPr>
          <w:p w14:paraId="583E9BA1">
            <w:pPr>
              <w:widowControl/>
              <w:jc w:val="center"/>
              <w:rPr>
                <w:rFonts w:eastAsia="仿宋_GB2312"/>
                <w:kern w:val="0"/>
                <w:szCs w:val="21"/>
              </w:rPr>
            </w:pPr>
            <w:r>
              <w:rPr>
                <w:rFonts w:eastAsia="仿宋_GB2312"/>
                <w:kern w:val="0"/>
                <w:szCs w:val="21"/>
              </w:rPr>
              <w:t>8</w:t>
            </w:r>
          </w:p>
        </w:tc>
        <w:tc>
          <w:tcPr>
            <w:tcW w:w="4140" w:type="dxa"/>
            <w:tcBorders>
              <w:top w:val="single" w:color="auto" w:sz="4" w:space="0"/>
              <w:left w:val="single" w:color="auto" w:sz="4" w:space="0"/>
              <w:bottom w:val="single" w:color="auto" w:sz="4" w:space="0"/>
              <w:right w:val="single" w:color="auto" w:sz="4" w:space="0"/>
            </w:tcBorders>
            <w:noWrap w:val="0"/>
            <w:vAlign w:val="center"/>
          </w:tcPr>
          <w:p w14:paraId="0E06206F">
            <w:pPr>
              <w:widowControl/>
              <w:jc w:val="left"/>
              <w:rPr>
                <w:rFonts w:eastAsia="仿宋_GB2312"/>
                <w:kern w:val="0"/>
                <w:szCs w:val="21"/>
              </w:rPr>
            </w:pPr>
            <w:r>
              <w:rPr>
                <w:rFonts w:eastAsia="仿宋_GB2312"/>
                <w:kern w:val="0"/>
                <w:szCs w:val="21"/>
              </w:rPr>
              <w:t>抽取服务对象和社会公众各10名进行问卷调查，调查问卷共计得分/1000分*8。</w:t>
            </w:r>
          </w:p>
        </w:tc>
        <w:tc>
          <w:tcPr>
            <w:tcW w:w="3432" w:type="dxa"/>
            <w:tcBorders>
              <w:top w:val="single" w:color="auto" w:sz="4" w:space="0"/>
              <w:left w:val="single" w:color="auto" w:sz="4" w:space="0"/>
              <w:bottom w:val="single" w:color="auto" w:sz="4" w:space="0"/>
              <w:right w:val="single" w:color="auto" w:sz="4" w:space="0"/>
            </w:tcBorders>
            <w:noWrap w:val="0"/>
            <w:vAlign w:val="center"/>
          </w:tcPr>
          <w:p w14:paraId="4C04E17B">
            <w:pPr>
              <w:widowControl/>
              <w:jc w:val="left"/>
              <w:rPr>
                <w:rFonts w:eastAsia="仿宋_GB2312"/>
                <w:kern w:val="0"/>
                <w:szCs w:val="21"/>
              </w:rPr>
            </w:pPr>
            <w:r>
              <w:rPr>
                <w:rFonts w:eastAsia="仿宋_GB2312"/>
                <w:kern w:val="0"/>
                <w:szCs w:val="21"/>
              </w:rPr>
              <w:t>社会公众或服务对象是指部门（单位）履行职责而影响到的部门，群体或个人，一般采取社会调查的方式。</w:t>
            </w:r>
          </w:p>
        </w:tc>
        <w:tc>
          <w:tcPr>
            <w:tcW w:w="2107" w:type="dxa"/>
            <w:tcBorders>
              <w:top w:val="single" w:color="auto" w:sz="4" w:space="0"/>
              <w:left w:val="single" w:color="auto" w:sz="4" w:space="0"/>
              <w:bottom w:val="single" w:color="auto" w:sz="4" w:space="0"/>
              <w:right w:val="single" w:color="auto" w:sz="4" w:space="0"/>
            </w:tcBorders>
            <w:noWrap w:val="0"/>
            <w:vAlign w:val="center"/>
          </w:tcPr>
          <w:p w14:paraId="526162AA">
            <w:pPr>
              <w:widowControl/>
              <w:jc w:val="left"/>
              <w:rPr>
                <w:rFonts w:hint="eastAsia" w:eastAsia="宋体"/>
                <w:kern w:val="0"/>
                <w:szCs w:val="21"/>
                <w:lang w:val="en-US" w:eastAsia="zh-CN"/>
              </w:rPr>
            </w:pPr>
            <w:r>
              <w:rPr>
                <w:kern w:val="0"/>
                <w:szCs w:val="21"/>
              </w:rPr>
              <w:t>　</w:t>
            </w:r>
            <w:r>
              <w:rPr>
                <w:rFonts w:hint="eastAsia"/>
                <w:kern w:val="0"/>
                <w:szCs w:val="21"/>
                <w:lang w:val="en-US" w:eastAsia="zh-CN"/>
              </w:rPr>
              <w:t>8</w:t>
            </w:r>
          </w:p>
        </w:tc>
      </w:tr>
      <w:tr w14:paraId="766AD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997" w:type="dxa"/>
            <w:gridSpan w:val="3"/>
            <w:tcBorders>
              <w:top w:val="single" w:color="auto" w:sz="4" w:space="0"/>
              <w:left w:val="single" w:color="auto" w:sz="4" w:space="0"/>
              <w:bottom w:val="single" w:color="auto" w:sz="4" w:space="0"/>
              <w:right w:val="single" w:color="auto" w:sz="4" w:space="0"/>
            </w:tcBorders>
            <w:noWrap w:val="0"/>
            <w:vAlign w:val="center"/>
          </w:tcPr>
          <w:p w14:paraId="467EE21F">
            <w:pPr>
              <w:widowControl/>
              <w:jc w:val="center"/>
              <w:rPr>
                <w:rFonts w:eastAsia="仿宋_GB2312"/>
                <w:kern w:val="0"/>
                <w:szCs w:val="21"/>
              </w:rPr>
            </w:pPr>
            <w:r>
              <w:rPr>
                <w:rFonts w:eastAsia="仿宋_GB2312"/>
                <w:kern w:val="0"/>
                <w:szCs w:val="21"/>
              </w:rPr>
              <w:t>合   计</w:t>
            </w:r>
          </w:p>
        </w:tc>
        <w:tc>
          <w:tcPr>
            <w:tcW w:w="1334" w:type="dxa"/>
            <w:tcBorders>
              <w:top w:val="single" w:color="auto" w:sz="4" w:space="0"/>
              <w:left w:val="single" w:color="auto" w:sz="4" w:space="0"/>
              <w:bottom w:val="single" w:color="auto" w:sz="4" w:space="0"/>
              <w:right w:val="single" w:color="auto" w:sz="4" w:space="0"/>
            </w:tcBorders>
            <w:noWrap w:val="0"/>
            <w:vAlign w:val="center"/>
          </w:tcPr>
          <w:p w14:paraId="25DE8433">
            <w:pPr>
              <w:widowControl/>
              <w:jc w:val="center"/>
              <w:rPr>
                <w:rFonts w:eastAsia="仿宋_GB2312"/>
                <w:kern w:val="0"/>
                <w:szCs w:val="21"/>
              </w:rPr>
            </w:pPr>
          </w:p>
        </w:tc>
        <w:tc>
          <w:tcPr>
            <w:tcW w:w="794" w:type="dxa"/>
            <w:tcBorders>
              <w:top w:val="single" w:color="auto" w:sz="4" w:space="0"/>
              <w:left w:val="single" w:color="auto" w:sz="4" w:space="0"/>
              <w:bottom w:val="single" w:color="auto" w:sz="4" w:space="0"/>
              <w:right w:val="single" w:color="auto" w:sz="4" w:space="0"/>
            </w:tcBorders>
            <w:noWrap w:val="0"/>
            <w:vAlign w:val="center"/>
          </w:tcPr>
          <w:p w14:paraId="0493532F">
            <w:pPr>
              <w:widowControl/>
              <w:jc w:val="center"/>
              <w:rPr>
                <w:rFonts w:eastAsia="仿宋_GB2312"/>
                <w:kern w:val="0"/>
                <w:szCs w:val="21"/>
              </w:rPr>
            </w:pPr>
            <w:r>
              <w:rPr>
                <w:rFonts w:eastAsia="仿宋_GB2312"/>
                <w:kern w:val="0"/>
                <w:szCs w:val="21"/>
              </w:rPr>
              <w:t>100</w:t>
            </w:r>
          </w:p>
        </w:tc>
        <w:tc>
          <w:tcPr>
            <w:tcW w:w="4140" w:type="dxa"/>
            <w:tcBorders>
              <w:top w:val="single" w:color="auto" w:sz="4" w:space="0"/>
              <w:left w:val="single" w:color="auto" w:sz="4" w:space="0"/>
              <w:bottom w:val="single" w:color="auto" w:sz="4" w:space="0"/>
              <w:right w:val="single" w:color="auto" w:sz="4" w:space="0"/>
            </w:tcBorders>
            <w:noWrap w:val="0"/>
            <w:vAlign w:val="center"/>
          </w:tcPr>
          <w:p w14:paraId="0DD9A8B5">
            <w:pPr>
              <w:widowControl/>
              <w:jc w:val="left"/>
              <w:rPr>
                <w:rFonts w:eastAsia="仿宋_GB2312"/>
                <w:kern w:val="0"/>
                <w:szCs w:val="21"/>
              </w:rPr>
            </w:pPr>
          </w:p>
        </w:tc>
        <w:tc>
          <w:tcPr>
            <w:tcW w:w="3432" w:type="dxa"/>
            <w:tcBorders>
              <w:top w:val="single" w:color="auto" w:sz="4" w:space="0"/>
              <w:left w:val="single" w:color="auto" w:sz="4" w:space="0"/>
              <w:bottom w:val="single" w:color="auto" w:sz="4" w:space="0"/>
              <w:right w:val="single" w:color="auto" w:sz="4" w:space="0"/>
            </w:tcBorders>
            <w:noWrap w:val="0"/>
            <w:vAlign w:val="center"/>
          </w:tcPr>
          <w:p w14:paraId="7805D102">
            <w:pPr>
              <w:widowControl/>
              <w:jc w:val="left"/>
              <w:rPr>
                <w:rFonts w:eastAsia="仿宋_GB2312"/>
                <w:kern w:val="0"/>
                <w:szCs w:val="21"/>
              </w:rPr>
            </w:pPr>
          </w:p>
        </w:tc>
        <w:tc>
          <w:tcPr>
            <w:tcW w:w="2107" w:type="dxa"/>
            <w:tcBorders>
              <w:top w:val="single" w:color="auto" w:sz="4" w:space="0"/>
              <w:left w:val="single" w:color="auto" w:sz="4" w:space="0"/>
              <w:bottom w:val="single" w:color="auto" w:sz="4" w:space="0"/>
              <w:right w:val="single" w:color="auto" w:sz="4" w:space="0"/>
            </w:tcBorders>
            <w:noWrap w:val="0"/>
            <w:vAlign w:val="center"/>
          </w:tcPr>
          <w:p w14:paraId="42F7F117">
            <w:pPr>
              <w:widowControl/>
              <w:jc w:val="left"/>
              <w:rPr>
                <w:rFonts w:hint="default" w:eastAsia="宋体"/>
                <w:kern w:val="0"/>
                <w:szCs w:val="21"/>
                <w:lang w:val="en-US" w:eastAsia="zh-CN"/>
              </w:rPr>
            </w:pPr>
            <w:r>
              <w:rPr>
                <w:rFonts w:hint="eastAsia"/>
                <w:kern w:val="0"/>
                <w:szCs w:val="21"/>
                <w:lang w:val="en-US" w:eastAsia="zh-CN"/>
              </w:rPr>
              <w:t>100</w:t>
            </w:r>
          </w:p>
        </w:tc>
      </w:tr>
    </w:tbl>
    <w:p w14:paraId="1E093382"/>
    <w:p w14:paraId="7533C508">
      <w:pPr>
        <w:sectPr>
          <w:pgSz w:w="16838" w:h="11906" w:orient="landscape"/>
          <w:pgMar w:top="1797" w:right="1440" w:bottom="1797" w:left="1440" w:header="851" w:footer="992" w:gutter="0"/>
          <w:pgNumType w:fmt="numberInDash"/>
          <w:cols w:space="720" w:num="1"/>
          <w:docGrid w:type="lines" w:linePitch="312" w:charSpace="0"/>
        </w:sectPr>
      </w:pPr>
    </w:p>
    <w:p w14:paraId="0D37601E"/>
    <w:p w14:paraId="68D1019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11670">
    <w:pPr>
      <w:pStyle w:val="2"/>
      <w:framePr w:wrap="around" w:vAnchor="text" w:hAnchor="margin" w:xAlign="center" w:y="1"/>
      <w:rPr>
        <w:rStyle w:val="5"/>
        <w:rFonts w:hint="eastAsia" w:ascii="宋体" w:hAnsi="宋体"/>
        <w:sz w:val="24"/>
        <w:szCs w:val="24"/>
      </w:rPr>
    </w:pPr>
    <w:r>
      <w:rPr>
        <w:rStyle w:val="5"/>
        <w:rFonts w:hint="eastAsia" w:ascii="宋体" w:hAnsi="宋体"/>
        <w:sz w:val="24"/>
        <w:szCs w:val="24"/>
      </w:rPr>
      <w:t xml:space="preserve"> </w:t>
    </w:r>
    <w:r>
      <w:rPr>
        <w:rFonts w:hint="eastAsia" w:ascii="宋体" w:hAnsi="宋体"/>
        <w:sz w:val="24"/>
        <w:szCs w:val="24"/>
      </w:rPr>
      <w:fldChar w:fldCharType="begin"/>
    </w:r>
    <w:r>
      <w:rPr>
        <w:rStyle w:val="5"/>
        <w:rFonts w:hint="eastAsia" w:ascii="宋体" w:hAnsi="宋体"/>
        <w:sz w:val="24"/>
        <w:szCs w:val="24"/>
      </w:rPr>
      <w:instrText xml:space="preserve">PAGE  </w:instrText>
    </w:r>
    <w:r>
      <w:rPr>
        <w:rFonts w:hint="eastAsia" w:ascii="宋体" w:hAnsi="宋体"/>
        <w:sz w:val="24"/>
        <w:szCs w:val="24"/>
      </w:rPr>
      <w:fldChar w:fldCharType="separate"/>
    </w:r>
    <w:r>
      <w:rPr>
        <w:rStyle w:val="5"/>
        <w:rFonts w:ascii="宋体" w:hAnsi="宋体"/>
        <w:sz w:val="24"/>
        <w:szCs w:val="24"/>
      </w:rPr>
      <w:t>- 5 -</w:t>
    </w:r>
    <w:r>
      <w:rPr>
        <w:rFonts w:hint="eastAsia" w:ascii="宋体" w:hAnsi="宋体"/>
        <w:sz w:val="24"/>
        <w:szCs w:val="24"/>
      </w:rPr>
      <w:fldChar w:fldCharType="end"/>
    </w:r>
    <w:r>
      <w:rPr>
        <w:rStyle w:val="5"/>
        <w:rFonts w:hint="eastAsia" w:ascii="宋体" w:hAnsi="宋体"/>
        <w:sz w:val="24"/>
        <w:szCs w:val="24"/>
      </w:rPr>
      <w:t xml:space="preserve"> </w:t>
    </w:r>
  </w:p>
  <w:p w14:paraId="22AF45F5">
    <w:pPr>
      <w:pStyle w:val="2"/>
      <w:framePr w:wrap="around" w:vAnchor="text" w:hAnchor="margin" w:xAlign="outside" w:y="1"/>
      <w:rPr>
        <w:rStyle w:val="5"/>
        <w:rFonts w:ascii="宋体" w:hAnsi="宋体"/>
        <w:sz w:val="24"/>
        <w:szCs w:val="24"/>
      </w:rPr>
    </w:pPr>
  </w:p>
  <w:p w14:paraId="0B17C0F5">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528AC5"/>
    <w:multiLevelType w:val="singleLevel"/>
    <w:tmpl w:val="A3528AC5"/>
    <w:lvl w:ilvl="0" w:tentative="0">
      <w:start w:val="2"/>
      <w:numFmt w:val="chineseCounting"/>
      <w:suff w:val="nothing"/>
      <w:lvlText w:val="（%1）"/>
      <w:lvlJc w:val="left"/>
      <w:rPr>
        <w:rFonts w:hint="eastAsia"/>
      </w:rPr>
    </w:lvl>
  </w:abstractNum>
  <w:abstractNum w:abstractNumId="1">
    <w:nsid w:val="3BECD87C"/>
    <w:multiLevelType w:val="singleLevel"/>
    <w:tmpl w:val="3BECD87C"/>
    <w:lvl w:ilvl="0" w:tentative="0">
      <w:start w:val="3"/>
      <w:numFmt w:val="chineseCounting"/>
      <w:suff w:val="nothing"/>
      <w:lvlText w:val="%1、"/>
      <w:lvlJc w:val="left"/>
      <w:rPr>
        <w:rFonts w:hint="eastAsia"/>
      </w:rPr>
    </w:lvl>
  </w:abstractNum>
  <w:abstractNum w:abstractNumId="2">
    <w:nsid w:val="52ECB69A"/>
    <w:multiLevelType w:val="singleLevel"/>
    <w:tmpl w:val="52ECB69A"/>
    <w:lvl w:ilvl="0" w:tentative="0">
      <w:start w:val="7"/>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iM2I1ZGM2NTg0ZjZiYmIxZTU3YjJmMjAzZjY0MzgifQ=="/>
  </w:docVars>
  <w:rsids>
    <w:rsidRoot w:val="255B074D"/>
    <w:rsid w:val="255B074D"/>
    <w:rsid w:val="3C7D69E2"/>
    <w:rsid w:val="56A30329"/>
    <w:rsid w:val="58E910EA"/>
    <w:rsid w:val="682C6006"/>
    <w:rsid w:val="7D342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qFormat/>
    <w:uiPriority w:val="0"/>
  </w:style>
  <w:style w:type="paragraph" w:styleId="6">
    <w:name w:val="List Paragraph"/>
    <w:basedOn w:val="1"/>
    <w:qFormat/>
    <w:uiPriority w:val="99"/>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2653</Words>
  <Characters>2840</Characters>
  <Lines>0</Lines>
  <Paragraphs>0</Paragraphs>
  <TotalTime>1</TotalTime>
  <ScaleCrop>false</ScaleCrop>
  <LinksUpToDate>false</LinksUpToDate>
  <CharactersWithSpaces>2998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2024-10-17T03:06:00Z</dcterms:created>
  <dc:creator>sin1423710463</dc:creator>
  <cp:lastModifiedBy>Administrator</cp:lastModifiedBy>
  <dcterms:modified xsi:type="dcterms:W3CDTF">2025-11-25T06:59:36Z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20A01F72B9154A67889843A4D23B5286_11</vt:lpwstr>
  </property>
  <property fmtid="{D5CDD505-2E9C-101B-9397-08002B2CF9AE}" pid="4" name="KSOTemplateDocerSaveRecord">
    <vt:lpwstr>eyJoZGlkIjoiNGFiYTc1YjA5NGZlNjFlYjBhNmE1MDM1OTA0MGI3NjgiLCJ1c2VySWQiOiIxMzE0MjYzMTY0In0=</vt:lpwstr>
  </property>
</Properties>
</file>