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2024年度炎陵县中村瑶族乡人民政府</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10"/>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10"/>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numPr>
          <w:ilvl w:val="0"/>
          <w:numId w:val="0"/>
        </w:numPr>
        <w:tabs>
          <w:tab w:val="left" w:pos="7560"/>
        </w:tabs>
        <w:adjustRightInd w:val="0"/>
        <w:snapToGri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本单位为炎陵县中村瑶族乡人民政府，所属一级预算单位，单位性质为行政单位。</w:t>
      </w:r>
    </w:p>
    <w:p>
      <w:pPr>
        <w:pStyle w:val="10"/>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部门职能职责</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根据《关于炎陵县乡镇划分类别的批复》（株编办〔2015〕239号）文件，炎陵县中村瑶族乡为二类乡，本部门主要职责是：制定和组织实施经济、科技和社会发展计划，制定资源开发技术改造和产业结构调整方案，组织指导</w:t>
      </w:r>
      <w:r>
        <w:rPr>
          <w:rFonts w:hint="eastAsia" w:ascii="Times New Roman" w:hAnsi="Times New Roman" w:eastAsia="仿宋_GB2312" w:cs="Times New Roman"/>
          <w:sz w:val="32"/>
          <w:szCs w:val="32"/>
          <w:lang w:eastAsia="zh-CN"/>
        </w:rPr>
        <w:t>好</w:t>
      </w:r>
      <w:r>
        <w:rPr>
          <w:rFonts w:hint="eastAsia" w:ascii="Times New Roman" w:hAnsi="Times New Roman" w:eastAsia="仿宋_GB2312" w:cs="Times New Roman"/>
          <w:sz w:val="32"/>
          <w:szCs w:val="32"/>
        </w:rPr>
        <w:t>各业生产，搞好商品流通，协调好本乡与外地区的经济交流和合作，抓好招商引资，人才引进项目开发，不断培育市场体系，组织经济运行，促进经济发展；制定并组织实施乡村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植税源，管好财政资金，增强财政实力；抓好精神文明建设，丰富群众文化生活，提倡移风易俗，反对封建迷信，破除陈规陋习，梳理社会主义新风尚；完成上级政府交办的其他事项；服务于区域经济、社会各方面和各项事业的发展，构建“生态型、富裕型”旅游乡。</w:t>
      </w:r>
    </w:p>
    <w:p>
      <w:pPr>
        <w:pStyle w:val="11"/>
        <w:adjustRightInd w:val="0"/>
        <w:snapToGrid w:val="0"/>
        <w:spacing w:after="0" w:line="560" w:lineRule="exact"/>
        <w:ind w:firstLine="640" w:firstLineChars="200"/>
        <w:rPr>
          <w:rFonts w:hint="eastAsia"/>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年主要工作任务及目标是：</w:t>
      </w:r>
      <w:r>
        <w:rPr>
          <w:rFonts w:hint="eastAsia" w:ascii="仿宋" w:hAnsi="仿宋" w:eastAsia="仿宋" w:cs="仿宋"/>
          <w:b/>
          <w:bCs w:val="0"/>
          <w:sz w:val="32"/>
          <w:szCs w:val="32"/>
          <w:shd w:val="clear" w:color="auto" w:fill="FFFFFF"/>
        </w:rPr>
        <w:t>1.聚焦项目建设，着力扩大有效投资。</w:t>
      </w:r>
      <w:r>
        <w:rPr>
          <w:rFonts w:hint="eastAsia" w:ascii="Times New Roman" w:eastAsia="仿宋_GB2312" w:cs="Times New Roman"/>
          <w:sz w:val="32"/>
          <w:szCs w:val="32"/>
          <w:shd w:val="clear" w:color="auto" w:fill="FFFFFF"/>
        </w:rPr>
        <w:t>扎实开展“项目攻坚年”活动，为当前增实力，为未来留后劲。认真做好项目谋划。结合“十四五”规划和乡域实际，聚焦文旅康养、产业发展、生态环境等方面，做大做优项目储备库，力争更多项目挤进省、市、县投资笼子。全力以赴招商引资。</w:t>
      </w:r>
      <w:r>
        <w:rPr>
          <w:rFonts w:hint="eastAsia" w:eastAsia="仿宋_GB2312"/>
          <w:b/>
          <w:sz w:val="32"/>
          <w:szCs w:val="32"/>
          <w:shd w:val="clear" w:color="auto" w:fill="FFFFFF"/>
        </w:rPr>
        <w:t>2.加快产业发展，全面推进乡村振兴</w:t>
      </w:r>
      <w:r>
        <w:rPr>
          <w:rFonts w:eastAsia="仿宋_GB2312"/>
          <w:b/>
          <w:sz w:val="32"/>
          <w:szCs w:val="32"/>
          <w:shd w:val="clear" w:color="auto" w:fill="FFFFFF"/>
        </w:rPr>
        <w:t>。</w:t>
      </w:r>
      <w:r>
        <w:rPr>
          <w:rFonts w:eastAsia="仿宋_GB2312"/>
          <w:sz w:val="32"/>
          <w:szCs w:val="32"/>
        </w:rPr>
        <w:t>坚持乡村振兴战略引领，加快完善基础设施，加紧谋划产业项目，全力推进民族乡村振兴试点工作。推进文旅产业发展</w:t>
      </w:r>
      <w:r>
        <w:rPr>
          <w:rFonts w:hint="eastAsia" w:eastAsia="仿宋_GB2312"/>
          <w:sz w:val="32"/>
          <w:szCs w:val="32"/>
        </w:rPr>
        <w:t>。</w:t>
      </w:r>
      <w:r>
        <w:rPr>
          <w:rFonts w:hAnsi="仿宋_GB2312" w:eastAsia="仿宋_GB2312"/>
          <w:sz w:val="32"/>
          <w:szCs w:val="32"/>
        </w:rPr>
        <w:t>充分发挥中村瑶族乡地理区位优势，打造集瑶族文化、红色文化、黄桃文化为一体的民族团结文化小镇。</w:t>
      </w:r>
      <w:r>
        <w:rPr>
          <w:rFonts w:hint="eastAsia" w:ascii="Times New Roman" w:eastAsia="仿宋_GB2312" w:cs="Times New Roman"/>
          <w:b/>
          <w:sz w:val="32"/>
          <w:szCs w:val="32"/>
          <w:shd w:val="clear" w:color="auto" w:fill="FFFFFF"/>
        </w:rPr>
        <w:t>3.践行绿色理念，推进生态文明建设。</w:t>
      </w:r>
      <w:r>
        <w:rPr>
          <w:rFonts w:hint="eastAsia" w:ascii="Times New Roman" w:eastAsia="仿宋_GB2312" w:cs="Times New Roman"/>
          <w:snapToGrid w:val="0"/>
          <w:sz w:val="32"/>
          <w:szCs w:val="32"/>
        </w:rPr>
        <w:t>坚持节约优先、保护优先，推动发展与美丽共赢。</w:t>
      </w:r>
      <w:r>
        <w:rPr>
          <w:rFonts w:hint="eastAsia" w:ascii="仿宋_GB2312" w:eastAsia="仿宋_GB2312" w:cs="Times New Roman"/>
          <w:sz w:val="32"/>
          <w:szCs w:val="32"/>
        </w:rPr>
        <w:t>深入开展农村人居环境整治工作，重点抓好垃圾分类、污水处理、厕所革命、村容村貌整治提升，年内完成农村标准化卫生改厕任务，积极对接协调，加快中村压缩式垃圾转运站建设，推进污水处理厂投入使用，开展保洁员评比，提高积极性。</w:t>
      </w:r>
      <w:r>
        <w:rPr>
          <w:rFonts w:hint="eastAsia" w:ascii="仿宋_GB2312" w:eastAsia="仿宋_GB2312"/>
          <w:sz w:val="32"/>
          <w:szCs w:val="32"/>
        </w:rPr>
        <w:t>全面落实“河长制”“林长制”“田长制”工作要求，扎实抓好森林防灭火、河道环境治理、秸秆禁烧等工作，常态化开展巡河巡林巡田，打好“蓝天、碧水、净土”保卫战。</w:t>
      </w:r>
      <w:r>
        <w:rPr>
          <w:rFonts w:hint="eastAsia" w:ascii="Times New Roman" w:hAnsi="Times New Roman" w:eastAsia="仿宋_GB2312" w:cs="Times New Roman"/>
          <w:b/>
          <w:sz w:val="32"/>
          <w:szCs w:val="32"/>
          <w:shd w:val="clear" w:color="auto" w:fill="FFFFFF"/>
        </w:rPr>
        <w:t>4.增进民生福祉，顺应人民群众期盼。</w:t>
      </w:r>
      <w:r>
        <w:rPr>
          <w:rFonts w:hint="eastAsia" w:ascii="Times New Roman" w:hAnsi="Times New Roman" w:eastAsia="仿宋_GB2312"/>
          <w:snapToGrid w:val="0"/>
          <w:sz w:val="32"/>
          <w:szCs w:val="32"/>
        </w:rPr>
        <w:t>坚持人民利益优先，着力提高保障和改善民生水平。持续巩固脱贫攻坚成果。把防止返贫作为重中之重，加强监测和帮扶，落实</w:t>
      </w:r>
      <w:r>
        <w:rPr>
          <w:rFonts w:hint="eastAsia" w:ascii="仿宋_GB2312" w:eastAsia="仿宋_GB2312"/>
          <w:sz w:val="32"/>
          <w:szCs w:val="32"/>
        </w:rPr>
        <w:t>低保、特困、临时救助等各类社会保障措施，持续做好特殊群体的动态管理；</w:t>
      </w:r>
      <w:r>
        <w:rPr>
          <w:rFonts w:hint="eastAsia" w:ascii="Times New Roman" w:hAnsi="Times New Roman" w:eastAsia="仿宋_GB2312"/>
          <w:snapToGrid w:val="0"/>
          <w:sz w:val="32"/>
          <w:szCs w:val="32"/>
        </w:rPr>
        <w:t>统筹推进“两险”征缴。积极扩大医疗保险、养老保险、失业保险、工伤保险覆盖面，确保困难群众医保参保率100%。落实落细就业政策。</w:t>
      </w:r>
      <w:r>
        <w:rPr>
          <w:rFonts w:hint="eastAsia" w:ascii="仿宋_GB2312" w:eastAsia="仿宋_GB2312"/>
          <w:sz w:val="32"/>
          <w:szCs w:val="32"/>
        </w:rPr>
        <w:t>始终把保就业放在突出位置，重点做好脱贫户、监测户等重点人群就业，完善技能培训和规划指导、畅通创业支持政策，</w:t>
      </w:r>
      <w:r>
        <w:rPr>
          <w:rFonts w:hint="eastAsia" w:ascii="Times New Roman" w:hAnsi="Times New Roman" w:eastAsia="仿宋_GB2312"/>
          <w:snapToGrid w:val="0"/>
          <w:sz w:val="32"/>
          <w:szCs w:val="32"/>
        </w:rPr>
        <w:t>确保登记失业率控制在3%以下。加快发展社会事业。积极向上争取资金项目，</w:t>
      </w:r>
      <w:r>
        <w:rPr>
          <w:rFonts w:hint="eastAsia" w:ascii="仿宋_GB2312" w:eastAsia="仿宋_GB2312"/>
          <w:sz w:val="32"/>
          <w:szCs w:val="32"/>
        </w:rPr>
        <w:t>完善农田水利和交通设施建设，实施乡村美化亮化工程，提升乡村颜值。</w:t>
      </w:r>
      <w:r>
        <w:rPr>
          <w:rFonts w:ascii="Times New Roman" w:hAnsi="Times New Roman" w:eastAsia="仿宋_GB2312"/>
          <w:snapToGrid w:val="0"/>
          <w:sz w:val="32"/>
          <w:szCs w:val="32"/>
        </w:rPr>
        <w:t>开展全国民族团结进步示范乡镇创建工作，加大民族文化、红色文化资源传承、保护和挖掘力度。</w:t>
      </w:r>
      <w:r>
        <w:rPr>
          <w:rFonts w:hint="eastAsia" w:ascii="Times New Roman" w:hAnsi="Times New Roman" w:eastAsia="仿宋_GB2312"/>
          <w:snapToGrid w:val="0"/>
          <w:sz w:val="32"/>
          <w:szCs w:val="32"/>
        </w:rPr>
        <w:t>全力守护公共安全。落实防范化解重大风险各项举措，保障全乡社会风险总体可控。健全扫黑除恶长效机制，严厉打击各类违法犯罪行为。深入开展</w:t>
      </w:r>
      <w:r>
        <w:rPr>
          <w:rFonts w:ascii="Times New Roman" w:hAnsi="Times New Roman" w:eastAsia="仿宋_GB2312"/>
          <w:snapToGrid w:val="0"/>
          <w:sz w:val="32"/>
          <w:szCs w:val="32"/>
        </w:rPr>
        <w:t>“打非治违”、安全生产、交通问题顽瘴痼疾整治、耕地保护、自建房安全整改、森林防灭火、防汛抗旱等工作宣传及隐患排查，</w:t>
      </w:r>
      <w:r>
        <w:rPr>
          <w:rFonts w:hint="eastAsia" w:ascii="Times New Roman" w:hAnsi="Times New Roman" w:eastAsia="仿宋_GB2312"/>
          <w:snapToGrid w:val="0"/>
          <w:sz w:val="32"/>
          <w:szCs w:val="32"/>
        </w:rPr>
        <w:t>完善应急响应机制，加强应急队伍建设，做好自然灾害、重大疫情防控工作。加大食品药品安全监管力度，保障群众饮食用药安全。</w:t>
      </w:r>
      <w:r>
        <w:rPr>
          <w:rFonts w:ascii="Times New Roman" w:hAnsi="Times New Roman" w:eastAsia="仿宋_GB2312"/>
          <w:snapToGrid w:val="0"/>
          <w:sz w:val="32"/>
          <w:szCs w:val="32"/>
        </w:rPr>
        <w:t>深化社会治理，化解矛盾纠纷，促进民族团结，维护社会稳定。</w:t>
      </w:r>
    </w:p>
    <w:p>
      <w:pPr>
        <w:numPr>
          <w:ilvl w:val="0"/>
          <w:numId w:val="3"/>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机构情况，包括当年变动情况及原因。</w:t>
      </w:r>
    </w:p>
    <w:p>
      <w:pPr>
        <w:snapToGrid/>
        <w:spacing w:line="580" w:lineRule="exact"/>
        <w:ind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本部门共有编制人数</w:t>
      </w:r>
      <w:r>
        <w:rPr>
          <w:rFonts w:hint="eastAsia" w:ascii="仿宋_GB2312" w:hAnsi="仿宋_GB2312" w:eastAsia="仿宋_GB2312" w:cs="仿宋_GB2312"/>
          <w:color w:val="000000"/>
          <w:kern w:val="0"/>
          <w:sz w:val="32"/>
          <w:szCs w:val="32"/>
          <w:lang w:val="en-US" w:eastAsia="zh-CN"/>
        </w:rPr>
        <w:t>63</w:t>
      </w:r>
      <w:r>
        <w:rPr>
          <w:rFonts w:hint="default" w:ascii="仿宋_GB2312" w:hAnsi="仿宋_GB2312" w:eastAsia="仿宋_GB2312" w:cs="仿宋_GB2312"/>
          <w:color w:val="000000"/>
          <w:kern w:val="0"/>
          <w:sz w:val="32"/>
          <w:szCs w:val="32"/>
        </w:rPr>
        <w:t>人，实有人数</w:t>
      </w:r>
      <w:r>
        <w:rPr>
          <w:rFonts w:hint="eastAsia" w:ascii="仿宋_GB2312" w:hAnsi="仿宋_GB2312" w:eastAsia="仿宋_GB2312" w:cs="仿宋_GB2312"/>
          <w:color w:val="000000"/>
          <w:kern w:val="0"/>
          <w:sz w:val="32"/>
          <w:szCs w:val="32"/>
          <w:lang w:val="en-US" w:eastAsia="zh-CN"/>
        </w:rPr>
        <w:t>63</w:t>
      </w:r>
      <w:r>
        <w:rPr>
          <w:rFonts w:hint="default" w:ascii="仿宋_GB2312" w:hAnsi="仿宋_GB2312" w:eastAsia="仿宋_GB2312" w:cs="仿宋_GB2312"/>
          <w:color w:val="000000"/>
          <w:kern w:val="0"/>
          <w:sz w:val="32"/>
          <w:szCs w:val="32"/>
        </w:rPr>
        <w:t>人。内设科室  8个，分别为：党政办公室</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党建办公室</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 经济发展办公室(农业农村工作办公室)</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民政办公室(卫生健康办公室)</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生态环境办公室</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社会治安办公室</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应急管理办公室</w:t>
      </w: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炎陵县</w:t>
      </w:r>
      <w:r>
        <w:rPr>
          <w:rFonts w:hint="eastAsia" w:ascii="仿宋_GB2312" w:hAnsi="仿宋_GB2312" w:eastAsia="仿宋_GB2312" w:cs="仿宋_GB2312"/>
          <w:color w:val="000000"/>
          <w:kern w:val="0"/>
          <w:sz w:val="32"/>
          <w:szCs w:val="32"/>
          <w:lang w:eastAsia="zh-CN"/>
        </w:rPr>
        <w:t>中村瑶族乡</w:t>
      </w:r>
      <w:r>
        <w:rPr>
          <w:rFonts w:hint="default"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val="en-US" w:eastAsia="zh-CN"/>
        </w:rPr>
        <w:t>办公室。</w:t>
      </w:r>
    </w:p>
    <w:p>
      <w:pPr>
        <w:numPr>
          <w:ilvl w:val="0"/>
          <w:numId w:val="3"/>
        </w:numPr>
        <w:snapToGrid w:val="0"/>
        <w:spacing w:line="520" w:lineRule="exact"/>
        <w:ind w:left="0" w:lef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人员情况，包括当年变动情况及原因。</w:t>
      </w:r>
    </w:p>
    <w:p>
      <w:pPr>
        <w:snapToGrid/>
        <w:spacing w:line="580" w:lineRule="exact"/>
        <w:ind w:firstLine="640" w:firstLineChars="0"/>
        <w:rPr>
          <w:rFonts w:hint="eastAsia" w:ascii="仿宋_GB2312" w:hAnsi="仿宋_GB2312" w:eastAsia="仿宋_GB2312" w:cs="仿宋_GB2312"/>
          <w:color w:val="000000"/>
          <w:kern w:val="0"/>
          <w:sz w:val="32"/>
          <w:szCs w:val="32"/>
          <w:lang w:val="en-US" w:eastAsia="zh-CN"/>
        </w:rPr>
      </w:pPr>
      <w:r>
        <w:rPr>
          <w:rFonts w:hint="eastAsia" w:ascii="Times New Roman" w:hAnsi="Times New Roman" w:eastAsia="仿宋_GB2312" w:cs="Times New Roman"/>
          <w:kern w:val="2"/>
          <w:sz w:val="32"/>
          <w:szCs w:val="32"/>
          <w:lang w:val="en-US" w:eastAsia="zh-CN" w:bidi="ar-SA"/>
        </w:rPr>
        <w:t>本单位人员2024年末实有人数为63人，2023年为70人。主要原因是2024年新考录4人，调入4人，调出11人，退休5人。</w:t>
      </w:r>
    </w:p>
    <w:p>
      <w:pPr>
        <w:pStyle w:val="10"/>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pStyle w:val="10"/>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10"/>
        <w:widowControl/>
        <w:numPr>
          <w:ilvl w:val="0"/>
          <w:numId w:val="0"/>
        </w:numPr>
        <w:spacing w:line="52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黑体"/>
          <w:sz w:val="32"/>
          <w:szCs w:val="32"/>
          <w:lang w:eastAsia="zh-CN"/>
        </w:rPr>
        <w:t>一般公共预算支出</w:t>
      </w:r>
      <w:r>
        <w:rPr>
          <w:rFonts w:hint="eastAsia" w:ascii="仿宋_GB2312" w:eastAsia="仿宋_GB2312" w:cs="Times New Roman"/>
          <w:color w:val="000000"/>
          <w:sz w:val="32"/>
          <w:szCs w:val="32"/>
          <w:u w:val="none"/>
        </w:rPr>
        <w:t> </w:t>
      </w:r>
      <w:r>
        <w:rPr>
          <w:rFonts w:hint="eastAsia" w:ascii="宋体" w:eastAsia="仿宋_GB2312" w:cs="宋体"/>
          <w:color w:val="000000"/>
          <w:kern w:val="0"/>
          <w:sz w:val="32"/>
          <w:szCs w:val="32"/>
          <w:lang w:eastAsia="zh-CN"/>
        </w:rPr>
        <w:t>1783.964482</w:t>
      </w:r>
      <w:r>
        <w:rPr>
          <w:rFonts w:hint="eastAsia" w:ascii="仿宋_GB2312" w:hAnsi="仿宋" w:eastAsia="仿宋_GB2312" w:cs="仿宋"/>
          <w:color w:val="000000"/>
          <w:sz w:val="32"/>
          <w:szCs w:val="32"/>
        </w:rPr>
        <w:t>万元</w:t>
      </w:r>
      <w:r>
        <w:rPr>
          <w:rFonts w:hint="eastAsia" w:ascii="Times New Roman" w:hAnsi="Times New Roman" w:eastAsia="仿宋_GB2312"/>
          <w:sz w:val="32"/>
          <w:szCs w:val="32"/>
          <w:lang w:val="en-US" w:eastAsia="zh-CN"/>
        </w:rPr>
        <w:t>，其中：</w:t>
      </w:r>
    </w:p>
    <w:p>
      <w:pPr>
        <w:pStyle w:val="10"/>
        <w:widowControl/>
        <w:numPr>
          <w:ilvl w:val="0"/>
          <w:numId w:val="4"/>
        </w:numPr>
        <w:spacing w:line="52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基本支出915.566453万元，占比51.32%。</w:t>
      </w:r>
    </w:p>
    <w:p>
      <w:pPr>
        <w:pStyle w:val="10"/>
        <w:widowControl/>
        <w:numPr>
          <w:ilvl w:val="0"/>
          <w:numId w:val="0"/>
        </w:num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Times New Roman" w:hAnsi="Times New Roman" w:eastAsia="仿宋_GB2312"/>
          <w:sz w:val="32"/>
          <w:szCs w:val="32"/>
          <w:lang w:val="en-US" w:eastAsia="zh-CN"/>
        </w:rPr>
        <w:t>项目支出</w:t>
      </w:r>
      <w:r>
        <w:rPr>
          <w:rFonts w:hint="eastAsia" w:ascii="Times New Roman" w:hAnsi="Times New Roman" w:eastAsia="仿宋_GB2312" w:cs="Times New Roman"/>
          <w:sz w:val="32"/>
          <w:szCs w:val="32"/>
          <w:highlight w:val="none"/>
          <w:lang w:val="en-US" w:eastAsia="zh-CN"/>
        </w:rPr>
        <w:t>868.398029万</w:t>
      </w:r>
      <w:r>
        <w:rPr>
          <w:rFonts w:hint="eastAsia" w:ascii="Times New Roman" w:hAnsi="Times New Roman" w:eastAsia="仿宋_GB2312"/>
          <w:sz w:val="32"/>
          <w:szCs w:val="32"/>
          <w:lang w:val="en-US" w:eastAsia="zh-CN"/>
        </w:rPr>
        <w:t>元，占比48.68%。</w:t>
      </w:r>
    </w:p>
    <w:p>
      <w:pPr>
        <w:pStyle w:val="10"/>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10"/>
        <w:widowControl/>
        <w:numPr>
          <w:numId w:val="0"/>
        </w:numPr>
        <w:spacing w:line="520" w:lineRule="exact"/>
        <w:ind w:firstLine="1280" w:firstLineChars="400"/>
        <w:rPr>
          <w:rFonts w:hint="eastAsia" w:ascii="Times New Roman" w:hAnsi="Times New Roman" w:eastAsia="黑体"/>
          <w:b/>
          <w:bCs/>
          <w:sz w:val="32"/>
          <w:szCs w:val="32"/>
          <w:lang w:eastAsia="zh-CN"/>
        </w:rPr>
      </w:pPr>
      <w:r>
        <w:rPr>
          <w:rFonts w:hint="eastAsia" w:ascii="Times New Roman" w:hAnsi="Times New Roman" w:eastAsia="仿宋_GB2312"/>
          <w:sz w:val="32"/>
          <w:szCs w:val="32"/>
          <w:lang w:val="en-US" w:eastAsia="zh-CN"/>
        </w:rPr>
        <w:t>项目支出363.63525万元，占比100%。</w:t>
      </w:r>
    </w:p>
    <w:p>
      <w:pPr>
        <w:pStyle w:val="10"/>
        <w:widowControl/>
        <w:numPr>
          <w:ilvl w:val="0"/>
          <w:numId w:val="5"/>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pPr>
        <w:pStyle w:val="10"/>
        <w:widowControl/>
        <w:numPr>
          <w:numId w:val="0"/>
        </w:numPr>
        <w:spacing w:line="520" w:lineRule="exact"/>
        <w:ind w:left="640" w:leftChars="0"/>
        <w:jc w:val="left"/>
        <w:rPr>
          <w:rFonts w:hint="eastAsia" w:ascii="Times New Roman" w:hAnsi="Times New Roman" w:eastAsia="仿宋_GB2312"/>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sz w:val="32"/>
          <w:szCs w:val="32"/>
          <w:lang w:val="en-US" w:eastAsia="zh-CN"/>
        </w:rPr>
        <w:t>无</w:t>
      </w:r>
    </w:p>
    <w:p>
      <w:pPr>
        <w:pStyle w:val="10"/>
        <w:widowControl/>
        <w:numPr>
          <w:ilvl w:val="0"/>
          <w:numId w:val="5"/>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0"/>
        <w:widowControl/>
        <w:numPr>
          <w:numId w:val="0"/>
        </w:numPr>
        <w:spacing w:line="520" w:lineRule="exact"/>
        <w:ind w:left="640" w:leftChars="0" w:firstLine="640" w:firstLineChars="200"/>
        <w:jc w:val="left"/>
        <w:rPr>
          <w:rFonts w:ascii="Times New Roman" w:hAnsi="Times New Roman" w:eastAsia="黑体"/>
          <w:sz w:val="32"/>
          <w:szCs w:val="32"/>
        </w:rPr>
      </w:pPr>
      <w:r>
        <w:rPr>
          <w:rFonts w:hint="eastAsia" w:ascii="Times New Roman" w:hAnsi="Times New Roman" w:eastAsia="仿宋_GB2312"/>
          <w:sz w:val="32"/>
          <w:szCs w:val="32"/>
          <w:lang w:val="en-US" w:eastAsia="zh-CN"/>
        </w:rPr>
        <w:t>无</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snapToGrid w:val="0"/>
        <w:spacing w:line="52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2024年度，我乡攻坚克难，真抓实干，突出抓好项目建设、产业发展、民生改善、基层党建等工作，圆满完成全年财税收入，实现了经济稳健运行、发展稳中求进的工作目标。</w:t>
      </w:r>
    </w:p>
    <w:p>
      <w:pPr>
        <w:pStyle w:val="10"/>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snapToGrid w:val="0"/>
        <w:spacing w:line="520" w:lineRule="exact"/>
        <w:ind w:firstLine="640" w:firstLineChars="200"/>
        <w:rPr>
          <w:rFonts w:hint="eastAsia" w:ascii="楷体_GB2312" w:hAnsi="仿宋" w:eastAsia="楷体_GB2312"/>
          <w:b/>
          <w:sz w:val="32"/>
          <w:szCs w:val="32"/>
        </w:rPr>
      </w:pPr>
      <w:r>
        <w:rPr>
          <w:rFonts w:hint="eastAsia" w:ascii="Times New Roman" w:hAnsi="Times New Roman" w:eastAsia="仿宋_GB2312" w:cs="Times New Roman"/>
          <w:kern w:val="2"/>
          <w:sz w:val="32"/>
          <w:szCs w:val="32"/>
          <w:lang w:val="en-US" w:eastAsia="zh-CN" w:bidi="ar-SA"/>
        </w:rPr>
        <w:t>预算执行及绩效管理存在的问题主要是工作贯彻不到位，主要原因是由于对绩效管理的重视不够，在以后的工作中会积极贯彻执行，提高重视。</w:t>
      </w:r>
    </w:p>
    <w:p>
      <w:pPr>
        <w:widowControl/>
        <w:numPr>
          <w:ilvl w:val="0"/>
          <w:numId w:val="6"/>
        </w:numPr>
        <w:spacing w:line="520" w:lineRule="exact"/>
        <w:ind w:firstLine="640" w:firstLineChars="200"/>
        <w:jc w:val="left"/>
        <w:rPr>
          <w:rFonts w:eastAsia="黑体"/>
          <w:sz w:val="32"/>
          <w:szCs w:val="32"/>
        </w:rPr>
      </w:pPr>
      <w:r>
        <w:rPr>
          <w:rFonts w:eastAsia="黑体"/>
          <w:sz w:val="32"/>
          <w:szCs w:val="32"/>
        </w:rPr>
        <w:t>下一步改进措施</w:t>
      </w:r>
    </w:p>
    <w:p>
      <w:pPr>
        <w:snapToGrid w:val="0"/>
        <w:spacing w:line="52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1.合理安排收支预算，严格预算管理，坚持按照“以收定支、量入为出、保证重点、兼顾一般”的原则，增强预算约束意识，提高科学化、精细化预算管理水平。</w:t>
      </w:r>
    </w:p>
    <w:p>
      <w:pPr>
        <w:snapToGrid w:val="0"/>
        <w:spacing w:line="52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2.进一步完善和更新内部控制制度。</w:t>
      </w:r>
    </w:p>
    <w:p>
      <w:pPr>
        <w:snapToGrid w:val="0"/>
        <w:spacing w:line="52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3.加强项目开展进度跟踪，开展项目绩效评价</w:t>
      </w:r>
    </w:p>
    <w:p>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snapToGrid w:val="0"/>
        <w:spacing w:line="52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7A"/>
    <w:family w:val="auto"/>
    <w:pitch w:val="default"/>
    <w:sig w:usb0="00000000" w:usb1="00000000" w:usb2="00000016" w:usb3="00000000" w:csb0="0004000F"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A7D3757B"/>
    <w:multiLevelType w:val="singleLevel"/>
    <w:tmpl w:val="A7D3757B"/>
    <w:lvl w:ilvl="0" w:tentative="0">
      <w:start w:val="4"/>
      <w:numFmt w:val="chineseCounting"/>
      <w:suff w:val="nothing"/>
      <w:lvlText w:val="%1、"/>
      <w:lvlJc w:val="left"/>
      <w:rPr>
        <w:rFonts w:hint="eastAsia"/>
      </w:rPr>
    </w:lvl>
  </w:abstractNum>
  <w:abstractNum w:abstractNumId="2">
    <w:nsid w:val="DA18B28D"/>
    <w:multiLevelType w:val="singleLevel"/>
    <w:tmpl w:val="DA18B28D"/>
    <w:lvl w:ilvl="0" w:tentative="0">
      <w:start w:val="8"/>
      <w:numFmt w:val="chineseCounting"/>
      <w:suff w:val="nothing"/>
      <w:lvlText w:val="%1、"/>
      <w:lvlJc w:val="left"/>
      <w:rPr>
        <w:rFonts w:hint="eastAsia"/>
      </w:rPr>
    </w:lvl>
  </w:abstractNum>
  <w:abstractNum w:abstractNumId="3">
    <w:nsid w:val="DA7EC904"/>
    <w:multiLevelType w:val="singleLevel"/>
    <w:tmpl w:val="DA7EC904"/>
    <w:lvl w:ilvl="0" w:tentative="0">
      <w:start w:val="2"/>
      <w:numFmt w:val="decimal"/>
      <w:suff w:val="nothing"/>
      <w:lvlText w:val="%1．"/>
      <w:lvlJc w:val="left"/>
    </w:lvl>
  </w:abstractNum>
  <w:abstractNum w:abstractNumId="4">
    <w:nsid w:val="FDC310B5"/>
    <w:multiLevelType w:val="singleLevel"/>
    <w:tmpl w:val="FDC310B5"/>
    <w:lvl w:ilvl="0" w:tentative="0">
      <w:start w:val="1"/>
      <w:numFmt w:val="chineseCounting"/>
      <w:suff w:val="nothing"/>
      <w:lvlText w:val="%1、"/>
      <w:lvlJc w:val="left"/>
      <w:rPr>
        <w:rFonts w:hint="eastAsia"/>
      </w:rPr>
    </w:lvl>
  </w:abstractNum>
  <w:abstractNum w:abstractNumId="5">
    <w:nsid w:val="4B06E10B"/>
    <w:multiLevelType w:val="singleLevel"/>
    <w:tmpl w:val="4B06E10B"/>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8254458"/>
    <w:rsid w:val="15BF56EC"/>
    <w:rsid w:val="311D3446"/>
    <w:rsid w:val="32343FF8"/>
    <w:rsid w:val="35CB6416"/>
    <w:rsid w:val="48056FC0"/>
    <w:rsid w:val="4B4334AB"/>
    <w:rsid w:val="4CD266B8"/>
    <w:rsid w:val="5403276E"/>
    <w:rsid w:val="54C57A37"/>
    <w:rsid w:val="56140FF1"/>
    <w:rsid w:val="5BFB631F"/>
    <w:rsid w:val="64890004"/>
    <w:rsid w:val="703F0A2A"/>
    <w:rsid w:val="70AB011F"/>
    <w:rsid w:val="7D2E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Body Text First Indent 2"/>
    <w:basedOn w:val="5"/>
    <w:qFormat/>
    <w:uiPriority w:val="0"/>
    <w:pPr>
      <w:spacing w:after="0"/>
      <w:ind w:left="0" w:leftChars="0" w:firstLine="420" w:firstLineChars="200"/>
    </w:pPr>
    <w:rPr>
      <w:rFonts w:ascii="Times New Roman" w:hAnsi="Times New Roman" w:eastAsia="宋体" w:cs="Times New Roman"/>
      <w:sz w:val="36"/>
      <w:szCs w:val="36"/>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正文文字"/>
    <w:basedOn w:val="1"/>
    <w:next w:val="1"/>
    <w:qFormat/>
    <w:uiPriority w:val="0"/>
    <w:pPr>
      <w:spacing w:after="120"/>
    </w:pPr>
    <w:rPr>
      <w:rFonts w:ascii="等线" w:hAnsi="Times New Roman" w:eastAsia="等线"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453</Words>
  <Characters>458</Characters>
  <Lines>0</Lines>
  <Paragraphs>0</Paragraphs>
  <TotalTime>1</TotalTime>
  <ScaleCrop>false</ScaleCrop>
  <LinksUpToDate>false</LinksUpToDate>
  <CharactersWithSpaces>458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2025-07-30T08:09:03Z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DEC29D6FF1984251977FAFE43F2C91AB_12</vt:lpwstr>
  </property>
  <property fmtid="{D5CDD505-2E9C-101B-9397-08002B2CF9AE}" pid="4" name="KSOTemplateDocerSaveRecord">
    <vt:lpwstr>eyJoZGlkIjoiZGY3YTk4YzcyZGFhMjUxOWEwYWJmN2Q2ZGM5OGU1ZDciLCJ1c2VySWQiOiIzNzI3NjY5NzgifQ==</vt:lpwstr>
  </property>
</Properties>
</file>