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E779B">
      <w:pPr>
        <w:pStyle w:val="2"/>
        <w:keepNext w:val="0"/>
        <w:keepLines w:val="0"/>
        <w:pageBreakBefore w:val="0"/>
        <w:widowControl/>
        <w:kinsoku w:val="0"/>
        <w:wordWrap/>
        <w:overflowPunct/>
        <w:topLinePunct w:val="0"/>
        <w:autoSpaceDE w:val="0"/>
        <w:autoSpaceDN w:val="0"/>
        <w:bidi w:val="0"/>
        <w:adjustRightInd w:val="0"/>
        <w:snapToGrid w:val="0"/>
        <w:spacing w:before="162" w:line="560" w:lineRule="exact"/>
        <w:textAlignment w:val="baseline"/>
        <w:rPr>
          <w:rFonts w:hint="eastAsia" w:ascii="黑体" w:hAnsi="黑体" w:eastAsia="黑体" w:cs="黑体"/>
          <w:sz w:val="34"/>
          <w:szCs w:val="34"/>
          <w:lang w:eastAsia="zh-CN"/>
        </w:rPr>
      </w:pPr>
      <w:r>
        <w:rPr>
          <w:rFonts w:hint="eastAsia" w:ascii="黑体" w:hAnsi="黑体" w:eastAsia="黑体" w:cs="黑体"/>
          <w:spacing w:val="14"/>
          <w:sz w:val="34"/>
          <w:szCs w:val="34"/>
        </w:rPr>
        <w:t>附件</w:t>
      </w:r>
      <w:r>
        <w:rPr>
          <w:rFonts w:hint="eastAsia" w:ascii="黑体" w:hAnsi="黑体" w:eastAsia="黑体" w:cs="黑体"/>
          <w:spacing w:val="14"/>
          <w:sz w:val="34"/>
          <w:szCs w:val="34"/>
          <w:lang w:val="en-US" w:eastAsia="zh-CN"/>
        </w:rPr>
        <w:t>3</w:t>
      </w:r>
    </w:p>
    <w:p w14:paraId="3373898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097EFB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4A74DC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0DFB6BB4">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2024年度</w:t>
      </w:r>
      <w:r>
        <w:rPr>
          <w:rFonts w:hint="eastAsia" w:ascii="方正小标宋简体" w:hAnsi="方正小标宋简体" w:eastAsia="方正小标宋简体" w:cs="方正小标宋简体"/>
          <w:sz w:val="44"/>
          <w:szCs w:val="44"/>
          <w:highlight w:val="none"/>
          <w:lang w:val="en-US" w:eastAsia="zh-CN"/>
        </w:rPr>
        <w:t>炎陵县霞阳镇人民政府</w:t>
      </w:r>
      <w:r>
        <w:rPr>
          <w:rFonts w:hint="eastAsia" w:ascii="方正小标宋简体" w:hAnsi="方正小标宋简体" w:eastAsia="方正小标宋简体" w:cs="方正小标宋简体"/>
          <w:sz w:val="44"/>
          <w:szCs w:val="44"/>
        </w:rPr>
        <w:t>整体支出绩效</w:t>
      </w:r>
      <w:r>
        <w:rPr>
          <w:rFonts w:hint="eastAsia" w:ascii="方正小标宋简体" w:hAnsi="方正小标宋简体" w:eastAsia="方正小标宋简体" w:cs="方正小标宋简体"/>
          <w:sz w:val="44"/>
          <w:szCs w:val="44"/>
          <w:lang w:val="en-US" w:eastAsia="zh-CN"/>
        </w:rPr>
        <w:t>自评</w:t>
      </w:r>
      <w:r>
        <w:rPr>
          <w:rFonts w:hint="eastAsia" w:ascii="方正小标宋简体" w:hAnsi="方正小标宋简体" w:eastAsia="方正小标宋简体" w:cs="方正小标宋简体"/>
          <w:sz w:val="44"/>
          <w:szCs w:val="44"/>
        </w:rPr>
        <w:t>报告</w:t>
      </w:r>
    </w:p>
    <w:p w14:paraId="6365D549">
      <w:pPr>
        <w:spacing w:line="600" w:lineRule="exact"/>
        <w:jc w:val="center"/>
        <w:rPr>
          <w:rFonts w:eastAsia="楷体_GB2312"/>
          <w:sz w:val="32"/>
          <w:szCs w:val="32"/>
        </w:rPr>
      </w:pPr>
    </w:p>
    <w:p w14:paraId="17F58897">
      <w:pPr>
        <w:spacing w:line="600" w:lineRule="exact"/>
        <w:jc w:val="center"/>
        <w:rPr>
          <w:rFonts w:eastAsia="楷体_GB2312"/>
          <w:sz w:val="32"/>
          <w:szCs w:val="32"/>
        </w:rPr>
      </w:pPr>
    </w:p>
    <w:p w14:paraId="315F8578">
      <w:pPr>
        <w:spacing w:line="600" w:lineRule="exact"/>
        <w:jc w:val="center"/>
        <w:rPr>
          <w:rFonts w:eastAsia="楷体_GB2312"/>
          <w:sz w:val="32"/>
          <w:szCs w:val="32"/>
        </w:rPr>
      </w:pPr>
    </w:p>
    <w:p w14:paraId="2E029910">
      <w:pPr>
        <w:spacing w:line="600" w:lineRule="exact"/>
        <w:jc w:val="center"/>
        <w:rPr>
          <w:rFonts w:eastAsia="楷体_GB2312"/>
          <w:sz w:val="32"/>
          <w:szCs w:val="32"/>
        </w:rPr>
      </w:pPr>
    </w:p>
    <w:p w14:paraId="1C92C148">
      <w:pPr>
        <w:spacing w:line="600" w:lineRule="exact"/>
        <w:jc w:val="center"/>
        <w:rPr>
          <w:rFonts w:eastAsia="楷体_GB2312"/>
          <w:sz w:val="32"/>
          <w:szCs w:val="32"/>
        </w:rPr>
      </w:pPr>
    </w:p>
    <w:p w14:paraId="2E9017B2">
      <w:pPr>
        <w:spacing w:line="600" w:lineRule="exact"/>
        <w:jc w:val="center"/>
        <w:rPr>
          <w:rFonts w:eastAsia="楷体_GB2312"/>
          <w:sz w:val="32"/>
          <w:szCs w:val="32"/>
        </w:rPr>
      </w:pPr>
    </w:p>
    <w:p w14:paraId="0FA4C78A">
      <w:pPr>
        <w:spacing w:line="600" w:lineRule="exact"/>
        <w:jc w:val="center"/>
        <w:rPr>
          <w:rFonts w:eastAsia="楷体_GB2312"/>
          <w:sz w:val="32"/>
          <w:szCs w:val="32"/>
        </w:rPr>
      </w:pPr>
    </w:p>
    <w:p w14:paraId="6833FC49">
      <w:pPr>
        <w:spacing w:line="600" w:lineRule="exact"/>
        <w:jc w:val="center"/>
        <w:rPr>
          <w:rFonts w:eastAsia="楷体_GB2312"/>
          <w:sz w:val="32"/>
          <w:szCs w:val="32"/>
        </w:rPr>
      </w:pPr>
    </w:p>
    <w:p w14:paraId="082DCFC8">
      <w:pPr>
        <w:spacing w:line="600" w:lineRule="exact"/>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单位名称：</w:t>
      </w:r>
      <w:r>
        <w:rPr>
          <w:rFonts w:hint="eastAsia" w:ascii="黑体" w:hAnsi="黑体" w:eastAsia="黑体" w:cs="黑体"/>
          <w:sz w:val="36"/>
          <w:szCs w:val="36"/>
          <w:highlight w:val="none"/>
          <w:lang w:val="en-US" w:eastAsia="zh-CN"/>
        </w:rPr>
        <w:t>炎陵县霞阳镇人民政府</w:t>
      </w:r>
    </w:p>
    <w:p w14:paraId="123D12D1">
      <w:pPr>
        <w:spacing w:line="600" w:lineRule="exact"/>
        <w:jc w:val="center"/>
        <w:rPr>
          <w:rFonts w:hint="eastAsia" w:ascii="黑体" w:hAnsi="黑体" w:eastAsia="黑体" w:cs="黑体"/>
          <w:sz w:val="36"/>
          <w:szCs w:val="36"/>
          <w:lang w:val="en-US" w:eastAsia="zh-CN"/>
        </w:rPr>
      </w:pPr>
    </w:p>
    <w:p w14:paraId="70828991">
      <w:pPr>
        <w:spacing w:line="600" w:lineRule="exact"/>
        <w:jc w:val="center"/>
        <w:rPr>
          <w:rFonts w:hint="eastAsia" w:ascii="黑体" w:hAnsi="黑体" w:eastAsia="黑体" w:cs="黑体"/>
          <w:sz w:val="36"/>
          <w:szCs w:val="36"/>
          <w:lang w:val="en-US" w:eastAsia="zh-CN"/>
        </w:rPr>
      </w:pPr>
      <w:bookmarkStart w:id="0" w:name="_GoBack"/>
      <w:bookmarkEnd w:id="0"/>
    </w:p>
    <w:p w14:paraId="17DB65AB">
      <w:pPr>
        <w:spacing w:line="600" w:lineRule="exact"/>
        <w:jc w:val="center"/>
        <w:rPr>
          <w:rFonts w:hint="eastAsia" w:ascii="黑体" w:hAnsi="黑体" w:eastAsia="黑体" w:cs="黑体"/>
          <w:sz w:val="36"/>
          <w:szCs w:val="36"/>
          <w:lang w:val="en-US" w:eastAsia="zh-CN"/>
        </w:rPr>
      </w:pPr>
    </w:p>
    <w:p w14:paraId="2010740C">
      <w:pPr>
        <w:spacing w:line="600" w:lineRule="exact"/>
        <w:jc w:val="center"/>
        <w:rPr>
          <w:rFonts w:hint="eastAsia" w:ascii="黑体" w:hAnsi="黑体" w:eastAsia="黑体" w:cs="黑体"/>
          <w:sz w:val="36"/>
          <w:szCs w:val="36"/>
          <w:lang w:val="en-US" w:eastAsia="zh-CN"/>
        </w:rPr>
      </w:pPr>
    </w:p>
    <w:p w14:paraId="084269F2">
      <w:pPr>
        <w:spacing w:line="600" w:lineRule="exact"/>
        <w:jc w:val="center"/>
        <w:rPr>
          <w:rFonts w:hint="eastAsia" w:ascii="黑体" w:hAnsi="黑体" w:eastAsia="黑体" w:cs="黑体"/>
          <w:sz w:val="36"/>
          <w:szCs w:val="36"/>
          <w:lang w:val="en-US" w:eastAsia="zh-CN"/>
        </w:rPr>
      </w:pPr>
    </w:p>
    <w:p w14:paraId="660F4AB2">
      <w:pPr>
        <w:rPr>
          <w:rFonts w:eastAsia="楷体_GB2312"/>
          <w:sz w:val="32"/>
          <w:szCs w:val="32"/>
        </w:rPr>
      </w:pPr>
      <w:r>
        <w:rPr>
          <w:rFonts w:hint="eastAsia" w:ascii="仿宋_GB2312" w:hAnsi="仿宋_GB2312" w:eastAsia="仿宋_GB2312" w:cs="仿宋_GB2312"/>
          <w:sz w:val="32"/>
          <w:szCs w:val="32"/>
          <w:lang w:val="en-US" w:eastAsia="zh-CN"/>
        </w:rPr>
        <w:br w:type="page"/>
      </w:r>
    </w:p>
    <w:p w14:paraId="69FD9C40">
      <w:pPr>
        <w:pStyle w:val="7"/>
        <w:widowControl/>
        <w:numPr>
          <w:ilvl w:val="0"/>
          <w:numId w:val="0"/>
        </w:numPr>
        <w:spacing w:line="520" w:lineRule="exact"/>
        <w:ind w:firstLine="640" w:firstLineChars="200"/>
        <w:rPr>
          <w:rFonts w:ascii="Times New Roman" w:hAnsi="Times New Roman" w:eastAsia="黑体"/>
          <w:sz w:val="32"/>
          <w:szCs w:val="32"/>
        </w:rPr>
      </w:pPr>
      <w:r>
        <w:rPr>
          <w:rFonts w:hint="eastAsia" w:ascii="Times New Roman" w:hAnsi="Times New Roman" w:eastAsia="黑体" w:cs="Times New Roman"/>
          <w:snapToGrid w:val="0"/>
          <w:color w:val="000000"/>
          <w:kern w:val="0"/>
          <w:sz w:val="32"/>
          <w:szCs w:val="32"/>
          <w:lang w:val="en-US" w:eastAsia="en-US" w:bidi="ar-SA"/>
        </w:rPr>
        <w:t>一、</w:t>
      </w:r>
      <w:r>
        <w:rPr>
          <w:rFonts w:ascii="Times New Roman" w:hAnsi="Times New Roman" w:eastAsia="黑体"/>
          <w:sz w:val="32"/>
          <w:szCs w:val="32"/>
        </w:rPr>
        <w:t>基本情况</w:t>
      </w:r>
    </w:p>
    <w:p w14:paraId="049DC1A2">
      <w:pPr>
        <w:pStyle w:val="7"/>
        <w:widowControl/>
        <w:numPr>
          <w:ilvl w:val="0"/>
          <w:numId w:val="1"/>
        </w:numPr>
        <w:spacing w:line="520" w:lineRule="exact"/>
        <w:ind w:left="-10" w:leftChars="0" w:firstLine="640" w:firstLineChars="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基本情况</w:t>
      </w:r>
    </w:p>
    <w:p w14:paraId="5CB8B1FB">
      <w:pPr>
        <w:keepNext w:val="0"/>
        <w:keepLines w:val="0"/>
        <w:pageBreakBefore w:val="0"/>
        <w:widowControl/>
        <w:kinsoku/>
        <w:wordWrap/>
        <w:overflowPunct/>
        <w:topLinePunct w:val="0"/>
        <w:autoSpaceDE/>
        <w:autoSpaceDN/>
        <w:bidi w:val="0"/>
        <w:adjustRightInd/>
        <w:snapToGrid w:val="0"/>
        <w:spacing w:beforeLines="0" w:afterLines="0" w:line="480" w:lineRule="exact"/>
        <w:ind w:firstLine="620" w:firstLineChars="200"/>
        <w:textAlignment w:val="auto"/>
        <w:rPr>
          <w:rFonts w:hint="eastAsia" w:ascii="楷体_GB2312" w:hAnsi="楷体_GB2312" w:eastAsia="楷体_GB2312" w:cs="楷体_GB2312"/>
          <w:sz w:val="32"/>
          <w:szCs w:val="32"/>
          <w:highlight w:val="none"/>
          <w:lang w:val="en-US" w:eastAsia="zh-CN"/>
        </w:rPr>
      </w:pPr>
      <w:r>
        <w:rPr>
          <w:rFonts w:hint="eastAsia" w:ascii="仿宋_GB2312" w:hAnsi="微软雅黑" w:eastAsia="仿宋_GB2312" w:cs="仿宋_GB2312"/>
          <w:color w:val="333333"/>
          <w:sz w:val="31"/>
          <w:szCs w:val="31"/>
          <w:highlight w:val="none"/>
          <w:shd w:val="clear" w:color="auto" w:fill="FFFFFF"/>
          <w:lang w:val="en-US" w:eastAsia="zh-CN" w:bidi="ar-SA"/>
        </w:rPr>
        <w:t>1．主要职能。</w:t>
      </w:r>
    </w:p>
    <w:p w14:paraId="56F8149B">
      <w:pPr>
        <w:widowControl w:val="0"/>
        <w:snapToGrid w:val="0"/>
        <w:spacing w:beforeLines="0" w:afterLines="0" w:line="520" w:lineRule="exact"/>
        <w:ind w:firstLine="620" w:firstLineChars="200"/>
        <w:rPr>
          <w:rFonts w:hint="eastAsia" w:ascii="仿宋_GB2312" w:hAnsi="微软雅黑" w:eastAsia="仿宋_GB2312" w:cs="仿宋_GB2312"/>
          <w:color w:val="333333"/>
          <w:sz w:val="31"/>
          <w:szCs w:val="31"/>
          <w:highlight w:val="none"/>
          <w:shd w:val="clear" w:color="auto" w:fill="FFFFFF"/>
          <w:lang w:val="en-US" w:eastAsia="zh-CN" w:bidi="ar-SA"/>
        </w:rPr>
      </w:pPr>
      <w:r>
        <w:rPr>
          <w:rFonts w:hint="eastAsia" w:ascii="仿宋_GB2312" w:hAnsi="微软雅黑" w:eastAsia="仿宋_GB2312" w:cs="仿宋_GB2312"/>
          <w:color w:val="333333"/>
          <w:sz w:val="31"/>
          <w:szCs w:val="31"/>
          <w:highlight w:val="none"/>
          <w:shd w:val="clear" w:color="auto" w:fill="FFFFFF"/>
          <w:lang w:val="en-US" w:eastAsia="zh-CN" w:bidi="ar-SA"/>
        </w:rPr>
        <w:t>霞阳镇机关承担的主要职责如下：</w:t>
      </w:r>
    </w:p>
    <w:p w14:paraId="4D892A1D">
      <w:pPr>
        <w:widowControl w:val="0"/>
        <w:snapToGrid w:val="0"/>
        <w:spacing w:beforeLines="0" w:afterLines="0" w:line="520" w:lineRule="exact"/>
        <w:ind w:firstLine="620" w:firstLineChars="200"/>
        <w:rPr>
          <w:rFonts w:hint="eastAsia" w:ascii="仿宋_GB2312" w:hAnsi="微软雅黑" w:eastAsia="仿宋_GB2312" w:cs="仿宋_GB2312"/>
          <w:color w:val="333333"/>
          <w:sz w:val="31"/>
          <w:szCs w:val="31"/>
          <w:highlight w:val="none"/>
          <w:shd w:val="clear" w:color="auto" w:fill="FFFFFF"/>
          <w:lang w:val="en-US" w:eastAsia="zh-CN" w:bidi="ar-SA"/>
        </w:rPr>
      </w:pPr>
      <w:r>
        <w:rPr>
          <w:rFonts w:hint="eastAsia" w:ascii="仿宋_GB2312" w:hAnsi="微软雅黑" w:eastAsia="仿宋_GB2312" w:cs="仿宋_GB2312"/>
          <w:color w:val="333333"/>
          <w:sz w:val="31"/>
          <w:szCs w:val="31"/>
          <w:highlight w:val="none"/>
          <w:shd w:val="clear" w:color="auto" w:fill="FFFFFF"/>
          <w:lang w:val="en-US" w:eastAsia="zh-CN" w:bidi="ar-SA"/>
        </w:rPr>
        <w:t>（1）加强党的建设。落实基层党建工作责任制,严格抓好基层党组织建设各项制度,统筹抓好基层党建、意识形态和统一战线工作;推进全面从严治党,增强“四个意识”、坚定“四个自信”、做到“两个维护”,全面加强农村基层宣传思想文化工作,健全党建引领基层体系,进一步增强党在农村的政治领导力、思想引领力、群众组织力、社会号召力;贯彻落实党和国家在农村的各项方针政策和法律法规,对村民进行思想政治教育和社会主义法制教育,依法保障村民合法权益。</w:t>
      </w:r>
    </w:p>
    <w:p w14:paraId="6D025F73">
      <w:pPr>
        <w:widowControl w:val="0"/>
        <w:snapToGrid w:val="0"/>
        <w:spacing w:beforeLines="0" w:afterLines="0" w:line="520" w:lineRule="exact"/>
        <w:ind w:firstLine="620" w:firstLineChars="200"/>
        <w:rPr>
          <w:rFonts w:hint="eastAsia" w:ascii="仿宋_GB2312" w:hAnsi="微软雅黑" w:eastAsia="仿宋_GB2312" w:cs="仿宋_GB2312"/>
          <w:color w:val="333333"/>
          <w:sz w:val="31"/>
          <w:szCs w:val="31"/>
          <w:highlight w:val="none"/>
          <w:shd w:val="clear" w:color="auto" w:fill="FFFFFF"/>
          <w:lang w:val="en-US" w:eastAsia="zh-CN" w:bidi="ar-SA"/>
        </w:rPr>
      </w:pPr>
      <w:r>
        <w:rPr>
          <w:rFonts w:hint="eastAsia" w:ascii="仿宋_GB2312" w:hAnsi="微软雅黑" w:eastAsia="仿宋_GB2312" w:cs="仿宋_GB2312"/>
          <w:color w:val="333333"/>
          <w:sz w:val="31"/>
          <w:szCs w:val="31"/>
          <w:highlight w:val="none"/>
          <w:shd w:val="clear" w:color="auto" w:fill="FFFFFF"/>
          <w:lang w:val="en-US" w:eastAsia="zh-CN" w:bidi="ar-SA"/>
        </w:rPr>
        <w:t>（2）促进经济发展。推进区域发展,全面实施乡村振兴战略等工作统筹落实辖区发展的重大决策和建设规划;组织制定乡村经济发农民权展规划并组织实施;负责推动产业结构调整,指导、管理第级财务三产业的发展;负责产业发展、民营经济、招商引资和推进科技普作;及工作;负责农村经济管理、指导村级财务管理、农村土地承包和农民权益维护工作;负责社会经济调查统计工作;负责农业经营主会保体和适度规模经营的指导和管理,示范引导农村合作经济组织,形成地域产业特色。</w:t>
      </w:r>
    </w:p>
    <w:p w14:paraId="4F8A0EE7">
      <w:pPr>
        <w:widowControl w:val="0"/>
        <w:snapToGrid w:val="0"/>
        <w:spacing w:beforeLines="0" w:afterLines="0" w:line="520" w:lineRule="exact"/>
        <w:ind w:firstLine="620" w:firstLineChars="200"/>
        <w:rPr>
          <w:rFonts w:hint="eastAsia" w:ascii="仿宋_GB2312" w:hAnsi="微软雅黑" w:eastAsia="仿宋_GB2312" w:cs="仿宋_GB2312"/>
          <w:color w:val="333333"/>
          <w:sz w:val="31"/>
          <w:szCs w:val="31"/>
          <w:highlight w:val="none"/>
          <w:shd w:val="clear" w:color="auto" w:fill="FFFFFF"/>
          <w:lang w:val="en-US" w:eastAsia="zh-CN" w:bidi="ar-SA"/>
        </w:rPr>
      </w:pPr>
      <w:r>
        <w:rPr>
          <w:rFonts w:hint="eastAsia" w:ascii="仿宋_GB2312" w:hAnsi="微软雅黑" w:eastAsia="仿宋_GB2312" w:cs="仿宋_GB2312"/>
          <w:color w:val="333333"/>
          <w:sz w:val="31"/>
          <w:szCs w:val="31"/>
          <w:highlight w:val="none"/>
          <w:shd w:val="clear" w:color="auto" w:fill="FFFFFF"/>
          <w:lang w:val="en-US" w:eastAsia="zh-CN" w:bidi="ar-SA"/>
        </w:rPr>
        <w:t>（3）加强公共管理。负责落实辖区内集镇管理、人口管理、社会管理、综合执法、市场监管、农业农机畜牧管理、林业管理、水利管理等工作;负责生态环境保护、农村人居环境整治等工作;负责城镇规划发展、道路交通建设管理相关工作;负责移民开发和精准扶贫的相关工作;负责领导基层自治工作,指导村(居)务公开、村(居)民议事委员会和“一约四会”建设。</w:t>
      </w:r>
    </w:p>
    <w:p w14:paraId="0150B9CE">
      <w:pPr>
        <w:widowControl w:val="0"/>
        <w:snapToGrid w:val="0"/>
        <w:spacing w:beforeLines="0" w:afterLines="0" w:line="520" w:lineRule="exact"/>
        <w:ind w:firstLine="620" w:firstLineChars="200"/>
        <w:rPr>
          <w:rFonts w:hint="eastAsia" w:ascii="仿宋_GB2312" w:hAnsi="微软雅黑" w:eastAsia="仿宋_GB2312" w:cs="仿宋_GB2312"/>
          <w:color w:val="333333"/>
          <w:sz w:val="31"/>
          <w:szCs w:val="31"/>
          <w:highlight w:val="none"/>
          <w:shd w:val="clear" w:color="auto" w:fill="FFFFFF"/>
          <w:lang w:val="en-US" w:eastAsia="zh-CN" w:bidi="ar-SA"/>
        </w:rPr>
      </w:pPr>
      <w:r>
        <w:rPr>
          <w:rFonts w:hint="eastAsia" w:ascii="仿宋_GB2312" w:hAnsi="微软雅黑" w:eastAsia="仿宋_GB2312" w:cs="仿宋_GB2312"/>
          <w:color w:val="333333"/>
          <w:sz w:val="31"/>
          <w:szCs w:val="31"/>
          <w:highlight w:val="none"/>
          <w:shd w:val="clear" w:color="auto" w:fill="FFFFFF"/>
          <w:lang w:val="en-US" w:eastAsia="zh-CN" w:bidi="ar-SA"/>
        </w:rPr>
        <w:t>（4）加强公共安全。负责辖区公共安全及安全生产监管,构建公共安全防控体系,建立应对突发公共事件的处理预案,做好安全生产、防汛抗旱、防火、防疫、气象灾害防御、抗震、地质灾害、食品药品安全等应急管理工作;负责辖区内社会治安、信访维稳等工作;协调平安创建和政法综治、群防群治等工作,负贵辖区网格化建设和管理工作,落实社会矛盾纠纷排查调处机制,综合发挥人民调解、行政调解和司法调解的作用,及时化解辖区社会矛盾,维护安全稳定。</w:t>
      </w:r>
    </w:p>
    <w:p w14:paraId="66212216">
      <w:pPr>
        <w:widowControl w:val="0"/>
        <w:snapToGrid w:val="0"/>
        <w:spacing w:beforeLines="0" w:afterLines="0" w:line="520" w:lineRule="exact"/>
        <w:ind w:firstLine="620" w:firstLineChars="200"/>
        <w:rPr>
          <w:rFonts w:hint="eastAsia" w:ascii="仿宋_GB2312" w:hAnsi="微软雅黑" w:eastAsia="仿宋_GB2312" w:cs="仿宋_GB2312"/>
          <w:color w:val="333333"/>
          <w:sz w:val="31"/>
          <w:szCs w:val="31"/>
          <w:highlight w:val="none"/>
          <w:shd w:val="clear" w:color="auto" w:fill="FFFFFF"/>
          <w:lang w:val="en-US" w:eastAsia="zh-CN" w:bidi="ar-SA"/>
        </w:rPr>
      </w:pPr>
      <w:r>
        <w:rPr>
          <w:rFonts w:hint="eastAsia" w:ascii="仿宋_GB2312" w:hAnsi="微软雅黑" w:eastAsia="仿宋_GB2312" w:cs="仿宋_GB2312"/>
          <w:color w:val="333333"/>
          <w:sz w:val="31"/>
          <w:szCs w:val="31"/>
          <w:highlight w:val="none"/>
          <w:shd w:val="clear" w:color="auto" w:fill="FFFFFF"/>
          <w:lang w:val="en-US" w:eastAsia="zh-CN" w:bidi="ar-SA"/>
        </w:rPr>
        <w:t>（5）加强公共服务。组织实施与群众生活密切相关的各项公共服务,负贵辖区内就业、社会保障、民政优抚、医疗保障、儿童福利、科技教育、社会救助、文化体育旅游、卫生健康、退役军人事务等方面相关工作;推进审批服务便民化改革,落实基层“最多跑次”改革工作,拓宽服务渠道,改进服务方式,建立健全群众办事次办结机制,推进镇便民服务平台标准化建设,提升群众获得感和幸福感。</w:t>
      </w:r>
    </w:p>
    <w:p w14:paraId="7C505A1F">
      <w:pPr>
        <w:keepNext w:val="0"/>
        <w:keepLines w:val="0"/>
        <w:pageBreakBefore w:val="0"/>
        <w:widowControl/>
        <w:kinsoku/>
        <w:wordWrap/>
        <w:overflowPunct/>
        <w:topLinePunct w:val="0"/>
        <w:autoSpaceDE/>
        <w:autoSpaceDN/>
        <w:bidi w:val="0"/>
        <w:adjustRightInd/>
        <w:snapToGrid w:val="0"/>
        <w:spacing w:beforeLines="0" w:afterLines="0" w:line="480" w:lineRule="exact"/>
        <w:ind w:firstLine="620" w:firstLineChars="200"/>
        <w:textAlignment w:val="auto"/>
        <w:rPr>
          <w:rFonts w:hint="eastAsia" w:ascii="仿宋_GB2312" w:hAnsi="微软雅黑" w:eastAsia="仿宋_GB2312" w:cs="仿宋_GB2312"/>
          <w:color w:val="333333"/>
          <w:sz w:val="31"/>
          <w:szCs w:val="31"/>
          <w:highlight w:val="none"/>
          <w:shd w:val="clear" w:color="auto" w:fill="FFFFFF"/>
          <w:lang w:val="en-US" w:eastAsia="zh-CN" w:bidi="ar-SA"/>
        </w:rPr>
      </w:pPr>
      <w:r>
        <w:rPr>
          <w:rFonts w:hint="eastAsia" w:ascii="仿宋_GB2312" w:hAnsi="微软雅黑" w:eastAsia="仿宋_GB2312" w:cs="仿宋_GB2312"/>
          <w:color w:val="333333"/>
          <w:sz w:val="31"/>
          <w:szCs w:val="31"/>
          <w:highlight w:val="none"/>
          <w:shd w:val="clear" w:color="auto" w:fill="FFFFFF"/>
          <w:lang w:val="en-US" w:eastAsia="zh-CN" w:bidi="ar-SA"/>
        </w:rPr>
        <w:t>（6）法律、法规规章的规定和县委、县政府交办的其他事项。</w:t>
      </w:r>
    </w:p>
    <w:p w14:paraId="2A1269BE">
      <w:pPr>
        <w:keepNext w:val="0"/>
        <w:keepLines w:val="0"/>
        <w:pageBreakBefore w:val="0"/>
        <w:widowControl/>
        <w:kinsoku/>
        <w:wordWrap/>
        <w:overflowPunct/>
        <w:topLinePunct w:val="0"/>
        <w:autoSpaceDE/>
        <w:autoSpaceDN/>
        <w:bidi w:val="0"/>
        <w:adjustRightInd/>
        <w:snapToGrid w:val="0"/>
        <w:spacing w:beforeLines="0" w:afterLines="0" w:line="480" w:lineRule="exact"/>
        <w:ind w:firstLine="620" w:firstLineChars="200"/>
        <w:textAlignment w:val="auto"/>
        <w:rPr>
          <w:rFonts w:hint="eastAsia" w:ascii="仿宋_GB2312" w:hAnsi="微软雅黑" w:eastAsia="仿宋_GB2312" w:cs="仿宋_GB2312"/>
          <w:color w:val="333333"/>
          <w:sz w:val="31"/>
          <w:szCs w:val="31"/>
          <w:highlight w:val="none"/>
          <w:shd w:val="clear" w:color="auto" w:fill="FFFFFF"/>
          <w:lang w:val="en-US" w:eastAsia="zh-CN" w:bidi="ar-SA"/>
        </w:rPr>
      </w:pPr>
      <w:r>
        <w:rPr>
          <w:rFonts w:hint="eastAsia" w:ascii="仿宋_GB2312" w:hAnsi="微软雅黑" w:eastAsia="仿宋_GB2312" w:cs="仿宋_GB2312"/>
          <w:color w:val="333333"/>
          <w:sz w:val="31"/>
          <w:szCs w:val="31"/>
          <w:highlight w:val="none"/>
          <w:shd w:val="clear" w:color="auto" w:fill="FFFFFF"/>
          <w:lang w:val="en-US" w:eastAsia="zh-CN" w:bidi="ar-SA"/>
        </w:rPr>
        <w:t>2．内设机构设置。</w:t>
      </w:r>
    </w:p>
    <w:p w14:paraId="1872EE46">
      <w:pPr>
        <w:tabs>
          <w:tab w:val="left" w:pos="7560"/>
        </w:tabs>
        <w:adjustRightInd w:val="0"/>
        <w:snapToGrid w:val="0"/>
        <w:spacing w:line="560" w:lineRule="exact"/>
        <w:ind w:firstLine="640" w:firstLineChars="200"/>
        <w:rPr>
          <w:rFonts w:hint="eastAsia" w:ascii="楷体_GB2312" w:hAnsi="楷体_GB2312" w:eastAsia="楷体_GB2312" w:cs="楷体_GB2312"/>
          <w:sz w:val="32"/>
          <w:szCs w:val="32"/>
          <w:lang w:val="en-US" w:eastAsia="zh-CN"/>
        </w:rPr>
      </w:pPr>
      <w:r>
        <w:rPr>
          <w:rFonts w:hint="eastAsia" w:ascii="仿宋_GB2312" w:eastAsia="仿宋_GB2312"/>
          <w:bCs/>
          <w:color w:val="000000"/>
          <w:sz w:val="32"/>
          <w:szCs w:val="32"/>
          <w:highlight w:val="none"/>
        </w:rPr>
        <w:t>根据编办核定，我单位行政</w:t>
      </w:r>
      <w:r>
        <w:rPr>
          <w:rFonts w:hint="eastAsia" w:ascii="仿宋_GB2312" w:eastAsia="仿宋_GB2312"/>
          <w:bCs/>
          <w:color w:val="000000"/>
          <w:sz w:val="32"/>
          <w:szCs w:val="32"/>
          <w:highlight w:val="none"/>
          <w:lang w:eastAsia="zh-CN"/>
        </w:rPr>
        <w:t>机构有</w:t>
      </w:r>
      <w:r>
        <w:rPr>
          <w:rFonts w:hint="eastAsia" w:ascii="仿宋_GB2312" w:eastAsia="仿宋_GB2312"/>
          <w:bCs/>
          <w:color w:val="000000"/>
          <w:sz w:val="32"/>
          <w:szCs w:val="32"/>
          <w:highlight w:val="none"/>
        </w:rPr>
        <w:t>两个：镇机关和镇财政办</w:t>
      </w:r>
      <w:r>
        <w:rPr>
          <w:rFonts w:hint="eastAsia" w:ascii="仿宋_GB2312" w:eastAsia="仿宋_GB2312"/>
          <w:bCs/>
          <w:color w:val="000000"/>
          <w:sz w:val="32"/>
          <w:szCs w:val="32"/>
          <w:highlight w:val="none"/>
          <w:lang w:val="en-US" w:eastAsia="zh-CN"/>
        </w:rPr>
        <w:t>,</w:t>
      </w:r>
      <w:r>
        <w:rPr>
          <w:rFonts w:hint="eastAsia" w:ascii="仿宋_GB2312" w:eastAsia="仿宋_GB2312"/>
          <w:bCs/>
          <w:color w:val="000000"/>
          <w:sz w:val="32"/>
          <w:szCs w:val="32"/>
          <w:highlight w:val="none"/>
        </w:rPr>
        <w:t>镇机关内设科室</w:t>
      </w:r>
      <w:r>
        <w:rPr>
          <w:rFonts w:hint="eastAsia" w:ascii="仿宋_GB2312" w:eastAsia="仿宋_GB2312"/>
          <w:bCs/>
          <w:color w:val="000000"/>
          <w:sz w:val="32"/>
          <w:szCs w:val="32"/>
          <w:highlight w:val="none"/>
          <w:lang w:val="en-US" w:eastAsia="zh-CN"/>
        </w:rPr>
        <w:t>5</w:t>
      </w:r>
      <w:r>
        <w:rPr>
          <w:rFonts w:hint="eastAsia" w:ascii="仿宋_GB2312" w:eastAsia="仿宋_GB2312"/>
          <w:bCs/>
          <w:color w:val="000000"/>
          <w:sz w:val="32"/>
          <w:szCs w:val="32"/>
          <w:highlight w:val="none"/>
        </w:rPr>
        <w:t>个，分别是：党政办公室、党建办公室、经济发展办公室、民生事务办公室、平安法治和应急管理办公室。所属事业单位5个，分别是：炎陵县霞阳镇农业综合服务中心、炎陵县霞阳镇生态事务中心、炎陵县霞阳镇退役军人服务站、炎陵县霞阳镇综合行政执法大队、炎陵县霞阳镇文化综合服务中心。</w:t>
      </w:r>
    </w:p>
    <w:p w14:paraId="5556C9CE">
      <w:pPr>
        <w:pStyle w:val="7"/>
        <w:widowControl/>
        <w:numPr>
          <w:ilvl w:val="0"/>
          <w:numId w:val="1"/>
        </w:numPr>
        <w:spacing w:line="520" w:lineRule="exact"/>
        <w:ind w:left="-10" w:leftChars="0" w:firstLine="640" w:firstLineChars="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年度整体支出绩效目标，专项资金绩效目标、其他项目支出（除专项资金以外）绩效目标</w:t>
      </w:r>
    </w:p>
    <w:p w14:paraId="666CCB1C">
      <w:pPr>
        <w:snapToGrid w:val="0"/>
        <w:spacing w:line="520" w:lineRule="exact"/>
        <w:ind w:firstLine="620" w:firstLineChars="200"/>
        <w:rPr>
          <w:rFonts w:hint="default" w:ascii="仿宋_GB2312" w:hAnsi="微软雅黑" w:eastAsia="仿宋_GB2312" w:cs="仿宋_GB2312"/>
          <w:color w:val="333333"/>
          <w:sz w:val="31"/>
          <w:szCs w:val="31"/>
          <w:highlight w:val="none"/>
          <w:shd w:val="clear" w:fill="FFFFFF"/>
          <w:lang w:val="en-US" w:eastAsia="zh-CN"/>
        </w:rPr>
      </w:pPr>
      <w:r>
        <w:rPr>
          <w:rFonts w:hint="eastAsia" w:ascii="仿宋_GB2312" w:hAnsi="微软雅黑" w:eastAsia="仿宋_GB2312" w:cs="仿宋_GB2312"/>
          <w:color w:val="333333"/>
          <w:kern w:val="2"/>
          <w:sz w:val="31"/>
          <w:szCs w:val="31"/>
          <w:highlight w:val="none"/>
          <w:shd w:val="clear" w:fill="FFFFFF"/>
          <w:lang w:val="en-US" w:eastAsia="zh-CN" w:bidi="ar-SA"/>
        </w:rPr>
        <w:t>2024年度霞阳</w:t>
      </w:r>
      <w:r>
        <w:rPr>
          <w:rFonts w:hint="eastAsia" w:ascii="仿宋_GB2312" w:hAnsi="微软雅黑" w:eastAsia="仿宋_GB2312" w:cs="仿宋_GB2312"/>
          <w:color w:val="333333"/>
          <w:sz w:val="31"/>
          <w:szCs w:val="31"/>
          <w:highlight w:val="none"/>
          <w:shd w:val="clear" w:fill="FFFFFF"/>
          <w:lang w:val="en-US" w:eastAsia="zh-CN"/>
        </w:rPr>
        <w:t>镇</w:t>
      </w:r>
      <w:r>
        <w:rPr>
          <w:rFonts w:hint="eastAsia" w:ascii="仿宋_GB2312" w:hAnsi="微软雅黑" w:eastAsia="仿宋_GB2312" w:cs="仿宋_GB2312"/>
          <w:color w:val="333333"/>
          <w:sz w:val="31"/>
          <w:szCs w:val="31"/>
          <w:highlight w:val="none"/>
          <w:shd w:val="clear" w:fill="FFFFFF"/>
          <w:lang w:eastAsia="zh-CN"/>
        </w:rPr>
        <w:t>在县财政局和镇党委、政府的正确领导下，树立</w:t>
      </w:r>
      <w:r>
        <w:rPr>
          <w:rFonts w:hint="eastAsia" w:ascii="仿宋_GB2312" w:hAnsi="微软雅黑" w:eastAsia="仿宋_GB2312" w:cs="仿宋_GB2312"/>
          <w:color w:val="333333"/>
          <w:sz w:val="31"/>
          <w:szCs w:val="31"/>
          <w:highlight w:val="none"/>
          <w:shd w:val="clear" w:fill="FFFFFF"/>
          <w:lang w:val="en-US" w:eastAsia="zh-CN"/>
        </w:rPr>
        <w:t>了</w:t>
      </w:r>
      <w:r>
        <w:rPr>
          <w:rFonts w:hint="eastAsia" w:ascii="仿宋_GB2312" w:hAnsi="微软雅黑" w:eastAsia="仿宋_GB2312" w:cs="仿宋_GB2312"/>
          <w:color w:val="333333"/>
          <w:sz w:val="31"/>
          <w:szCs w:val="31"/>
          <w:highlight w:val="none"/>
          <w:shd w:val="clear" w:fill="FFFFFF"/>
          <w:lang w:eastAsia="zh-CN"/>
        </w:rPr>
        <w:t>全心全意为人民服务的宗旨，强化资金管理，严格资金</w:t>
      </w:r>
      <w:r>
        <w:rPr>
          <w:rFonts w:hint="eastAsia" w:ascii="仿宋_GB2312" w:hAnsi="微软雅黑" w:eastAsia="仿宋_GB2312" w:cs="仿宋_GB2312"/>
          <w:color w:val="333333"/>
          <w:sz w:val="31"/>
          <w:szCs w:val="31"/>
          <w:highlight w:val="none"/>
          <w:shd w:val="clear" w:fill="FFFFFF"/>
          <w:lang w:val="en-US" w:eastAsia="zh-CN"/>
        </w:rPr>
        <w:t>的</w:t>
      </w:r>
      <w:r>
        <w:rPr>
          <w:rFonts w:hint="eastAsia" w:ascii="仿宋_GB2312" w:hAnsi="微软雅黑" w:eastAsia="仿宋_GB2312" w:cs="仿宋_GB2312"/>
          <w:color w:val="333333"/>
          <w:sz w:val="31"/>
          <w:szCs w:val="31"/>
          <w:highlight w:val="none"/>
          <w:shd w:val="clear" w:fill="FFFFFF"/>
          <w:lang w:eastAsia="zh-CN"/>
        </w:rPr>
        <w:t>使用合法、合规，做到专款专用；及时、准确、高效调度资金，用好资金，全面服务于党委、政府的各项工作，确保</w:t>
      </w:r>
      <w:r>
        <w:rPr>
          <w:rFonts w:hint="eastAsia" w:ascii="仿宋_GB2312" w:hAnsi="微软雅黑" w:eastAsia="仿宋_GB2312" w:cs="仿宋_GB2312"/>
          <w:color w:val="333333"/>
          <w:sz w:val="31"/>
          <w:szCs w:val="31"/>
          <w:highlight w:val="none"/>
          <w:shd w:val="clear" w:fill="FFFFFF"/>
          <w:lang w:val="en-US" w:eastAsia="zh-CN"/>
        </w:rPr>
        <w:t>了</w:t>
      </w:r>
      <w:r>
        <w:rPr>
          <w:rFonts w:hint="eastAsia" w:ascii="仿宋_GB2312" w:hAnsi="微软雅黑" w:eastAsia="仿宋_GB2312" w:cs="仿宋_GB2312"/>
          <w:color w:val="333333"/>
          <w:sz w:val="31"/>
          <w:szCs w:val="31"/>
          <w:highlight w:val="none"/>
          <w:shd w:val="clear" w:fill="FFFFFF"/>
          <w:lang w:eastAsia="zh-CN"/>
        </w:rPr>
        <w:t>政府机构正常运行；认真做好各项财政财务基础工作，</w:t>
      </w:r>
      <w:r>
        <w:rPr>
          <w:rFonts w:hint="eastAsia" w:ascii="仿宋_GB2312" w:hAnsi="微软雅黑" w:eastAsia="仿宋_GB2312" w:cs="仿宋_GB2312"/>
          <w:color w:val="333333"/>
          <w:sz w:val="31"/>
          <w:szCs w:val="31"/>
          <w:highlight w:val="none"/>
          <w:shd w:val="clear" w:fill="FFFFFF"/>
          <w:lang w:val="en-US" w:eastAsia="zh-CN"/>
        </w:rPr>
        <w:t>并力求做到以下几点整体支出绩效目标：</w:t>
      </w:r>
    </w:p>
    <w:p w14:paraId="2D1E7C9E">
      <w:pPr>
        <w:snapToGrid w:val="0"/>
        <w:spacing w:line="520" w:lineRule="exact"/>
        <w:ind w:firstLine="620" w:firstLineChars="200"/>
        <w:rPr>
          <w:rFonts w:hint="default" w:ascii="楷体_GB2312" w:hAnsi="楷体_GB2312" w:eastAsia="楷体_GB2312" w:cs="楷体_GB2312"/>
          <w:sz w:val="32"/>
          <w:szCs w:val="32"/>
          <w:highlight w:val="none"/>
          <w:lang w:val="en-US" w:eastAsia="zh-CN"/>
        </w:rPr>
      </w:pPr>
      <w:r>
        <w:rPr>
          <w:rFonts w:hint="eastAsia" w:ascii="仿宋_GB2312" w:hAnsi="微软雅黑" w:eastAsia="仿宋_GB2312" w:cs="仿宋_GB2312"/>
          <w:color w:val="333333"/>
          <w:sz w:val="31"/>
          <w:szCs w:val="31"/>
          <w:highlight w:val="none"/>
          <w:shd w:val="clear" w:fill="FFFFFF"/>
        </w:rPr>
        <w:t>1</w:t>
      </w:r>
      <w:r>
        <w:rPr>
          <w:rFonts w:hint="eastAsia" w:ascii="仿宋_GB2312" w:hAnsi="微软雅黑" w:eastAsia="仿宋_GB2312" w:cs="仿宋_GB2312"/>
          <w:color w:val="333333"/>
          <w:sz w:val="31"/>
          <w:szCs w:val="31"/>
          <w:highlight w:val="none"/>
          <w:shd w:val="clear" w:fill="FFFFFF"/>
          <w:lang w:eastAsia="zh-CN"/>
        </w:rPr>
        <w:t>.</w:t>
      </w:r>
      <w:r>
        <w:rPr>
          <w:rFonts w:hint="eastAsia" w:ascii="仿宋_GB2312" w:hAnsi="微软雅黑" w:eastAsia="仿宋_GB2312" w:cs="仿宋_GB2312"/>
          <w:color w:val="333333"/>
          <w:sz w:val="31"/>
          <w:szCs w:val="31"/>
          <w:highlight w:val="none"/>
          <w:shd w:val="clear" w:fill="FFFFFF"/>
        </w:rPr>
        <w:t>完成县财政交办的各项</w:t>
      </w:r>
      <w:r>
        <w:rPr>
          <w:rFonts w:hint="eastAsia" w:ascii="仿宋_GB2312" w:hAnsi="微软雅黑" w:eastAsia="仿宋_GB2312" w:cs="仿宋_GB2312"/>
          <w:color w:val="333333"/>
          <w:sz w:val="31"/>
          <w:szCs w:val="31"/>
          <w:highlight w:val="none"/>
          <w:shd w:val="clear" w:fill="FFFFFF"/>
          <w:lang w:eastAsia="zh-CN"/>
        </w:rPr>
        <w:t>工作</w:t>
      </w:r>
      <w:r>
        <w:rPr>
          <w:rFonts w:hint="eastAsia" w:ascii="仿宋_GB2312" w:hAnsi="微软雅黑" w:eastAsia="仿宋_GB2312" w:cs="仿宋_GB2312"/>
          <w:color w:val="333333"/>
          <w:sz w:val="31"/>
          <w:szCs w:val="31"/>
          <w:highlight w:val="none"/>
          <w:shd w:val="clear" w:fill="FFFFFF"/>
        </w:rPr>
        <w:t>任务</w:t>
      </w:r>
      <w:r>
        <w:rPr>
          <w:rFonts w:hint="eastAsia" w:ascii="仿宋_GB2312" w:hAnsi="微软雅黑" w:eastAsia="仿宋_GB2312" w:cs="仿宋_GB2312"/>
          <w:color w:val="333333"/>
          <w:sz w:val="31"/>
          <w:szCs w:val="31"/>
          <w:highlight w:val="none"/>
          <w:shd w:val="clear" w:fill="FFFFFF"/>
          <w:lang w:eastAsia="zh-CN"/>
        </w:rPr>
        <w:t>，全心全意为人民服务；</w:t>
      </w:r>
      <w:r>
        <w:rPr>
          <w:rFonts w:hint="eastAsia" w:ascii="仿宋_GB2312" w:hAnsi="微软雅黑" w:eastAsia="仿宋_GB2312" w:cs="仿宋_GB2312"/>
          <w:color w:val="333333"/>
          <w:sz w:val="31"/>
          <w:szCs w:val="31"/>
          <w:highlight w:val="none"/>
          <w:shd w:val="clear" w:fill="FFFFFF"/>
        </w:rPr>
        <w:t>2</w:t>
      </w:r>
      <w:r>
        <w:rPr>
          <w:rFonts w:hint="eastAsia" w:ascii="仿宋_GB2312" w:hAnsi="微软雅黑" w:eastAsia="仿宋_GB2312" w:cs="仿宋_GB2312"/>
          <w:color w:val="333333"/>
          <w:sz w:val="31"/>
          <w:szCs w:val="31"/>
          <w:highlight w:val="none"/>
          <w:shd w:val="clear" w:fill="FFFFFF"/>
          <w:lang w:val="en-US" w:eastAsia="zh-CN"/>
        </w:rPr>
        <w:t>.</w:t>
      </w:r>
      <w:r>
        <w:rPr>
          <w:rFonts w:hint="eastAsia" w:ascii="仿宋_GB2312" w:hAnsi="微软雅黑" w:eastAsia="仿宋_GB2312" w:cs="仿宋_GB2312"/>
          <w:color w:val="333333"/>
          <w:sz w:val="31"/>
          <w:szCs w:val="31"/>
          <w:highlight w:val="none"/>
          <w:shd w:val="clear" w:fill="FFFFFF"/>
        </w:rPr>
        <w:t>强化资金管理，严格</w:t>
      </w:r>
      <w:r>
        <w:rPr>
          <w:rFonts w:hint="eastAsia" w:ascii="仿宋_GB2312" w:hAnsi="微软雅黑" w:eastAsia="仿宋_GB2312" w:cs="仿宋_GB2312"/>
          <w:color w:val="333333"/>
          <w:sz w:val="31"/>
          <w:szCs w:val="31"/>
          <w:highlight w:val="none"/>
          <w:shd w:val="clear" w:fill="FFFFFF"/>
          <w:lang w:eastAsia="zh-CN"/>
        </w:rPr>
        <w:t>资金使用合法、合规，打好脱贫攻坚战；</w:t>
      </w:r>
      <w:r>
        <w:rPr>
          <w:rFonts w:hint="eastAsia" w:ascii="仿宋_GB2312" w:hAnsi="微软雅黑" w:eastAsia="仿宋_GB2312" w:cs="仿宋_GB2312"/>
          <w:color w:val="333333"/>
          <w:sz w:val="31"/>
          <w:szCs w:val="31"/>
          <w:highlight w:val="none"/>
          <w:shd w:val="clear" w:fill="FFFFFF"/>
          <w:lang w:val="en-US" w:eastAsia="zh-CN"/>
        </w:rPr>
        <w:t>3.</w:t>
      </w:r>
      <w:r>
        <w:rPr>
          <w:rFonts w:hint="eastAsia" w:ascii="仿宋_GB2312" w:hAnsi="微软雅黑" w:eastAsia="仿宋_GB2312" w:cs="仿宋_GB2312"/>
          <w:color w:val="333333"/>
          <w:sz w:val="31"/>
          <w:szCs w:val="31"/>
          <w:highlight w:val="none"/>
          <w:shd w:val="clear" w:fill="FFFFFF"/>
        </w:rPr>
        <w:t>认真</w:t>
      </w:r>
      <w:r>
        <w:rPr>
          <w:rFonts w:hint="eastAsia" w:ascii="仿宋_GB2312" w:hAnsi="微软雅黑" w:eastAsia="仿宋_GB2312" w:cs="仿宋_GB2312"/>
          <w:color w:val="333333"/>
          <w:sz w:val="31"/>
          <w:szCs w:val="31"/>
          <w:highlight w:val="none"/>
          <w:shd w:val="clear" w:fill="FFFFFF"/>
          <w:lang w:eastAsia="zh-CN"/>
        </w:rPr>
        <w:t>做好</w:t>
      </w:r>
      <w:r>
        <w:rPr>
          <w:rFonts w:hint="eastAsia" w:ascii="仿宋_GB2312" w:hAnsi="微软雅黑" w:eastAsia="仿宋_GB2312" w:cs="仿宋_GB2312"/>
          <w:color w:val="333333"/>
          <w:sz w:val="31"/>
          <w:szCs w:val="31"/>
          <w:highlight w:val="none"/>
          <w:shd w:val="clear" w:fill="FFFFFF"/>
        </w:rPr>
        <w:t>各项财政财务</w:t>
      </w:r>
      <w:r>
        <w:rPr>
          <w:rFonts w:hint="eastAsia" w:ascii="仿宋_GB2312" w:hAnsi="微软雅黑" w:eastAsia="仿宋_GB2312" w:cs="仿宋_GB2312"/>
          <w:color w:val="333333"/>
          <w:sz w:val="31"/>
          <w:szCs w:val="31"/>
          <w:highlight w:val="none"/>
          <w:shd w:val="clear" w:fill="FFFFFF"/>
          <w:lang w:eastAsia="zh-CN"/>
        </w:rPr>
        <w:t>基础</w:t>
      </w:r>
      <w:r>
        <w:rPr>
          <w:rFonts w:hint="eastAsia" w:ascii="仿宋_GB2312" w:hAnsi="微软雅黑" w:eastAsia="仿宋_GB2312" w:cs="仿宋_GB2312"/>
          <w:color w:val="333333"/>
          <w:sz w:val="31"/>
          <w:szCs w:val="31"/>
          <w:highlight w:val="none"/>
          <w:shd w:val="clear" w:fill="FFFFFF"/>
        </w:rPr>
        <w:t>工作</w:t>
      </w:r>
      <w:r>
        <w:rPr>
          <w:rFonts w:hint="eastAsia" w:ascii="仿宋_GB2312" w:hAnsi="微软雅黑" w:eastAsia="仿宋_GB2312" w:cs="仿宋_GB2312"/>
          <w:color w:val="333333"/>
          <w:sz w:val="31"/>
          <w:szCs w:val="31"/>
          <w:highlight w:val="none"/>
          <w:shd w:val="clear" w:fill="FFFFFF"/>
          <w:lang w:val="en-US" w:eastAsia="zh-CN"/>
        </w:rPr>
        <w:t>；4.</w:t>
      </w:r>
      <w:r>
        <w:rPr>
          <w:rFonts w:hint="eastAsia" w:ascii="仿宋_GB2312" w:hAnsi="微软雅黑" w:eastAsia="仿宋_GB2312" w:cs="仿宋_GB2312"/>
          <w:color w:val="333333"/>
          <w:sz w:val="31"/>
          <w:szCs w:val="31"/>
          <w:highlight w:val="none"/>
          <w:shd w:val="clear" w:fill="FFFFFF"/>
        </w:rPr>
        <w:t>认真贯彻执行《预算法》、《会计法》和相关的财经纪律制度</w:t>
      </w:r>
      <w:r>
        <w:rPr>
          <w:rFonts w:hint="default" w:ascii="仿宋_GB2312" w:hAnsi="微软雅黑" w:eastAsia="仿宋_GB2312" w:cs="仿宋_GB2312"/>
          <w:color w:val="333333"/>
          <w:sz w:val="31"/>
          <w:szCs w:val="31"/>
          <w:highlight w:val="none"/>
          <w:shd w:val="clear" w:fill="FFFFFF"/>
        </w:rPr>
        <w:t>目标</w:t>
      </w:r>
      <w:r>
        <w:rPr>
          <w:rFonts w:hint="eastAsia" w:ascii="仿宋_GB2312" w:hAnsi="微软雅黑" w:eastAsia="仿宋_GB2312" w:cs="仿宋_GB2312"/>
          <w:color w:val="333333"/>
          <w:sz w:val="31"/>
          <w:szCs w:val="31"/>
          <w:highlight w:val="none"/>
          <w:shd w:val="clear" w:fill="FFFFFF"/>
          <w:lang w:eastAsia="zh-CN"/>
        </w:rPr>
        <w:t>。</w:t>
      </w:r>
    </w:p>
    <w:p w14:paraId="0755EA9A">
      <w:pPr>
        <w:pStyle w:val="7"/>
        <w:widowControl/>
        <w:spacing w:line="520" w:lineRule="exact"/>
        <w:ind w:left="640" w:firstLine="0" w:firstLineChars="0"/>
        <w:rPr>
          <w:rFonts w:ascii="Times New Roman" w:hAnsi="Times New Roman" w:eastAsia="黑体"/>
          <w:sz w:val="32"/>
          <w:szCs w:val="32"/>
          <w:highlight w:val="none"/>
        </w:rPr>
      </w:pPr>
      <w:r>
        <w:rPr>
          <w:rFonts w:hint="eastAsia" w:ascii="Times New Roman" w:hAnsi="Times New Roman" w:eastAsia="黑体"/>
          <w:sz w:val="32"/>
          <w:szCs w:val="32"/>
          <w:highlight w:val="none"/>
        </w:rPr>
        <w:t>二、</w:t>
      </w:r>
      <w:r>
        <w:rPr>
          <w:rFonts w:ascii="Times New Roman" w:hAnsi="Times New Roman" w:eastAsia="黑体"/>
          <w:sz w:val="32"/>
          <w:szCs w:val="32"/>
          <w:highlight w:val="none"/>
        </w:rPr>
        <w:t>一般公共预算支出情况</w:t>
      </w:r>
    </w:p>
    <w:p w14:paraId="71B86B78">
      <w:pPr>
        <w:widowControl w:val="0"/>
        <w:snapToGrid w:val="0"/>
        <w:spacing w:beforeLines="0" w:afterLines="0" w:line="520" w:lineRule="exact"/>
        <w:ind w:firstLine="620" w:firstLineChars="200"/>
        <w:rPr>
          <w:rFonts w:hint="eastAsia" w:ascii="仿宋_GB2312" w:hAnsi="微软雅黑" w:eastAsia="仿宋_GB2312" w:cs="仿宋_GB2312"/>
          <w:color w:val="333333"/>
          <w:sz w:val="31"/>
          <w:szCs w:val="31"/>
          <w:highlight w:val="none"/>
          <w:shd w:val="clear" w:color="auto" w:fill="FFFFFF"/>
          <w:lang w:val="en-US" w:eastAsia="zh-CN" w:bidi="ar-SA"/>
        </w:rPr>
      </w:pPr>
      <w:r>
        <w:rPr>
          <w:rFonts w:hint="eastAsia" w:ascii="仿宋_GB2312" w:hAnsi="微软雅黑" w:eastAsia="仿宋_GB2312" w:cs="仿宋_GB2312"/>
          <w:color w:val="333333"/>
          <w:sz w:val="31"/>
          <w:szCs w:val="31"/>
          <w:highlight w:val="none"/>
          <w:shd w:val="clear" w:color="auto" w:fill="FFFFFF"/>
          <w:lang w:val="en-US" w:eastAsia="zh-CN" w:bidi="ar-SA"/>
        </w:rPr>
        <w:t>一般公共预算支出3912.05万元，其中：</w:t>
      </w:r>
    </w:p>
    <w:p w14:paraId="6C623F11">
      <w:pPr>
        <w:widowControl w:val="0"/>
        <w:snapToGrid w:val="0"/>
        <w:spacing w:beforeLines="0" w:afterLines="0" w:line="520" w:lineRule="exact"/>
        <w:ind w:firstLine="620" w:firstLineChars="200"/>
        <w:rPr>
          <w:rFonts w:hint="eastAsia" w:ascii="仿宋_GB2312" w:hAnsi="微软雅黑" w:eastAsia="仿宋_GB2312" w:cs="仿宋_GB2312"/>
          <w:color w:val="333333"/>
          <w:sz w:val="31"/>
          <w:szCs w:val="31"/>
          <w:highlight w:val="none"/>
          <w:shd w:val="clear" w:color="auto" w:fill="FFFFFF"/>
          <w:lang w:val="en-US" w:eastAsia="zh-CN" w:bidi="ar-SA"/>
        </w:rPr>
      </w:pPr>
      <w:r>
        <w:rPr>
          <w:rFonts w:hint="eastAsia" w:ascii="仿宋_GB2312" w:hAnsi="微软雅黑" w:eastAsia="仿宋_GB2312" w:cs="仿宋_GB2312"/>
          <w:color w:val="333333"/>
          <w:sz w:val="31"/>
          <w:szCs w:val="31"/>
          <w:highlight w:val="none"/>
          <w:shd w:val="clear" w:color="auto" w:fill="FFFFFF"/>
          <w:lang w:val="en-US" w:eastAsia="zh-CN" w:bidi="ar-SA"/>
        </w:rPr>
        <w:t>1.基本支出2189.11万元，占比55.96%。</w:t>
      </w:r>
    </w:p>
    <w:p w14:paraId="18A21949">
      <w:pPr>
        <w:widowControl w:val="0"/>
        <w:snapToGrid w:val="0"/>
        <w:spacing w:beforeLines="0" w:afterLines="0" w:line="520" w:lineRule="exact"/>
        <w:ind w:firstLine="620" w:firstLineChars="200"/>
        <w:rPr>
          <w:rFonts w:ascii="Times New Roman" w:hAnsi="Times New Roman" w:eastAsia="黑体"/>
          <w:sz w:val="32"/>
          <w:szCs w:val="32"/>
          <w:highlight w:val="none"/>
        </w:rPr>
      </w:pPr>
      <w:r>
        <w:rPr>
          <w:rFonts w:hint="eastAsia" w:ascii="仿宋_GB2312" w:hAnsi="微软雅黑" w:eastAsia="仿宋_GB2312" w:cs="仿宋_GB2312"/>
          <w:color w:val="333333"/>
          <w:sz w:val="31"/>
          <w:szCs w:val="31"/>
          <w:highlight w:val="none"/>
          <w:shd w:val="clear" w:color="auto" w:fill="FFFFFF"/>
          <w:lang w:val="en-US" w:eastAsia="zh-CN" w:bidi="ar-SA"/>
        </w:rPr>
        <w:t>2.项目支出1722.94万元，占比44.04%。</w:t>
      </w:r>
    </w:p>
    <w:p w14:paraId="205E3FF3">
      <w:pPr>
        <w:pStyle w:val="7"/>
        <w:widowControl/>
        <w:spacing w:line="520" w:lineRule="exact"/>
        <w:ind w:left="640" w:firstLine="0" w:firstLineChars="0"/>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（一）基本支出情况</w:t>
      </w:r>
    </w:p>
    <w:p w14:paraId="3CB1A2A6">
      <w:pPr>
        <w:widowControl w:val="0"/>
        <w:snapToGrid w:val="0"/>
        <w:spacing w:beforeLines="0" w:afterLines="0" w:line="520" w:lineRule="exact"/>
        <w:ind w:firstLine="620" w:firstLineChars="200"/>
        <w:rPr>
          <w:rFonts w:hint="eastAsia" w:ascii="仿宋_GB2312" w:hAnsi="微软雅黑" w:eastAsia="仿宋_GB2312" w:cs="仿宋_GB2312"/>
          <w:color w:val="333333"/>
          <w:sz w:val="31"/>
          <w:szCs w:val="31"/>
          <w:highlight w:val="none"/>
          <w:shd w:val="clear" w:color="auto" w:fill="FFFFFF"/>
          <w:lang w:val="en-US" w:eastAsia="zh-CN" w:bidi="ar-SA"/>
        </w:rPr>
      </w:pPr>
      <w:r>
        <w:rPr>
          <w:rFonts w:hint="eastAsia" w:ascii="仿宋_GB2312" w:hAnsi="微软雅黑" w:eastAsia="仿宋_GB2312" w:cs="仿宋_GB2312"/>
          <w:color w:val="333333"/>
          <w:sz w:val="31"/>
          <w:szCs w:val="31"/>
          <w:highlight w:val="none"/>
          <w:shd w:val="clear" w:color="auto" w:fill="FFFFFF"/>
          <w:lang w:val="en-US" w:eastAsia="zh-CN" w:bidi="ar-SA"/>
        </w:rPr>
        <w:t>基本支出中人员经费1354.96万元，占比61.9%；公用经费834.15万元，占比38.1%。</w:t>
      </w:r>
    </w:p>
    <w:p w14:paraId="3E7236D2">
      <w:pPr>
        <w:pStyle w:val="7"/>
        <w:widowControl/>
        <w:spacing w:line="520" w:lineRule="exact"/>
        <w:ind w:left="640" w:firstLine="0" w:firstLineChars="0"/>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rPr>
        <w:t>（二）项目支出</w:t>
      </w:r>
    </w:p>
    <w:p w14:paraId="20A317B8">
      <w:pPr>
        <w:pStyle w:val="4"/>
        <w:keepNext w:val="0"/>
        <w:keepLines w:val="0"/>
        <w:pageBreakBefore w:val="0"/>
        <w:widowControl/>
        <w:shd w:val="clear" w:color="auto" w:fill="FFFFFF"/>
        <w:kinsoku/>
        <w:wordWrap/>
        <w:overflowPunct/>
        <w:topLinePunct w:val="0"/>
        <w:autoSpaceDE/>
        <w:autoSpaceDN/>
        <w:bidi w:val="0"/>
        <w:adjustRightInd/>
        <w:spacing w:before="0" w:beforeLines="0" w:beforeAutospacing="0" w:after="0" w:afterLines="0" w:afterAutospacing="0" w:line="480" w:lineRule="exact"/>
        <w:ind w:firstLine="645"/>
        <w:textAlignment w:val="auto"/>
        <w:rPr>
          <w:rFonts w:hint="eastAsia" w:ascii="仿宋_GB2312" w:hAnsi="微软雅黑" w:eastAsia="仿宋_GB2312" w:cs="仿宋_GB2312"/>
          <w:color w:val="333333"/>
          <w:kern w:val="2"/>
          <w:sz w:val="31"/>
          <w:szCs w:val="31"/>
          <w:highlight w:val="none"/>
          <w:shd w:val="clear" w:color="auto" w:fill="FFFFFF"/>
          <w:lang w:val="en-US" w:eastAsia="zh-CN" w:bidi="ar-SA"/>
        </w:rPr>
      </w:pPr>
      <w:r>
        <w:rPr>
          <w:rFonts w:hint="eastAsia" w:ascii="仿宋_GB2312" w:hAnsi="微软雅黑" w:eastAsia="仿宋_GB2312" w:cs="仿宋_GB2312"/>
          <w:color w:val="333333"/>
          <w:kern w:val="2"/>
          <w:sz w:val="31"/>
          <w:szCs w:val="31"/>
          <w:highlight w:val="none"/>
          <w:shd w:val="clear" w:color="auto" w:fill="FFFFFF"/>
          <w:lang w:val="en-US" w:eastAsia="zh-CN" w:bidi="ar-SA"/>
        </w:rPr>
        <w:t>2024年度专项资金安排和使用管理情况如下所示：</w:t>
      </w:r>
    </w:p>
    <w:p w14:paraId="04FE2ACB">
      <w:pPr>
        <w:pStyle w:val="4"/>
        <w:keepNext w:val="0"/>
        <w:keepLines w:val="0"/>
        <w:pageBreakBefore w:val="0"/>
        <w:widowControl/>
        <w:shd w:val="clear" w:color="auto" w:fill="FFFFFF"/>
        <w:kinsoku/>
        <w:wordWrap/>
        <w:overflowPunct/>
        <w:topLinePunct w:val="0"/>
        <w:autoSpaceDE/>
        <w:autoSpaceDN/>
        <w:bidi w:val="0"/>
        <w:adjustRightInd/>
        <w:spacing w:before="0" w:beforeLines="0" w:beforeAutospacing="0" w:after="0" w:afterLines="0" w:afterAutospacing="0" w:line="480" w:lineRule="exact"/>
        <w:ind w:firstLine="645"/>
        <w:textAlignment w:val="auto"/>
        <w:rPr>
          <w:rFonts w:hint="eastAsia" w:ascii="仿宋_GB2312" w:hAnsi="微软雅黑" w:eastAsia="仿宋_GB2312" w:cs="仿宋_GB2312"/>
          <w:color w:val="333333"/>
          <w:kern w:val="2"/>
          <w:sz w:val="31"/>
          <w:szCs w:val="31"/>
          <w:highlight w:val="none"/>
          <w:shd w:val="clear" w:color="auto" w:fill="FFFFFF"/>
          <w:lang w:val="en-US" w:eastAsia="zh-CN" w:bidi="ar-SA"/>
        </w:rPr>
      </w:pPr>
      <w:r>
        <w:rPr>
          <w:rFonts w:hint="eastAsia" w:ascii="仿宋_GB2312" w:hAnsi="微软雅黑" w:eastAsia="仿宋_GB2312" w:cs="仿宋_GB2312"/>
          <w:color w:val="333333"/>
          <w:kern w:val="2"/>
          <w:sz w:val="31"/>
          <w:szCs w:val="31"/>
          <w:highlight w:val="none"/>
          <w:shd w:val="clear" w:color="auto" w:fill="FFFFFF"/>
          <w:lang w:val="en-US" w:eastAsia="zh-CN" w:bidi="ar-SA"/>
        </w:rPr>
        <w:t>1.财政监管资金12万元。用于保障财政办公室工作日常高效运转，确保财政监管、预算执行、资金管理等核心职能顺利开展。</w:t>
      </w:r>
    </w:p>
    <w:p w14:paraId="08F873FB">
      <w:pPr>
        <w:pStyle w:val="4"/>
        <w:keepNext w:val="0"/>
        <w:keepLines w:val="0"/>
        <w:pageBreakBefore w:val="0"/>
        <w:widowControl/>
        <w:shd w:val="clear" w:color="auto" w:fill="FFFFFF"/>
        <w:kinsoku/>
        <w:wordWrap/>
        <w:overflowPunct/>
        <w:topLinePunct w:val="0"/>
        <w:autoSpaceDE/>
        <w:autoSpaceDN/>
        <w:bidi w:val="0"/>
        <w:adjustRightInd/>
        <w:spacing w:before="0" w:beforeLines="0" w:beforeAutospacing="0" w:after="0" w:afterLines="0" w:afterAutospacing="0" w:line="480" w:lineRule="exact"/>
        <w:ind w:firstLine="645"/>
        <w:textAlignment w:val="auto"/>
        <w:rPr>
          <w:rFonts w:hint="eastAsia" w:ascii="仿宋_GB2312" w:hAnsi="微软雅黑" w:eastAsia="仿宋_GB2312" w:cs="仿宋_GB2312"/>
          <w:color w:val="333333"/>
          <w:kern w:val="2"/>
          <w:sz w:val="31"/>
          <w:szCs w:val="31"/>
          <w:highlight w:val="none"/>
          <w:shd w:val="clear" w:color="auto" w:fill="FFFFFF"/>
          <w:lang w:val="en-US" w:eastAsia="zh-CN" w:bidi="ar-SA"/>
        </w:rPr>
      </w:pPr>
      <w:r>
        <w:rPr>
          <w:rFonts w:hint="eastAsia" w:ascii="仿宋_GB2312" w:hAnsi="微软雅黑" w:eastAsia="仿宋_GB2312" w:cs="仿宋_GB2312"/>
          <w:color w:val="333333"/>
          <w:kern w:val="2"/>
          <w:sz w:val="31"/>
          <w:szCs w:val="31"/>
          <w:highlight w:val="none"/>
          <w:shd w:val="clear" w:color="auto" w:fill="FFFFFF"/>
          <w:lang w:val="en-US" w:eastAsia="zh-CN" w:bidi="ar-SA"/>
        </w:rPr>
        <w:t>2.全民户外体验拓展基地项目163万元。用于建设霞阳镇全民户外体验拓展基地项目支出。</w:t>
      </w:r>
    </w:p>
    <w:p w14:paraId="1DEDAE93">
      <w:pPr>
        <w:pStyle w:val="4"/>
        <w:keepNext w:val="0"/>
        <w:keepLines w:val="0"/>
        <w:pageBreakBefore w:val="0"/>
        <w:widowControl/>
        <w:shd w:val="clear" w:color="auto" w:fill="FFFFFF"/>
        <w:kinsoku/>
        <w:wordWrap/>
        <w:overflowPunct/>
        <w:topLinePunct w:val="0"/>
        <w:autoSpaceDE/>
        <w:autoSpaceDN/>
        <w:bidi w:val="0"/>
        <w:adjustRightInd/>
        <w:spacing w:before="0" w:beforeLines="0" w:beforeAutospacing="0" w:after="0" w:afterLines="0" w:afterAutospacing="0" w:line="480" w:lineRule="exact"/>
        <w:ind w:firstLine="645"/>
        <w:textAlignment w:val="auto"/>
        <w:rPr>
          <w:rFonts w:hint="eastAsia" w:ascii="仿宋_GB2312" w:hAnsi="微软雅黑" w:eastAsia="仿宋_GB2312" w:cs="仿宋_GB2312"/>
          <w:color w:val="333333"/>
          <w:kern w:val="2"/>
          <w:sz w:val="31"/>
          <w:szCs w:val="31"/>
          <w:highlight w:val="none"/>
          <w:shd w:val="clear" w:color="auto" w:fill="FFFFFF"/>
          <w:lang w:val="en-US" w:eastAsia="zh-CN" w:bidi="ar-SA"/>
        </w:rPr>
      </w:pPr>
      <w:r>
        <w:rPr>
          <w:rFonts w:hint="eastAsia" w:ascii="仿宋_GB2312" w:hAnsi="微软雅黑" w:eastAsia="仿宋_GB2312" w:cs="仿宋_GB2312"/>
          <w:color w:val="333333"/>
          <w:kern w:val="2"/>
          <w:sz w:val="31"/>
          <w:szCs w:val="31"/>
          <w:highlight w:val="none"/>
          <w:shd w:val="clear" w:color="auto" w:fill="FFFFFF"/>
          <w:lang w:val="en-US" w:eastAsia="zh-CN" w:bidi="ar-SA"/>
        </w:rPr>
        <w:t>3.</w:t>
      </w:r>
      <w:r>
        <w:rPr>
          <w:rFonts w:hint="eastAsia" w:ascii="仿宋_GB2312" w:hAnsi="微软雅黑" w:eastAsia="仿宋_GB2312" w:cs="仿宋_GB2312"/>
          <w:snapToGrid w:val="0"/>
          <w:color w:val="333333"/>
          <w:kern w:val="0"/>
          <w:sz w:val="31"/>
          <w:szCs w:val="31"/>
          <w:highlight w:val="none"/>
          <w:shd w:val="clear" w:fill="FFFFFF"/>
          <w:lang w:val="en-US" w:eastAsia="zh-CN" w:bidi="ar-SA"/>
        </w:rPr>
        <w:t>炎陵县河漠水流域环境治理工程280万元。炎陵县河漠水流域综合治理项目对饮用水源保护区散户农村生活污水进行处理，采用四格式化粪池系统进行处理。对炎陵县霞阳镇石玉村河道两岸进行生态护坡，建设长度15500米，共计77500平方米。其中植草生态护岸9000米，共计54000平方米，石笼网生态护岸6500米，共计23500平方米。在河道滩涂区域进行水生态修复，建设沉水植物、挺水植物、乔灌木等为主的4处滨河带，共计229.4亩。项目效益：1.解决河漠水总氮超标的问题，保障饮用水安全以及水资源和生态环境。2.疏通河道，防止堵塞，有利于河道行洪，保障沿河居民生命财产安全。</w:t>
      </w:r>
    </w:p>
    <w:p w14:paraId="5DD29F3E">
      <w:pPr>
        <w:pStyle w:val="4"/>
        <w:keepNext w:val="0"/>
        <w:keepLines w:val="0"/>
        <w:pageBreakBefore w:val="0"/>
        <w:widowControl/>
        <w:shd w:val="clear" w:color="auto" w:fill="FFFFFF"/>
        <w:kinsoku/>
        <w:wordWrap/>
        <w:overflowPunct/>
        <w:topLinePunct w:val="0"/>
        <w:autoSpaceDE/>
        <w:autoSpaceDN/>
        <w:bidi w:val="0"/>
        <w:adjustRightInd/>
        <w:spacing w:before="0" w:beforeLines="0" w:beforeAutospacing="0" w:after="0" w:afterLines="0" w:afterAutospacing="0" w:line="480" w:lineRule="exact"/>
        <w:ind w:firstLine="645"/>
        <w:textAlignment w:val="auto"/>
        <w:rPr>
          <w:rFonts w:hint="eastAsia" w:ascii="仿宋_GB2312" w:hAnsi="微软雅黑" w:eastAsia="仿宋_GB2312" w:cs="仿宋_GB2312"/>
          <w:color w:val="333333"/>
          <w:kern w:val="2"/>
          <w:sz w:val="31"/>
          <w:szCs w:val="31"/>
          <w:highlight w:val="none"/>
          <w:shd w:val="clear" w:color="auto" w:fill="FFFFFF"/>
          <w:lang w:val="en-US" w:eastAsia="zh-CN" w:bidi="ar-SA"/>
        </w:rPr>
      </w:pPr>
      <w:r>
        <w:rPr>
          <w:rFonts w:hint="eastAsia" w:ascii="仿宋_GB2312" w:hAnsi="微软雅黑" w:eastAsia="仿宋_GB2312" w:cs="仿宋_GB2312"/>
          <w:color w:val="333333"/>
          <w:kern w:val="2"/>
          <w:sz w:val="31"/>
          <w:szCs w:val="31"/>
          <w:highlight w:val="none"/>
          <w:shd w:val="clear" w:color="auto" w:fill="FFFFFF"/>
          <w:lang w:val="en-US" w:eastAsia="zh-CN" w:bidi="ar-SA"/>
        </w:rPr>
        <w:t>4.农村综合事业改革项目建设资金27.82万元。用于霞阳镇片区农村综合事业改革项目建设。其中霞阳镇中团村维修河堤、水坝、水圳项目8万元，霞阳镇草坪村窑上组至老屋组道路扩宽项目10万元，霞阳镇石子坝村水毁河堤道路修复9.82万元。</w:t>
      </w:r>
    </w:p>
    <w:p w14:paraId="29F7835F">
      <w:pPr>
        <w:pStyle w:val="4"/>
        <w:keepNext w:val="0"/>
        <w:keepLines w:val="0"/>
        <w:pageBreakBefore w:val="0"/>
        <w:widowControl/>
        <w:shd w:val="clear" w:color="auto" w:fill="FFFFFF"/>
        <w:kinsoku/>
        <w:wordWrap/>
        <w:overflowPunct/>
        <w:topLinePunct w:val="0"/>
        <w:autoSpaceDE/>
        <w:autoSpaceDN/>
        <w:bidi w:val="0"/>
        <w:adjustRightInd/>
        <w:spacing w:before="0" w:beforeLines="0" w:beforeAutospacing="0" w:after="0" w:afterLines="0" w:afterAutospacing="0" w:line="480" w:lineRule="exact"/>
        <w:ind w:firstLine="645"/>
        <w:textAlignment w:val="auto"/>
        <w:rPr>
          <w:rFonts w:hint="default" w:ascii="仿宋_GB2312" w:hAnsi="微软雅黑" w:eastAsia="仿宋_GB2312" w:cs="仿宋_GB2312"/>
          <w:snapToGrid w:val="0"/>
          <w:color w:val="333333"/>
          <w:kern w:val="0"/>
          <w:sz w:val="31"/>
          <w:szCs w:val="31"/>
          <w:highlight w:val="none"/>
          <w:shd w:val="clear" w:fill="FFFFFF"/>
          <w:lang w:val="en-US" w:eastAsia="zh-CN" w:bidi="ar-SA"/>
        </w:rPr>
      </w:pPr>
      <w:r>
        <w:rPr>
          <w:rFonts w:hint="eastAsia" w:ascii="仿宋_GB2312" w:hAnsi="微软雅黑" w:eastAsia="仿宋_GB2312" w:cs="仿宋_GB2312"/>
          <w:snapToGrid w:val="0"/>
          <w:color w:val="333333"/>
          <w:kern w:val="0"/>
          <w:sz w:val="31"/>
          <w:szCs w:val="31"/>
          <w:highlight w:val="none"/>
          <w:shd w:val="clear" w:fill="FFFFFF"/>
          <w:lang w:val="en-US" w:eastAsia="zh-CN" w:bidi="ar-SA"/>
        </w:rPr>
        <w:t>5.霞阳镇星潮村朝坡龙组道路户户通项目资金25万元，用于星潮村朝坡龙组道路维修，有效提高村民出行、生产效率。</w:t>
      </w:r>
    </w:p>
    <w:p w14:paraId="2965A931">
      <w:pPr>
        <w:pStyle w:val="4"/>
        <w:keepNext w:val="0"/>
        <w:keepLines w:val="0"/>
        <w:pageBreakBefore w:val="0"/>
        <w:widowControl/>
        <w:shd w:val="clear" w:color="auto" w:fill="FFFFFF"/>
        <w:kinsoku/>
        <w:wordWrap/>
        <w:overflowPunct/>
        <w:topLinePunct w:val="0"/>
        <w:autoSpaceDE/>
        <w:autoSpaceDN/>
        <w:bidi w:val="0"/>
        <w:adjustRightInd/>
        <w:spacing w:before="0" w:beforeLines="0" w:beforeAutospacing="0" w:after="0" w:afterLines="0" w:afterAutospacing="0" w:line="480" w:lineRule="exact"/>
        <w:ind w:firstLine="645"/>
        <w:textAlignment w:val="auto"/>
        <w:rPr>
          <w:rFonts w:hint="eastAsia" w:ascii="仿宋_GB2312" w:hAnsi="微软雅黑" w:eastAsia="仿宋_GB2312" w:cs="仿宋_GB2312"/>
          <w:color w:val="333333"/>
          <w:kern w:val="2"/>
          <w:sz w:val="31"/>
          <w:szCs w:val="31"/>
          <w:highlight w:val="none"/>
          <w:shd w:val="clear" w:color="auto" w:fill="FFFFFF"/>
          <w:lang w:val="en-US" w:eastAsia="zh-CN" w:bidi="ar-SA"/>
        </w:rPr>
      </w:pPr>
      <w:r>
        <w:rPr>
          <w:rFonts w:hint="eastAsia" w:ascii="仿宋_GB2312" w:hAnsi="微软雅黑" w:eastAsia="仿宋_GB2312" w:cs="仿宋_GB2312"/>
          <w:color w:val="333333"/>
          <w:kern w:val="2"/>
          <w:sz w:val="31"/>
          <w:szCs w:val="31"/>
          <w:highlight w:val="none"/>
          <w:shd w:val="clear" w:color="auto" w:fill="FFFFFF"/>
          <w:lang w:val="en-US" w:eastAsia="zh-CN" w:bidi="ar-SA"/>
        </w:rPr>
        <w:t>6.自然灾害救灾资金31万元。用于霞阳片区各村灾后修复工程建设。</w:t>
      </w:r>
    </w:p>
    <w:p w14:paraId="244B8306">
      <w:pPr>
        <w:pStyle w:val="4"/>
        <w:keepNext w:val="0"/>
        <w:keepLines w:val="0"/>
        <w:pageBreakBefore w:val="0"/>
        <w:widowControl/>
        <w:shd w:val="clear" w:color="auto" w:fill="FFFFFF"/>
        <w:kinsoku/>
        <w:wordWrap/>
        <w:overflowPunct/>
        <w:topLinePunct w:val="0"/>
        <w:autoSpaceDE/>
        <w:autoSpaceDN/>
        <w:bidi w:val="0"/>
        <w:adjustRightInd/>
        <w:spacing w:before="0" w:beforeLines="0" w:beforeAutospacing="0" w:after="0" w:afterLines="0" w:afterAutospacing="0" w:line="480" w:lineRule="exact"/>
        <w:ind w:firstLine="645"/>
        <w:textAlignment w:val="auto"/>
        <w:rPr>
          <w:rFonts w:hint="default" w:ascii="仿宋_GB2312" w:hAnsi="微软雅黑" w:eastAsia="仿宋_GB2312" w:cs="仿宋_GB2312"/>
          <w:color w:val="333333"/>
          <w:kern w:val="2"/>
          <w:sz w:val="31"/>
          <w:szCs w:val="31"/>
          <w:highlight w:val="none"/>
          <w:shd w:val="clear" w:color="auto" w:fill="FFFFFF"/>
          <w:lang w:val="en-US" w:eastAsia="zh-CN" w:bidi="ar-SA"/>
        </w:rPr>
      </w:pPr>
      <w:r>
        <w:rPr>
          <w:rFonts w:hint="eastAsia" w:ascii="仿宋_GB2312" w:hAnsi="微软雅黑" w:eastAsia="仿宋_GB2312" w:cs="仿宋_GB2312"/>
          <w:color w:val="333333"/>
          <w:kern w:val="2"/>
          <w:sz w:val="31"/>
          <w:szCs w:val="31"/>
          <w:highlight w:val="none"/>
          <w:shd w:val="clear" w:color="auto" w:fill="FFFFFF"/>
          <w:lang w:val="en-US" w:eastAsia="zh-CN" w:bidi="ar-SA"/>
        </w:rPr>
        <w:t>7.环境整治资金225万元。用于霞阳镇及辖区各村农村环境整治费用支出。</w:t>
      </w:r>
    </w:p>
    <w:p w14:paraId="49EBC7AC">
      <w:pPr>
        <w:pStyle w:val="4"/>
        <w:keepNext w:val="0"/>
        <w:keepLines w:val="0"/>
        <w:pageBreakBefore w:val="0"/>
        <w:widowControl/>
        <w:shd w:val="clear" w:color="auto" w:fill="FFFFFF"/>
        <w:kinsoku/>
        <w:wordWrap/>
        <w:overflowPunct/>
        <w:topLinePunct w:val="0"/>
        <w:autoSpaceDE/>
        <w:autoSpaceDN/>
        <w:bidi w:val="0"/>
        <w:adjustRightInd/>
        <w:spacing w:before="0" w:beforeLines="0" w:beforeAutospacing="0" w:after="0" w:afterLines="0" w:afterAutospacing="0" w:line="480" w:lineRule="exact"/>
        <w:ind w:firstLine="645"/>
        <w:textAlignment w:val="auto"/>
        <w:rPr>
          <w:rFonts w:hint="eastAsia" w:ascii="仿宋_GB2312" w:hAnsi="微软雅黑" w:eastAsia="仿宋_GB2312" w:cs="仿宋_GB2312"/>
          <w:snapToGrid w:val="0"/>
          <w:color w:val="333333"/>
          <w:kern w:val="2"/>
          <w:sz w:val="31"/>
          <w:szCs w:val="31"/>
          <w:highlight w:val="none"/>
          <w:shd w:val="clear" w:color="auto" w:fill="FFFFFF"/>
          <w:lang w:val="en-US" w:eastAsia="zh-CN" w:bidi="ar-SA"/>
        </w:rPr>
      </w:pPr>
      <w:r>
        <w:rPr>
          <w:rFonts w:hint="eastAsia" w:ascii="仿宋_GB2312" w:hAnsi="微软雅黑" w:eastAsia="仿宋_GB2312" w:cs="仿宋_GB2312"/>
          <w:snapToGrid w:val="0"/>
          <w:color w:val="333333"/>
          <w:kern w:val="2"/>
          <w:sz w:val="31"/>
          <w:szCs w:val="31"/>
          <w:highlight w:val="none"/>
          <w:shd w:val="clear" w:color="auto" w:fill="FFFFFF"/>
          <w:lang w:val="en-US" w:eastAsia="zh-CN" w:bidi="ar-SA"/>
        </w:rPr>
        <w:t>8.总部经济资金</w:t>
      </w:r>
      <w:r>
        <w:rPr>
          <w:rFonts w:hint="eastAsia" w:ascii="仿宋_GB2312" w:hAnsi="微软雅黑" w:eastAsia="仿宋_GB2312" w:cs="仿宋_GB2312"/>
          <w:color w:val="333333"/>
          <w:kern w:val="2"/>
          <w:sz w:val="31"/>
          <w:szCs w:val="31"/>
          <w:highlight w:val="none"/>
          <w:shd w:val="clear" w:color="auto" w:fill="FFFFFF"/>
          <w:lang w:val="en-US" w:eastAsia="zh-CN" w:bidi="ar-SA"/>
        </w:rPr>
        <w:t>58.21万元</w:t>
      </w:r>
      <w:r>
        <w:rPr>
          <w:rFonts w:hint="eastAsia" w:ascii="仿宋_GB2312" w:hAnsi="微软雅黑" w:eastAsia="仿宋_GB2312" w:cs="仿宋_GB2312"/>
          <w:snapToGrid w:val="0"/>
          <w:color w:val="333333"/>
          <w:kern w:val="2"/>
          <w:sz w:val="31"/>
          <w:szCs w:val="31"/>
          <w:highlight w:val="none"/>
          <w:shd w:val="clear" w:color="auto" w:fill="FFFFFF"/>
          <w:lang w:val="en-US" w:eastAsia="zh-CN" w:bidi="ar-SA"/>
        </w:rPr>
        <w:t>。</w:t>
      </w:r>
      <w:r>
        <w:rPr>
          <w:rFonts w:hint="eastAsia" w:ascii="仿宋_GB2312" w:hAnsi="微软雅黑" w:eastAsia="仿宋_GB2312" w:cs="仿宋_GB2312"/>
          <w:color w:val="333333"/>
          <w:kern w:val="2"/>
          <w:sz w:val="31"/>
          <w:szCs w:val="31"/>
          <w:highlight w:val="none"/>
          <w:shd w:val="clear" w:color="auto" w:fill="FFFFFF"/>
          <w:lang w:val="en-US" w:eastAsia="zh-CN" w:bidi="ar-SA"/>
        </w:rPr>
        <w:t>为落实区域协调发展战略，通过结算方式适当安排补助。</w:t>
      </w:r>
    </w:p>
    <w:p w14:paraId="2D586F77">
      <w:pPr>
        <w:pStyle w:val="4"/>
        <w:keepNext w:val="0"/>
        <w:keepLines w:val="0"/>
        <w:pageBreakBefore w:val="0"/>
        <w:widowControl/>
        <w:shd w:val="clear" w:color="auto" w:fill="FFFFFF"/>
        <w:kinsoku/>
        <w:wordWrap/>
        <w:overflowPunct/>
        <w:topLinePunct w:val="0"/>
        <w:autoSpaceDE/>
        <w:autoSpaceDN/>
        <w:bidi w:val="0"/>
        <w:adjustRightInd/>
        <w:spacing w:before="0" w:beforeLines="0" w:beforeAutospacing="0" w:after="0" w:afterLines="0" w:afterAutospacing="0" w:line="480" w:lineRule="exact"/>
        <w:ind w:firstLine="645"/>
        <w:textAlignment w:val="auto"/>
        <w:rPr>
          <w:rFonts w:hint="eastAsia" w:ascii="仿宋_GB2312" w:hAnsi="微软雅黑" w:eastAsia="仿宋_GB2312" w:cs="仿宋_GB2312"/>
          <w:color w:val="333333"/>
          <w:kern w:val="2"/>
          <w:sz w:val="31"/>
          <w:szCs w:val="31"/>
          <w:highlight w:val="none"/>
          <w:shd w:val="clear" w:color="auto" w:fill="FFFFFF"/>
          <w:lang w:val="en-US" w:eastAsia="zh-CN" w:bidi="ar-SA"/>
        </w:rPr>
      </w:pPr>
      <w:r>
        <w:rPr>
          <w:rFonts w:hint="eastAsia" w:ascii="仿宋_GB2312" w:hAnsi="微软雅黑" w:eastAsia="仿宋_GB2312" w:cs="仿宋_GB2312"/>
          <w:color w:val="333333"/>
          <w:kern w:val="2"/>
          <w:sz w:val="31"/>
          <w:szCs w:val="31"/>
          <w:highlight w:val="none"/>
          <w:shd w:val="clear" w:color="auto" w:fill="FFFFFF"/>
          <w:lang w:val="en-US" w:eastAsia="zh-CN" w:bidi="ar-SA"/>
        </w:rPr>
        <w:t>9.以工代赈项目工程资金147.79万元。项目效益：</w:t>
      </w:r>
      <w:r>
        <w:rPr>
          <w:rFonts w:hint="default" w:ascii="仿宋_GB2312" w:hAnsi="微软雅黑" w:eastAsia="仿宋_GB2312" w:cs="仿宋_GB2312"/>
          <w:color w:val="333333"/>
          <w:kern w:val="2"/>
          <w:sz w:val="31"/>
          <w:szCs w:val="31"/>
          <w:highlight w:val="none"/>
          <w:shd w:val="clear" w:color="auto" w:fill="FFFFFF"/>
          <w:lang w:val="en-US" w:eastAsia="zh-CN" w:bidi="ar-SA"/>
        </w:rPr>
        <w:t>改善基础设施，促进经济发展</w:t>
      </w:r>
      <w:r>
        <w:rPr>
          <w:rFonts w:hint="eastAsia" w:ascii="仿宋_GB2312" w:hAnsi="微软雅黑" w:eastAsia="仿宋_GB2312" w:cs="仿宋_GB2312"/>
          <w:color w:val="333333"/>
          <w:kern w:val="2"/>
          <w:sz w:val="31"/>
          <w:szCs w:val="31"/>
          <w:highlight w:val="none"/>
          <w:shd w:val="clear" w:color="auto" w:fill="FFFFFF"/>
          <w:lang w:val="en-US" w:eastAsia="zh-CN" w:bidi="ar-SA"/>
        </w:rPr>
        <w:t>，交通条件显著提升，增强区域连通性。</w:t>
      </w:r>
      <w:r>
        <w:rPr>
          <w:rFonts w:hint="default" w:ascii="仿宋_GB2312" w:hAnsi="微软雅黑" w:eastAsia="仿宋_GB2312" w:cs="仿宋_GB2312"/>
          <w:color w:val="333333"/>
          <w:kern w:val="2"/>
          <w:sz w:val="31"/>
          <w:szCs w:val="31"/>
          <w:highlight w:val="none"/>
          <w:shd w:val="clear" w:color="auto" w:fill="FFFFFF"/>
          <w:lang w:val="en-US" w:eastAsia="zh-CN" w:bidi="ar-SA"/>
        </w:rPr>
        <w:t>促进就业与增收</w:t>
      </w:r>
      <w:r>
        <w:rPr>
          <w:rFonts w:hint="eastAsia" w:ascii="仿宋_GB2312" w:hAnsi="微软雅黑" w:eastAsia="仿宋_GB2312" w:cs="仿宋_GB2312"/>
          <w:color w:val="333333"/>
          <w:kern w:val="2"/>
          <w:sz w:val="31"/>
          <w:szCs w:val="31"/>
          <w:highlight w:val="none"/>
          <w:shd w:val="clear" w:color="auto" w:fill="FFFFFF"/>
          <w:lang w:val="en-US" w:eastAsia="zh-CN" w:bidi="ar-SA"/>
        </w:rPr>
        <w:t>，直接带动就业，间接促进增收。</w:t>
      </w:r>
    </w:p>
    <w:p w14:paraId="68B88790">
      <w:pPr>
        <w:pStyle w:val="4"/>
        <w:keepNext w:val="0"/>
        <w:keepLines w:val="0"/>
        <w:pageBreakBefore w:val="0"/>
        <w:widowControl/>
        <w:shd w:val="clear" w:color="auto" w:fill="FFFFFF"/>
        <w:kinsoku/>
        <w:wordWrap/>
        <w:overflowPunct/>
        <w:topLinePunct w:val="0"/>
        <w:autoSpaceDE/>
        <w:autoSpaceDN/>
        <w:bidi w:val="0"/>
        <w:adjustRightInd/>
        <w:spacing w:before="0" w:beforeLines="0" w:beforeAutospacing="0" w:after="0" w:afterLines="0" w:afterAutospacing="0" w:line="480" w:lineRule="exact"/>
        <w:ind w:firstLine="645"/>
        <w:textAlignment w:val="auto"/>
        <w:rPr>
          <w:rFonts w:hint="eastAsia" w:ascii="仿宋_GB2312" w:hAnsi="微软雅黑" w:eastAsia="仿宋_GB2312" w:cs="仿宋_GB2312"/>
          <w:snapToGrid w:val="0"/>
          <w:color w:val="333333"/>
          <w:kern w:val="2"/>
          <w:sz w:val="31"/>
          <w:szCs w:val="31"/>
          <w:highlight w:val="none"/>
          <w:shd w:val="clear" w:color="auto" w:fill="FFFFFF"/>
          <w:lang w:val="en-US" w:eastAsia="zh-CN" w:bidi="ar-SA"/>
        </w:rPr>
      </w:pPr>
      <w:r>
        <w:rPr>
          <w:rFonts w:hint="eastAsia" w:ascii="仿宋_GB2312" w:hAnsi="微软雅黑" w:eastAsia="仿宋_GB2312" w:cs="仿宋_GB2312"/>
          <w:color w:val="333333"/>
          <w:kern w:val="2"/>
          <w:sz w:val="31"/>
          <w:szCs w:val="31"/>
          <w:highlight w:val="none"/>
          <w:shd w:val="clear" w:color="auto" w:fill="FFFFFF"/>
          <w:lang w:val="en-US" w:eastAsia="zh-CN" w:bidi="ar-SA"/>
        </w:rPr>
        <w:t>10.体制结算补助608.64万元。为落实区域协调发展战略，通过结算方式适当安排补助。</w:t>
      </w:r>
    </w:p>
    <w:p w14:paraId="385FA137">
      <w:pPr>
        <w:pStyle w:val="4"/>
        <w:keepNext w:val="0"/>
        <w:keepLines w:val="0"/>
        <w:pageBreakBefore w:val="0"/>
        <w:widowControl/>
        <w:shd w:val="clear" w:color="auto" w:fill="FFFFFF"/>
        <w:kinsoku/>
        <w:wordWrap/>
        <w:overflowPunct/>
        <w:topLinePunct w:val="0"/>
        <w:autoSpaceDE/>
        <w:autoSpaceDN/>
        <w:bidi w:val="0"/>
        <w:adjustRightInd/>
        <w:spacing w:before="0" w:beforeLines="0" w:beforeAutospacing="0" w:after="0" w:afterLines="0" w:afterAutospacing="0" w:line="480" w:lineRule="exact"/>
        <w:ind w:firstLine="645"/>
        <w:textAlignment w:val="auto"/>
        <w:rPr>
          <w:rFonts w:hint="eastAsia" w:ascii="仿宋_GB2312" w:hAnsi="微软雅黑" w:eastAsia="仿宋_GB2312" w:cs="仿宋_GB2312"/>
          <w:color w:val="333333"/>
          <w:kern w:val="2"/>
          <w:sz w:val="31"/>
          <w:szCs w:val="31"/>
          <w:highlight w:val="none"/>
          <w:shd w:val="clear" w:color="auto" w:fill="FFFFFF"/>
          <w:lang w:val="en-US" w:eastAsia="zh-CN" w:bidi="ar-SA"/>
        </w:rPr>
      </w:pPr>
      <w:r>
        <w:rPr>
          <w:rFonts w:hint="eastAsia" w:ascii="仿宋_GB2312" w:hAnsi="微软雅黑" w:eastAsia="仿宋_GB2312" w:cs="仿宋_GB2312"/>
          <w:color w:val="333333"/>
          <w:kern w:val="2"/>
          <w:sz w:val="31"/>
          <w:szCs w:val="31"/>
          <w:highlight w:val="none"/>
          <w:shd w:val="clear" w:color="auto" w:fill="FFFFFF"/>
          <w:lang w:val="en-US" w:eastAsia="zh-CN" w:bidi="ar-SA"/>
        </w:rPr>
        <w:t>11.炎陵新奥天然气门站建设项目土地出让工作经费9.1万元。用于炎陵新奥天然气门站建设项目土地出让工作的支出。</w:t>
      </w:r>
    </w:p>
    <w:p w14:paraId="0377B409">
      <w:pPr>
        <w:pStyle w:val="4"/>
        <w:keepNext w:val="0"/>
        <w:keepLines w:val="0"/>
        <w:pageBreakBefore w:val="0"/>
        <w:widowControl/>
        <w:shd w:val="clear" w:color="auto" w:fill="FFFFFF"/>
        <w:kinsoku/>
        <w:wordWrap/>
        <w:overflowPunct/>
        <w:topLinePunct w:val="0"/>
        <w:autoSpaceDE/>
        <w:autoSpaceDN/>
        <w:bidi w:val="0"/>
        <w:adjustRightInd/>
        <w:spacing w:before="0" w:beforeLines="0" w:beforeAutospacing="0" w:after="0" w:afterLines="0" w:afterAutospacing="0" w:line="480" w:lineRule="exact"/>
        <w:ind w:firstLine="645"/>
        <w:textAlignment w:val="auto"/>
        <w:rPr>
          <w:rFonts w:hint="eastAsia" w:ascii="仿宋_GB2312" w:hAnsi="微软雅黑" w:eastAsia="仿宋_GB2312" w:cs="仿宋_GB2312"/>
          <w:color w:val="333333"/>
          <w:kern w:val="2"/>
          <w:sz w:val="31"/>
          <w:szCs w:val="31"/>
          <w:highlight w:val="none"/>
          <w:shd w:val="clear" w:color="auto" w:fill="FFFFFF"/>
          <w:lang w:val="en-US" w:eastAsia="zh-CN" w:bidi="ar-SA"/>
        </w:rPr>
      </w:pPr>
      <w:r>
        <w:rPr>
          <w:rFonts w:hint="eastAsia" w:ascii="仿宋_GB2312" w:hAnsi="微软雅黑" w:eastAsia="仿宋_GB2312" w:cs="仿宋_GB2312"/>
          <w:color w:val="333333"/>
          <w:kern w:val="2"/>
          <w:sz w:val="31"/>
          <w:szCs w:val="31"/>
          <w:highlight w:val="none"/>
          <w:shd w:val="clear" w:color="auto" w:fill="FFFFFF"/>
          <w:lang w:val="en-US" w:eastAsia="zh-CN" w:bidi="ar-SA"/>
        </w:rPr>
        <w:t>12.霞阳镇炎西村洣水桥消除安全隐患资金10万元。消除洣水桥通行安全隐患，保障村民生命财产安全。</w:t>
      </w:r>
    </w:p>
    <w:p w14:paraId="5FD7863D">
      <w:pPr>
        <w:pStyle w:val="4"/>
        <w:keepNext w:val="0"/>
        <w:keepLines w:val="0"/>
        <w:pageBreakBefore w:val="0"/>
        <w:widowControl/>
        <w:shd w:val="clear" w:color="auto" w:fill="FFFFFF"/>
        <w:kinsoku/>
        <w:wordWrap/>
        <w:overflowPunct/>
        <w:topLinePunct w:val="0"/>
        <w:autoSpaceDE/>
        <w:autoSpaceDN/>
        <w:bidi w:val="0"/>
        <w:adjustRightInd/>
        <w:spacing w:before="0" w:beforeLines="0" w:beforeAutospacing="0" w:after="0" w:afterLines="0" w:afterAutospacing="0" w:line="480" w:lineRule="exact"/>
        <w:ind w:firstLine="645"/>
        <w:textAlignment w:val="auto"/>
        <w:rPr>
          <w:rFonts w:hint="eastAsia" w:ascii="仿宋_GB2312" w:hAnsi="微软雅黑" w:eastAsia="仿宋_GB2312" w:cs="仿宋_GB2312"/>
          <w:color w:val="333333"/>
          <w:kern w:val="2"/>
          <w:sz w:val="31"/>
          <w:szCs w:val="31"/>
          <w:highlight w:val="none"/>
          <w:shd w:val="clear" w:color="auto" w:fill="FFFFFF"/>
          <w:lang w:val="en-US" w:eastAsia="zh-CN" w:bidi="ar-SA"/>
        </w:rPr>
      </w:pPr>
      <w:r>
        <w:rPr>
          <w:rFonts w:hint="eastAsia" w:ascii="仿宋_GB2312" w:hAnsi="微软雅黑" w:eastAsia="仿宋_GB2312" w:cs="仿宋_GB2312"/>
          <w:color w:val="333333"/>
          <w:kern w:val="2"/>
          <w:sz w:val="31"/>
          <w:szCs w:val="31"/>
          <w:highlight w:val="none"/>
          <w:shd w:val="clear" w:color="auto" w:fill="FFFFFF"/>
          <w:lang w:val="en-US" w:eastAsia="zh-CN" w:bidi="ar-SA"/>
        </w:rPr>
        <w:t>13.潘家村以工代赈示范工程资金62.2万元。炎陵县霞阳镇潘家村以工代赈示范工程位于炎陵县霞阳镇。项目计划建设主要内容:新建道路长2500米、宽4.5米;扩建道路长3370米，原路宽3.5米，其中2000米扩宽至4.5米，1370米扩宽至4米;新建小型桥梁一座。项目建设完成的主要内容:新建道路2200米、宽4.5米;扩建道路长 1950.2米，扩宽至4.5米;新建一座小型桥梁。项目效益：</w:t>
      </w:r>
      <w:r>
        <w:rPr>
          <w:rFonts w:hint="default" w:ascii="仿宋_GB2312" w:hAnsi="微软雅黑" w:eastAsia="仿宋_GB2312" w:cs="仿宋_GB2312"/>
          <w:color w:val="333333"/>
          <w:kern w:val="2"/>
          <w:sz w:val="31"/>
          <w:szCs w:val="31"/>
          <w:highlight w:val="none"/>
          <w:shd w:val="clear" w:color="auto" w:fill="FFFFFF"/>
          <w:lang w:val="en-US" w:eastAsia="zh-CN" w:bidi="ar-SA"/>
        </w:rPr>
        <w:t>改善基础设施，促进经济发展</w:t>
      </w:r>
      <w:r>
        <w:rPr>
          <w:rFonts w:hint="eastAsia" w:ascii="仿宋_GB2312" w:hAnsi="微软雅黑" w:eastAsia="仿宋_GB2312" w:cs="仿宋_GB2312"/>
          <w:color w:val="333333"/>
          <w:kern w:val="2"/>
          <w:sz w:val="31"/>
          <w:szCs w:val="31"/>
          <w:highlight w:val="none"/>
          <w:shd w:val="clear" w:color="auto" w:fill="FFFFFF"/>
          <w:lang w:val="en-US" w:eastAsia="zh-CN" w:bidi="ar-SA"/>
        </w:rPr>
        <w:t>，交通条件显著提升，增强区域连通性。</w:t>
      </w:r>
      <w:r>
        <w:rPr>
          <w:rFonts w:hint="default" w:ascii="仿宋_GB2312" w:hAnsi="微软雅黑" w:eastAsia="仿宋_GB2312" w:cs="仿宋_GB2312"/>
          <w:color w:val="333333"/>
          <w:kern w:val="2"/>
          <w:sz w:val="31"/>
          <w:szCs w:val="31"/>
          <w:highlight w:val="none"/>
          <w:shd w:val="clear" w:color="auto" w:fill="FFFFFF"/>
          <w:lang w:val="en-US" w:eastAsia="zh-CN" w:bidi="ar-SA"/>
        </w:rPr>
        <w:t>促进就业与增收</w:t>
      </w:r>
      <w:r>
        <w:rPr>
          <w:rFonts w:hint="eastAsia" w:ascii="仿宋_GB2312" w:hAnsi="微软雅黑" w:eastAsia="仿宋_GB2312" w:cs="仿宋_GB2312"/>
          <w:color w:val="333333"/>
          <w:kern w:val="2"/>
          <w:sz w:val="31"/>
          <w:szCs w:val="31"/>
          <w:highlight w:val="none"/>
          <w:shd w:val="clear" w:color="auto" w:fill="FFFFFF"/>
          <w:lang w:val="en-US" w:eastAsia="zh-CN" w:bidi="ar-SA"/>
        </w:rPr>
        <w:t>，直接带动就业，间接促进增收。</w:t>
      </w:r>
      <w:r>
        <w:rPr>
          <w:rFonts w:hint="default" w:ascii="仿宋_GB2312" w:hAnsi="微软雅黑" w:eastAsia="仿宋_GB2312" w:cs="仿宋_GB2312"/>
          <w:color w:val="333333"/>
          <w:kern w:val="2"/>
          <w:sz w:val="31"/>
          <w:szCs w:val="31"/>
          <w:highlight w:val="none"/>
          <w:shd w:val="clear" w:color="auto" w:fill="FFFFFF"/>
          <w:lang w:val="en-US" w:eastAsia="zh-CN" w:bidi="ar-SA"/>
        </w:rPr>
        <w:t>提升生活质量，改善人居环境</w:t>
      </w:r>
      <w:r>
        <w:rPr>
          <w:rFonts w:hint="eastAsia" w:ascii="仿宋_GB2312" w:hAnsi="微软雅黑" w:eastAsia="仿宋_GB2312" w:cs="仿宋_GB2312"/>
          <w:color w:val="333333"/>
          <w:kern w:val="2"/>
          <w:sz w:val="31"/>
          <w:szCs w:val="31"/>
          <w:highlight w:val="none"/>
          <w:shd w:val="clear" w:color="auto" w:fill="FFFFFF"/>
          <w:lang w:val="en-US" w:eastAsia="zh-CN" w:bidi="ar-SA"/>
        </w:rPr>
        <w:t>，出行更加便捷安全，促进社会和谐。</w:t>
      </w:r>
    </w:p>
    <w:p w14:paraId="769009DB">
      <w:pPr>
        <w:pStyle w:val="4"/>
        <w:keepNext w:val="0"/>
        <w:keepLines w:val="0"/>
        <w:pageBreakBefore w:val="0"/>
        <w:widowControl/>
        <w:shd w:val="clear" w:color="auto" w:fill="FFFFFF"/>
        <w:kinsoku/>
        <w:wordWrap/>
        <w:overflowPunct/>
        <w:topLinePunct w:val="0"/>
        <w:autoSpaceDE/>
        <w:autoSpaceDN/>
        <w:bidi w:val="0"/>
        <w:adjustRightInd/>
        <w:spacing w:before="0" w:beforeLines="0" w:beforeAutospacing="0" w:after="0" w:afterLines="0" w:afterAutospacing="0" w:line="480" w:lineRule="exact"/>
        <w:ind w:firstLine="645"/>
        <w:textAlignment w:val="auto"/>
        <w:rPr>
          <w:rFonts w:hint="eastAsia" w:ascii="仿宋_GB2312" w:hAnsi="微软雅黑" w:eastAsia="仿宋_GB2312" w:cs="仿宋_GB2312"/>
          <w:color w:val="333333"/>
          <w:kern w:val="2"/>
          <w:sz w:val="31"/>
          <w:szCs w:val="31"/>
          <w:highlight w:val="none"/>
          <w:shd w:val="clear" w:color="auto" w:fill="FFFFFF"/>
          <w:lang w:val="en-US" w:eastAsia="zh-CN" w:bidi="ar-SA"/>
        </w:rPr>
      </w:pPr>
      <w:r>
        <w:rPr>
          <w:rFonts w:hint="eastAsia" w:ascii="仿宋_GB2312" w:hAnsi="微软雅黑" w:eastAsia="仿宋_GB2312" w:cs="仿宋_GB2312"/>
          <w:color w:val="333333"/>
          <w:kern w:val="2"/>
          <w:sz w:val="31"/>
          <w:szCs w:val="31"/>
          <w:highlight w:val="none"/>
          <w:shd w:val="clear" w:color="auto" w:fill="FFFFFF"/>
          <w:lang w:val="en-US" w:eastAsia="zh-CN" w:bidi="ar-SA"/>
        </w:rPr>
        <w:t>14.危旧自建房拆除补助资金</w:t>
      </w:r>
      <w:r>
        <w:rPr>
          <w:rFonts w:hint="eastAsia" w:ascii="仿宋_GB2312" w:hAnsi="微软雅黑" w:eastAsia="仿宋_GB2312" w:cs="仿宋_GB2312"/>
          <w:color w:val="333333"/>
          <w:kern w:val="2"/>
          <w:sz w:val="31"/>
          <w:szCs w:val="31"/>
          <w:highlight w:val="none"/>
          <w:shd w:val="clear" w:color="auto" w:fill="FFFFFF"/>
          <w:lang w:val="en-US" w:eastAsia="zh-CN" w:bidi="ar-SA"/>
        </w:rPr>
        <w:tab/>
      </w:r>
      <w:r>
        <w:rPr>
          <w:rFonts w:hint="eastAsia" w:ascii="仿宋_GB2312" w:hAnsi="微软雅黑" w:eastAsia="仿宋_GB2312" w:cs="仿宋_GB2312"/>
          <w:color w:val="333333"/>
          <w:kern w:val="2"/>
          <w:sz w:val="31"/>
          <w:szCs w:val="31"/>
          <w:highlight w:val="none"/>
          <w:shd w:val="clear" w:color="auto" w:fill="FFFFFF"/>
          <w:lang w:val="en-US" w:eastAsia="zh-CN" w:bidi="ar-SA"/>
        </w:rPr>
        <w:t>34.94万元。用于危旧自建房拆除后补助支出。</w:t>
      </w:r>
    </w:p>
    <w:p w14:paraId="29F6E782">
      <w:pPr>
        <w:pStyle w:val="4"/>
        <w:keepNext w:val="0"/>
        <w:keepLines w:val="0"/>
        <w:pageBreakBefore w:val="0"/>
        <w:widowControl/>
        <w:shd w:val="clear" w:color="auto" w:fill="FFFFFF"/>
        <w:kinsoku/>
        <w:wordWrap/>
        <w:overflowPunct/>
        <w:topLinePunct w:val="0"/>
        <w:autoSpaceDE/>
        <w:autoSpaceDN/>
        <w:bidi w:val="0"/>
        <w:adjustRightInd/>
        <w:spacing w:before="0" w:beforeLines="0" w:beforeAutospacing="0" w:after="0" w:afterLines="0" w:afterAutospacing="0" w:line="480" w:lineRule="exact"/>
        <w:ind w:firstLine="645"/>
        <w:textAlignment w:val="auto"/>
        <w:rPr>
          <w:rFonts w:hint="eastAsia" w:ascii="仿宋_GB2312" w:hAnsi="微软雅黑" w:eastAsia="仿宋_GB2312" w:cs="仿宋_GB2312"/>
          <w:color w:val="333333"/>
          <w:kern w:val="2"/>
          <w:sz w:val="31"/>
          <w:szCs w:val="31"/>
          <w:highlight w:val="none"/>
          <w:shd w:val="clear" w:color="auto" w:fill="FFFFFF"/>
          <w:lang w:val="en-US" w:eastAsia="zh-CN" w:bidi="ar-SA"/>
        </w:rPr>
      </w:pPr>
      <w:r>
        <w:rPr>
          <w:rFonts w:hint="eastAsia" w:ascii="仿宋_GB2312" w:hAnsi="微软雅黑" w:eastAsia="仿宋_GB2312" w:cs="仿宋_GB2312"/>
          <w:color w:val="333333"/>
          <w:kern w:val="2"/>
          <w:sz w:val="31"/>
          <w:szCs w:val="31"/>
          <w:highlight w:val="none"/>
          <w:shd w:val="clear" w:color="auto" w:fill="FFFFFF"/>
          <w:lang w:val="en-US" w:eastAsia="zh-CN" w:bidi="ar-SA"/>
        </w:rPr>
        <w:t>15.霞阳镇星潮村石湖组水渠维修项目资金15万元。用于星潮村石湖组水渠维修项目支出。</w:t>
      </w:r>
    </w:p>
    <w:p w14:paraId="3606B951">
      <w:pPr>
        <w:pStyle w:val="4"/>
        <w:keepNext w:val="0"/>
        <w:keepLines w:val="0"/>
        <w:pageBreakBefore w:val="0"/>
        <w:widowControl/>
        <w:shd w:val="clear" w:color="auto" w:fill="FFFFFF"/>
        <w:kinsoku/>
        <w:wordWrap/>
        <w:overflowPunct/>
        <w:topLinePunct w:val="0"/>
        <w:autoSpaceDE/>
        <w:autoSpaceDN/>
        <w:bidi w:val="0"/>
        <w:adjustRightInd/>
        <w:spacing w:before="0" w:beforeLines="0" w:beforeAutospacing="0" w:after="0" w:afterLines="0" w:afterAutospacing="0" w:line="480" w:lineRule="exact"/>
        <w:ind w:firstLine="645"/>
        <w:textAlignment w:val="auto"/>
        <w:rPr>
          <w:rFonts w:hint="eastAsia" w:ascii="仿宋_GB2312" w:hAnsi="微软雅黑" w:eastAsia="仿宋_GB2312" w:cs="仿宋_GB2312"/>
          <w:color w:val="333333"/>
          <w:kern w:val="2"/>
          <w:sz w:val="31"/>
          <w:szCs w:val="31"/>
          <w:highlight w:val="none"/>
          <w:shd w:val="clear" w:color="auto" w:fill="FFFFFF"/>
          <w:lang w:val="en-US" w:eastAsia="zh-CN" w:bidi="ar-SA"/>
        </w:rPr>
      </w:pPr>
      <w:r>
        <w:rPr>
          <w:rFonts w:hint="eastAsia" w:ascii="仿宋_GB2312" w:hAnsi="微软雅黑" w:eastAsia="仿宋_GB2312" w:cs="仿宋_GB2312"/>
          <w:color w:val="333333"/>
          <w:kern w:val="2"/>
          <w:sz w:val="31"/>
          <w:szCs w:val="31"/>
          <w:highlight w:val="none"/>
          <w:shd w:val="clear" w:color="auto" w:fill="FFFFFF"/>
          <w:lang w:val="en-US" w:eastAsia="zh-CN" w:bidi="ar-SA"/>
        </w:rPr>
        <w:t>16.新农村健身广场建设资金8万元。用于新农村健身广场建设支出。</w:t>
      </w:r>
    </w:p>
    <w:p w14:paraId="028D9F76">
      <w:pPr>
        <w:pStyle w:val="4"/>
        <w:keepNext w:val="0"/>
        <w:keepLines w:val="0"/>
        <w:pageBreakBefore w:val="0"/>
        <w:widowControl/>
        <w:shd w:val="clear" w:color="auto" w:fill="FFFFFF"/>
        <w:kinsoku/>
        <w:wordWrap/>
        <w:overflowPunct/>
        <w:topLinePunct w:val="0"/>
        <w:autoSpaceDE/>
        <w:autoSpaceDN/>
        <w:bidi w:val="0"/>
        <w:adjustRightInd/>
        <w:spacing w:before="0" w:beforeLines="0" w:beforeAutospacing="0" w:after="0" w:afterLines="0" w:afterAutospacing="0" w:line="480" w:lineRule="exact"/>
        <w:ind w:firstLine="645"/>
        <w:textAlignment w:val="auto"/>
        <w:rPr>
          <w:rFonts w:hint="default" w:ascii="仿宋_GB2312" w:hAnsi="微软雅黑" w:eastAsia="仿宋_GB2312" w:cs="仿宋_GB2312"/>
          <w:color w:val="333333"/>
          <w:kern w:val="2"/>
          <w:sz w:val="31"/>
          <w:szCs w:val="31"/>
          <w:highlight w:val="none"/>
          <w:shd w:val="clear" w:color="auto" w:fill="FFFFFF"/>
          <w:lang w:val="en-US" w:eastAsia="zh-CN" w:bidi="ar-SA"/>
        </w:rPr>
      </w:pPr>
      <w:r>
        <w:rPr>
          <w:rFonts w:hint="eastAsia" w:ascii="仿宋_GB2312" w:hAnsi="微软雅黑" w:eastAsia="仿宋_GB2312" w:cs="仿宋_GB2312"/>
          <w:color w:val="333333"/>
          <w:kern w:val="2"/>
          <w:sz w:val="31"/>
          <w:szCs w:val="31"/>
          <w:highlight w:val="none"/>
          <w:shd w:val="clear" w:color="auto" w:fill="FFFFFF"/>
          <w:lang w:val="en-US" w:eastAsia="zh-CN" w:bidi="ar-SA"/>
        </w:rPr>
        <w:t>17.国有企业退休人员社会化管理补助支出5.24万元。用于霞阳镇四个社区对国有企业退休人员进行社会化管理的补助经费。</w:t>
      </w:r>
    </w:p>
    <w:p w14:paraId="73BCAA87">
      <w:pPr>
        <w:pStyle w:val="4"/>
        <w:keepNext w:val="0"/>
        <w:keepLines w:val="0"/>
        <w:pageBreakBefore w:val="0"/>
        <w:widowControl/>
        <w:shd w:val="clear" w:color="auto" w:fill="FFFFFF"/>
        <w:kinsoku/>
        <w:wordWrap/>
        <w:overflowPunct/>
        <w:topLinePunct w:val="0"/>
        <w:autoSpaceDE/>
        <w:autoSpaceDN/>
        <w:bidi w:val="0"/>
        <w:adjustRightInd/>
        <w:spacing w:before="0" w:beforeLines="0" w:beforeAutospacing="0" w:after="0" w:afterLines="0" w:afterAutospacing="0" w:line="480" w:lineRule="exact"/>
        <w:ind w:firstLine="645"/>
        <w:textAlignment w:val="auto"/>
        <w:rPr>
          <w:rFonts w:hint="eastAsia" w:ascii="仿宋_GB2312" w:hAnsi="微软雅黑" w:eastAsia="仿宋_GB2312" w:cs="仿宋_GB2312"/>
          <w:color w:val="333333"/>
          <w:kern w:val="2"/>
          <w:sz w:val="31"/>
          <w:szCs w:val="31"/>
          <w:highlight w:val="none"/>
          <w:shd w:val="clear" w:color="auto" w:fill="FFFFFF"/>
          <w:lang w:val="en-US" w:eastAsia="zh-CN" w:bidi="ar-SA"/>
        </w:rPr>
      </w:pPr>
      <w:r>
        <w:rPr>
          <w:rFonts w:hint="eastAsia" w:ascii="仿宋_GB2312" w:hAnsi="微软雅黑" w:eastAsia="仿宋_GB2312" w:cs="仿宋_GB2312"/>
          <w:color w:val="333333"/>
          <w:kern w:val="2"/>
          <w:sz w:val="31"/>
          <w:szCs w:val="31"/>
          <w:highlight w:val="none"/>
          <w:shd w:val="clear" w:color="auto" w:fill="FFFFFF"/>
          <w:lang w:val="en-US" w:eastAsia="zh-CN" w:bidi="ar-SA"/>
        </w:rPr>
        <w:t>项目支出合计</w:t>
      </w:r>
      <w:r>
        <w:rPr>
          <w:rFonts w:hint="eastAsia" w:ascii="仿宋_GB2312" w:hAnsi="微软雅黑" w:eastAsia="仿宋_GB2312" w:cs="仿宋_GB2312"/>
          <w:color w:val="333333"/>
          <w:sz w:val="31"/>
          <w:szCs w:val="31"/>
          <w:highlight w:val="none"/>
          <w:shd w:val="clear" w:color="auto" w:fill="FFFFFF"/>
          <w:lang w:val="en-US" w:eastAsia="zh-CN" w:bidi="ar-SA"/>
        </w:rPr>
        <w:t>1722.94万</w:t>
      </w:r>
      <w:r>
        <w:rPr>
          <w:rFonts w:hint="eastAsia" w:ascii="仿宋_GB2312" w:hAnsi="微软雅黑" w:eastAsia="仿宋_GB2312" w:cs="仿宋_GB2312"/>
          <w:color w:val="333333"/>
          <w:kern w:val="2"/>
          <w:sz w:val="31"/>
          <w:szCs w:val="31"/>
          <w:highlight w:val="none"/>
          <w:shd w:val="clear" w:color="auto" w:fill="FFFFFF"/>
          <w:lang w:val="en-US" w:eastAsia="zh-CN" w:bidi="ar-SA"/>
        </w:rPr>
        <w:t>元，其中财政拨款</w:t>
      </w:r>
      <w:r>
        <w:rPr>
          <w:rFonts w:hint="eastAsia" w:ascii="仿宋_GB2312" w:hAnsi="微软雅黑" w:eastAsia="仿宋_GB2312" w:cs="仿宋_GB2312"/>
          <w:color w:val="333333"/>
          <w:sz w:val="31"/>
          <w:szCs w:val="31"/>
          <w:highlight w:val="none"/>
          <w:shd w:val="clear" w:color="auto" w:fill="FFFFFF"/>
          <w:lang w:val="en-US" w:eastAsia="zh-CN" w:bidi="ar-SA"/>
        </w:rPr>
        <w:t>1722.94万</w:t>
      </w:r>
      <w:r>
        <w:rPr>
          <w:rFonts w:hint="eastAsia" w:ascii="仿宋_GB2312" w:hAnsi="微软雅黑" w:eastAsia="仿宋_GB2312" w:cs="仿宋_GB2312"/>
          <w:color w:val="333333"/>
          <w:kern w:val="2"/>
          <w:sz w:val="31"/>
          <w:szCs w:val="31"/>
          <w:highlight w:val="none"/>
          <w:shd w:val="clear" w:color="auto" w:fill="FFFFFF"/>
          <w:lang w:val="en-US" w:eastAsia="zh-CN" w:bidi="ar-SA"/>
        </w:rPr>
        <w:t>元，其他资金0元。</w:t>
      </w:r>
    </w:p>
    <w:p w14:paraId="4B8F6B39">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0" w:beforeLines="0" w:beforeAutospacing="0" w:after="0" w:afterLines="0" w:afterAutospacing="0" w:line="480" w:lineRule="exact"/>
        <w:ind w:left="0" w:leftChars="0" w:firstLine="640" w:firstLineChars="200"/>
        <w:textAlignment w:val="auto"/>
        <w:rPr>
          <w:rFonts w:hint="eastAsia" w:ascii="Times New Roman" w:hAnsi="Times New Roman" w:eastAsia="黑体"/>
          <w:sz w:val="32"/>
          <w:szCs w:val="32"/>
          <w:highlight w:val="none"/>
          <w:lang w:eastAsia="zh-CN"/>
        </w:rPr>
      </w:pPr>
      <w:r>
        <w:rPr>
          <w:rFonts w:hint="eastAsia" w:ascii="Times New Roman" w:hAnsi="Times New Roman" w:eastAsia="黑体" w:cs="Arial"/>
          <w:snapToGrid w:val="0"/>
          <w:color w:val="000000"/>
          <w:kern w:val="0"/>
          <w:sz w:val="32"/>
          <w:szCs w:val="32"/>
          <w:lang w:val="en-US" w:eastAsia="zh-CN" w:bidi="ar"/>
        </w:rPr>
        <w:t>三、</w:t>
      </w:r>
      <w:r>
        <w:rPr>
          <w:rFonts w:hint="eastAsia" w:ascii="Times New Roman" w:hAnsi="Times New Roman" w:eastAsia="黑体"/>
          <w:sz w:val="32"/>
          <w:szCs w:val="32"/>
          <w:highlight w:val="none"/>
          <w:lang w:eastAsia="zh-CN"/>
        </w:rPr>
        <w:t>政府性基金预算支出情况</w:t>
      </w:r>
    </w:p>
    <w:p w14:paraId="0A0C3887">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0" w:beforeLines="0" w:beforeAutospacing="0" w:after="0" w:afterLines="0" w:afterAutospacing="0" w:line="480" w:lineRule="exact"/>
        <w:ind w:left="0" w:leftChars="0" w:firstLine="620" w:firstLineChars="200"/>
        <w:textAlignment w:val="auto"/>
        <w:rPr>
          <w:rFonts w:ascii="Times New Roman" w:hAnsi="Times New Roman" w:eastAsia="黑体"/>
          <w:sz w:val="32"/>
          <w:szCs w:val="32"/>
        </w:rPr>
      </w:pPr>
      <w:r>
        <w:rPr>
          <w:rFonts w:hint="eastAsia" w:ascii="仿宋_GB2312" w:hAnsi="微软雅黑" w:eastAsia="仿宋_GB2312" w:cs="仿宋_GB2312"/>
          <w:color w:val="333333"/>
          <w:kern w:val="2"/>
          <w:sz w:val="31"/>
          <w:szCs w:val="31"/>
          <w:highlight w:val="none"/>
          <w:shd w:val="clear" w:color="auto" w:fill="FFFFFF"/>
          <w:lang w:val="en-US" w:eastAsia="zh-CN" w:bidi="ar-SA"/>
        </w:rPr>
        <w:t>政府性基金预算财政拨款支出243.40万元，其中城乡社区支出236.40万元，其他支出7万元。</w:t>
      </w:r>
    </w:p>
    <w:p w14:paraId="216101D4">
      <w:pPr>
        <w:pStyle w:val="7"/>
        <w:widowControl/>
        <w:numPr>
          <w:ilvl w:val="0"/>
          <w:numId w:val="2"/>
        </w:numPr>
        <w:spacing w:line="520" w:lineRule="exact"/>
        <w:ind w:left="640" w:firstLine="0" w:firstLineChars="0"/>
        <w:jc w:val="left"/>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国有资本经营预算支出情况</w:t>
      </w:r>
    </w:p>
    <w:p w14:paraId="10A49671">
      <w:pPr>
        <w:pStyle w:val="7"/>
        <w:widowControl/>
        <w:numPr>
          <w:ilvl w:val="0"/>
          <w:numId w:val="0"/>
        </w:numPr>
        <w:spacing w:line="520" w:lineRule="exact"/>
        <w:ind w:left="640" w:leftChars="0"/>
        <w:jc w:val="left"/>
        <w:rPr>
          <w:rFonts w:hint="default" w:ascii="Times New Roman" w:hAnsi="Times New Roman" w:eastAsia="黑体"/>
          <w:sz w:val="32"/>
          <w:szCs w:val="32"/>
          <w:lang w:val="en-US" w:eastAsia="zh-CN"/>
        </w:rPr>
      </w:pPr>
      <w:r>
        <w:rPr>
          <w:rFonts w:hint="eastAsia" w:ascii="仿宋_GB2312" w:hAnsi="微软雅黑" w:eastAsia="仿宋_GB2312" w:cs="仿宋_GB2312"/>
          <w:color w:val="333333"/>
          <w:kern w:val="2"/>
          <w:sz w:val="31"/>
          <w:szCs w:val="31"/>
          <w:highlight w:val="none"/>
          <w:shd w:val="clear" w:color="auto" w:fill="FFFFFF"/>
          <w:lang w:val="en-US" w:eastAsia="zh-CN" w:bidi="ar-SA"/>
        </w:rPr>
        <w:t>国有企业退休人员社会化管理补助支出5.24万元。</w:t>
      </w:r>
    </w:p>
    <w:p w14:paraId="690EE68D">
      <w:pPr>
        <w:pStyle w:val="7"/>
        <w:widowControl/>
        <w:numPr>
          <w:ilvl w:val="0"/>
          <w:numId w:val="2"/>
        </w:numPr>
        <w:spacing w:line="520" w:lineRule="exact"/>
        <w:ind w:left="640" w:leftChars="0" w:firstLine="0" w:firstLineChars="0"/>
        <w:jc w:val="left"/>
        <w:rPr>
          <w:rFonts w:ascii="Times New Roman" w:hAnsi="Times New Roman" w:eastAsia="黑体"/>
          <w:sz w:val="32"/>
          <w:szCs w:val="32"/>
        </w:rPr>
      </w:pPr>
      <w:r>
        <w:rPr>
          <w:rFonts w:ascii="Times New Roman" w:hAnsi="Times New Roman" w:eastAsia="黑体"/>
          <w:sz w:val="32"/>
          <w:szCs w:val="32"/>
        </w:rPr>
        <w:t>社会保险基金预算支出情况</w:t>
      </w:r>
    </w:p>
    <w:p w14:paraId="182331EE">
      <w:pPr>
        <w:pStyle w:val="7"/>
        <w:keepNext w:val="0"/>
        <w:keepLines w:val="0"/>
        <w:pageBreakBefore w:val="0"/>
        <w:widowControl/>
        <w:numPr>
          <w:ilvl w:val="0"/>
          <w:numId w:val="0"/>
        </w:numPr>
        <w:kinsoku/>
        <w:wordWrap/>
        <w:overflowPunct/>
        <w:topLinePunct w:val="0"/>
        <w:autoSpaceDE/>
        <w:autoSpaceDN/>
        <w:bidi w:val="0"/>
        <w:adjustRightInd/>
        <w:spacing w:beforeLines="0" w:afterLines="0" w:line="480" w:lineRule="exact"/>
        <w:ind w:leftChars="200" w:firstLine="310" w:firstLineChars="100"/>
        <w:jc w:val="left"/>
        <w:textAlignment w:val="auto"/>
        <w:rPr>
          <w:rFonts w:ascii="Times New Roman" w:hAnsi="Times New Roman" w:eastAsia="黑体"/>
          <w:sz w:val="32"/>
          <w:szCs w:val="32"/>
        </w:rPr>
      </w:pPr>
      <w:r>
        <w:rPr>
          <w:rFonts w:hint="eastAsia" w:ascii="仿宋_GB2312" w:hAnsi="微软雅黑" w:eastAsia="仿宋_GB2312" w:cs="仿宋_GB2312"/>
          <w:color w:val="333333"/>
          <w:kern w:val="2"/>
          <w:sz w:val="31"/>
          <w:szCs w:val="31"/>
          <w:highlight w:val="none"/>
          <w:shd w:val="clear" w:color="auto" w:fill="FFFFFF"/>
          <w:lang w:val="en-US" w:eastAsia="zh-CN" w:bidi="ar-SA"/>
        </w:rPr>
        <w:t>无。</w:t>
      </w:r>
    </w:p>
    <w:p w14:paraId="7074D3E2">
      <w:pPr>
        <w:widowControl/>
        <w:spacing w:line="520" w:lineRule="exact"/>
        <w:ind w:firstLine="645"/>
        <w:jc w:val="left"/>
        <w:rPr>
          <w:rFonts w:eastAsia="黑体"/>
          <w:sz w:val="32"/>
          <w:szCs w:val="32"/>
        </w:rPr>
      </w:pPr>
      <w:r>
        <w:rPr>
          <w:rFonts w:hint="eastAsia" w:eastAsia="黑体"/>
          <w:sz w:val="32"/>
          <w:szCs w:val="32"/>
          <w:lang w:val="en-US" w:eastAsia="zh-CN"/>
        </w:rPr>
        <w:t>六</w:t>
      </w:r>
      <w:r>
        <w:rPr>
          <w:rFonts w:eastAsia="黑体"/>
          <w:sz w:val="32"/>
          <w:szCs w:val="32"/>
        </w:rPr>
        <w:t>、部门整体支出绩效情况</w:t>
      </w:r>
    </w:p>
    <w:p w14:paraId="39FB0A9A">
      <w:pPr>
        <w:keepNext w:val="0"/>
        <w:keepLines w:val="0"/>
        <w:pageBreakBefore w:val="0"/>
        <w:widowControl/>
        <w:kinsoku/>
        <w:wordWrap/>
        <w:overflowPunct/>
        <w:topLinePunct w:val="0"/>
        <w:autoSpaceDE/>
        <w:autoSpaceDN/>
        <w:bidi w:val="0"/>
        <w:adjustRightInd/>
        <w:snapToGrid/>
        <w:spacing w:beforeLines="0" w:afterLines="0" w:line="520" w:lineRule="exact"/>
        <w:ind w:firstLine="645"/>
        <w:jc w:val="left"/>
        <w:textAlignment w:val="auto"/>
        <w:rPr>
          <w:rFonts w:hint="eastAsia" w:ascii="仿宋_GB2312" w:hAnsi="微软雅黑" w:eastAsia="仿宋_GB2312" w:cs="仿宋_GB2312"/>
          <w:snapToGrid w:val="0"/>
          <w:color w:val="333333"/>
          <w:kern w:val="2"/>
          <w:sz w:val="31"/>
          <w:szCs w:val="31"/>
          <w:highlight w:val="none"/>
          <w:shd w:val="clear" w:color="auto" w:fill="FFFFFF"/>
          <w:lang w:val="en-US" w:eastAsia="zh-CN" w:bidi="ar-SA"/>
        </w:rPr>
      </w:pPr>
      <w:r>
        <w:rPr>
          <w:rFonts w:hint="eastAsia" w:ascii="仿宋_GB2312" w:hAnsi="微软雅黑" w:eastAsia="仿宋_GB2312" w:cs="仿宋_GB2312"/>
          <w:snapToGrid w:val="0"/>
          <w:color w:val="333333"/>
          <w:kern w:val="2"/>
          <w:sz w:val="31"/>
          <w:szCs w:val="31"/>
          <w:highlight w:val="none"/>
          <w:shd w:val="clear" w:color="auto" w:fill="FFFFFF"/>
          <w:lang w:val="en-US" w:eastAsia="zh-CN" w:bidi="ar-SA"/>
        </w:rPr>
        <w:t>一般公共预算、政府性基金预算完成年度绩效目标任务，保障了政府各部门资金正常使用，保障了政府各部门的正常运转，实现了一般公共预算、政府性基金预算资金的使用效益。发挥部门职责，严格执行预算资金管理，一般公共预算、政府性基金预算资金年度在履职效能、社会效应等方面，发挥了资金使用的最大效益，为我镇可持续发展、发展经济、公共服务发挥巨大作用。</w:t>
      </w:r>
    </w:p>
    <w:p w14:paraId="40A07C61">
      <w:pPr>
        <w:pStyle w:val="7"/>
        <w:widowControl/>
        <w:spacing w:line="52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lang w:val="en-US" w:eastAsia="zh-CN"/>
        </w:rPr>
        <w:t>七</w:t>
      </w:r>
      <w:r>
        <w:rPr>
          <w:rFonts w:hint="eastAsia" w:ascii="Times New Roman" w:hAnsi="Times New Roman" w:eastAsia="黑体"/>
          <w:sz w:val="32"/>
          <w:szCs w:val="32"/>
        </w:rPr>
        <w:t>、</w:t>
      </w:r>
      <w:r>
        <w:rPr>
          <w:rFonts w:ascii="Times New Roman" w:hAnsi="Times New Roman" w:eastAsia="黑体"/>
          <w:sz w:val="32"/>
          <w:szCs w:val="32"/>
        </w:rPr>
        <w:t>存在的问题及原因分析</w:t>
      </w:r>
    </w:p>
    <w:p w14:paraId="3854788C">
      <w:pPr>
        <w:keepNext w:val="0"/>
        <w:keepLines w:val="0"/>
        <w:pageBreakBefore w:val="0"/>
        <w:widowControl/>
        <w:kinsoku/>
        <w:wordWrap/>
        <w:overflowPunct/>
        <w:topLinePunct w:val="0"/>
        <w:autoSpaceDE/>
        <w:autoSpaceDN/>
        <w:bidi w:val="0"/>
        <w:adjustRightInd/>
        <w:snapToGrid/>
        <w:spacing w:beforeLines="0" w:afterLines="0" w:line="520" w:lineRule="exact"/>
        <w:ind w:firstLine="645"/>
        <w:jc w:val="left"/>
        <w:textAlignment w:val="auto"/>
        <w:rPr>
          <w:rFonts w:hint="eastAsia" w:ascii="仿宋_GB2312" w:hAnsi="微软雅黑" w:eastAsia="仿宋_GB2312" w:cs="仿宋_GB2312"/>
          <w:snapToGrid w:val="0"/>
          <w:color w:val="333333"/>
          <w:kern w:val="2"/>
          <w:sz w:val="31"/>
          <w:szCs w:val="31"/>
          <w:highlight w:val="none"/>
          <w:shd w:val="clear" w:color="auto" w:fill="FFFFFF"/>
          <w:lang w:val="en-US" w:eastAsia="zh-CN" w:bidi="ar-SA"/>
        </w:rPr>
      </w:pPr>
      <w:r>
        <w:rPr>
          <w:rFonts w:hint="eastAsia" w:ascii="仿宋_GB2312" w:hAnsi="微软雅黑" w:eastAsia="仿宋_GB2312" w:cs="仿宋_GB2312"/>
          <w:snapToGrid w:val="0"/>
          <w:color w:val="333333"/>
          <w:kern w:val="2"/>
          <w:sz w:val="31"/>
          <w:szCs w:val="31"/>
          <w:highlight w:val="none"/>
          <w:shd w:val="clear" w:color="auto" w:fill="FFFFFF"/>
          <w:lang w:val="en-US" w:eastAsia="zh-CN" w:bidi="ar-SA"/>
        </w:rPr>
        <w:t>1.差额人员多，支出口子大，每年财政赤字大。</w:t>
      </w:r>
    </w:p>
    <w:p w14:paraId="3543B84F">
      <w:pPr>
        <w:keepNext w:val="0"/>
        <w:keepLines w:val="0"/>
        <w:pageBreakBefore w:val="0"/>
        <w:widowControl/>
        <w:kinsoku/>
        <w:wordWrap/>
        <w:overflowPunct/>
        <w:topLinePunct w:val="0"/>
        <w:autoSpaceDE/>
        <w:autoSpaceDN/>
        <w:bidi w:val="0"/>
        <w:adjustRightInd/>
        <w:snapToGrid/>
        <w:spacing w:beforeLines="0" w:afterLines="0" w:line="520" w:lineRule="exact"/>
        <w:ind w:firstLine="645"/>
        <w:jc w:val="left"/>
        <w:textAlignment w:val="auto"/>
        <w:rPr>
          <w:rFonts w:eastAsia="仿宋_GB2312"/>
          <w:sz w:val="32"/>
          <w:szCs w:val="32"/>
          <w:highlight w:val="none"/>
        </w:rPr>
      </w:pPr>
      <w:r>
        <w:rPr>
          <w:rFonts w:hint="eastAsia" w:ascii="仿宋_GB2312" w:hAnsi="微软雅黑" w:eastAsia="仿宋_GB2312" w:cs="仿宋_GB2312"/>
          <w:snapToGrid w:val="0"/>
          <w:color w:val="333333"/>
          <w:kern w:val="2"/>
          <w:sz w:val="31"/>
          <w:szCs w:val="31"/>
          <w:highlight w:val="none"/>
          <w:shd w:val="clear" w:color="auto" w:fill="FFFFFF"/>
          <w:lang w:val="en-US" w:eastAsia="zh-CN" w:bidi="ar-SA"/>
        </w:rPr>
        <w:t>2.财政收入目标任务压力大，税源不足，目标任务难以完成。</w:t>
      </w:r>
    </w:p>
    <w:p w14:paraId="455796B8">
      <w:pPr>
        <w:widowControl/>
        <w:spacing w:line="520" w:lineRule="exact"/>
        <w:ind w:firstLine="640" w:firstLineChars="200"/>
        <w:jc w:val="left"/>
        <w:rPr>
          <w:rFonts w:eastAsia="黑体"/>
          <w:sz w:val="32"/>
          <w:szCs w:val="32"/>
        </w:rPr>
      </w:pPr>
      <w:r>
        <w:rPr>
          <w:rFonts w:hint="eastAsia" w:eastAsia="黑体"/>
          <w:sz w:val="32"/>
          <w:szCs w:val="32"/>
          <w:lang w:val="en-US" w:eastAsia="zh-CN"/>
        </w:rPr>
        <w:t>八</w:t>
      </w:r>
      <w:r>
        <w:rPr>
          <w:rFonts w:eastAsia="黑体"/>
          <w:sz w:val="32"/>
          <w:szCs w:val="32"/>
        </w:rPr>
        <w:t>、下一步改进措施</w:t>
      </w:r>
    </w:p>
    <w:p w14:paraId="11924CA9">
      <w:pPr>
        <w:keepNext w:val="0"/>
        <w:keepLines w:val="0"/>
        <w:pageBreakBefore w:val="0"/>
        <w:widowControl/>
        <w:kinsoku/>
        <w:wordWrap/>
        <w:overflowPunct/>
        <w:topLinePunct w:val="0"/>
        <w:autoSpaceDE/>
        <w:autoSpaceDN/>
        <w:bidi w:val="0"/>
        <w:adjustRightInd/>
        <w:snapToGrid/>
        <w:spacing w:beforeLines="0" w:afterLines="0" w:line="520" w:lineRule="exact"/>
        <w:ind w:firstLine="645"/>
        <w:jc w:val="left"/>
        <w:textAlignment w:val="auto"/>
        <w:rPr>
          <w:rFonts w:hint="eastAsia" w:ascii="仿宋_GB2312" w:hAnsi="微软雅黑" w:eastAsia="仿宋_GB2312" w:cs="仿宋_GB2312"/>
          <w:snapToGrid w:val="0"/>
          <w:color w:val="333333"/>
          <w:kern w:val="2"/>
          <w:sz w:val="31"/>
          <w:szCs w:val="31"/>
          <w:highlight w:val="none"/>
          <w:shd w:val="clear" w:color="auto" w:fill="FFFFFF"/>
          <w:lang w:val="en-US" w:eastAsia="zh-CN" w:bidi="ar-SA"/>
        </w:rPr>
      </w:pPr>
      <w:r>
        <w:rPr>
          <w:rFonts w:hint="eastAsia" w:ascii="仿宋_GB2312" w:hAnsi="微软雅黑" w:eastAsia="仿宋_GB2312" w:cs="仿宋_GB2312"/>
          <w:snapToGrid w:val="0"/>
          <w:color w:val="333333"/>
          <w:kern w:val="2"/>
          <w:sz w:val="31"/>
          <w:szCs w:val="31"/>
          <w:highlight w:val="none"/>
          <w:shd w:val="clear" w:color="auto" w:fill="FFFFFF"/>
          <w:lang w:val="en-US" w:eastAsia="zh-CN" w:bidi="ar-SA"/>
        </w:rPr>
        <w:t>进一步加大预算执行力度，高效率使用每一笔资金，把每一笔资金都用在刀刃上。</w:t>
      </w:r>
    </w:p>
    <w:p w14:paraId="21B126FB">
      <w:pPr>
        <w:keepNext w:val="0"/>
        <w:keepLines w:val="0"/>
        <w:pageBreakBefore w:val="0"/>
        <w:widowControl/>
        <w:kinsoku/>
        <w:wordWrap/>
        <w:overflowPunct/>
        <w:topLinePunct w:val="0"/>
        <w:autoSpaceDE/>
        <w:autoSpaceDN/>
        <w:bidi w:val="0"/>
        <w:adjustRightInd/>
        <w:snapToGrid/>
        <w:spacing w:beforeLines="0" w:afterLines="0" w:line="520" w:lineRule="exact"/>
        <w:ind w:firstLine="645"/>
        <w:jc w:val="left"/>
        <w:textAlignment w:val="auto"/>
        <w:rPr>
          <w:rFonts w:eastAsia="黑体"/>
          <w:sz w:val="32"/>
          <w:szCs w:val="32"/>
        </w:rPr>
      </w:pPr>
      <w:r>
        <w:rPr>
          <w:rFonts w:hint="eastAsia" w:ascii="仿宋_GB2312" w:hAnsi="微软雅黑" w:eastAsia="仿宋_GB2312" w:cs="仿宋_GB2312"/>
          <w:snapToGrid w:val="0"/>
          <w:color w:val="333333"/>
          <w:kern w:val="2"/>
          <w:sz w:val="31"/>
          <w:szCs w:val="31"/>
          <w:highlight w:val="none"/>
          <w:shd w:val="clear" w:color="auto" w:fill="FFFFFF"/>
          <w:lang w:val="en-US" w:eastAsia="zh-CN" w:bidi="ar-SA"/>
        </w:rPr>
        <w:t>进一步加强资金管理力度，严格把关资金使用情况，减少不必要的开支。</w:t>
      </w:r>
    </w:p>
    <w:p w14:paraId="47BCC704">
      <w:pPr>
        <w:widowControl/>
        <w:numPr>
          <w:ilvl w:val="0"/>
          <w:numId w:val="3"/>
        </w:numPr>
        <w:spacing w:line="520" w:lineRule="exact"/>
        <w:ind w:firstLine="645"/>
        <w:jc w:val="left"/>
        <w:rPr>
          <w:rFonts w:eastAsia="黑体"/>
          <w:sz w:val="32"/>
          <w:szCs w:val="32"/>
        </w:rPr>
      </w:pPr>
      <w:r>
        <w:rPr>
          <w:rFonts w:hint="eastAsia" w:eastAsia="黑体"/>
          <w:sz w:val="32"/>
          <w:szCs w:val="32"/>
          <w:lang w:val="en-US" w:eastAsia="zh-CN"/>
        </w:rPr>
        <w:t>绩效自评结果及</w:t>
      </w:r>
      <w:r>
        <w:rPr>
          <w:rFonts w:eastAsia="黑体"/>
          <w:sz w:val="32"/>
          <w:szCs w:val="32"/>
        </w:rPr>
        <w:t>其他需要说明的情况</w:t>
      </w:r>
    </w:p>
    <w:p w14:paraId="6C09AEA0">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default" w:eastAsia="黑体"/>
          <w:sz w:val="32"/>
          <w:szCs w:val="32"/>
          <w:lang w:val="en-US"/>
        </w:rPr>
      </w:pPr>
      <w:r>
        <w:rPr>
          <w:rFonts w:hint="eastAsia" w:ascii="Times New Roman" w:hAnsi="Times New Roman" w:eastAsia="仿宋_GB2312" w:cs="Times New Roman"/>
          <w:color w:val="000000"/>
          <w:sz w:val="32"/>
          <w:szCs w:val="32"/>
          <w:highlight w:val="none"/>
          <w:lang w:val="en-US" w:eastAsia="zh-CN"/>
        </w:rPr>
        <w:t>无。</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AB514">
    <w:pPr>
      <w:spacing w:line="176" w:lineRule="auto"/>
      <w:ind w:left="4039"/>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8E7EC"/>
    <w:multiLevelType w:val="singleLevel"/>
    <w:tmpl w:val="A418E7EC"/>
    <w:lvl w:ilvl="0" w:tentative="0">
      <w:start w:val="1"/>
      <w:numFmt w:val="chineseCounting"/>
      <w:suff w:val="nothing"/>
      <w:lvlText w:val="（%1）"/>
      <w:lvlJc w:val="left"/>
      <w:pPr>
        <w:ind w:left="-10"/>
      </w:pPr>
      <w:rPr>
        <w:rFonts w:hint="eastAsia"/>
      </w:rPr>
    </w:lvl>
  </w:abstractNum>
  <w:abstractNum w:abstractNumId="1">
    <w:nsid w:val="BF717C38"/>
    <w:multiLevelType w:val="singleLevel"/>
    <w:tmpl w:val="BF717C38"/>
    <w:lvl w:ilvl="0" w:tentative="0">
      <w:start w:val="9"/>
      <w:numFmt w:val="chineseCounting"/>
      <w:suff w:val="nothing"/>
      <w:lvlText w:val="%1、"/>
      <w:lvlJc w:val="left"/>
      <w:rPr>
        <w:rFonts w:hint="eastAsia"/>
      </w:rPr>
    </w:lvl>
  </w:abstractNum>
  <w:abstractNum w:abstractNumId="2">
    <w:nsid w:val="73DB8FBB"/>
    <w:multiLevelType w:val="singleLevel"/>
    <w:tmpl w:val="73DB8FBB"/>
    <w:lvl w:ilvl="0" w:tentative="0">
      <w:start w:val="4"/>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wYjM2OWEwNDQ4ZmQ3Yzg4MmVhMWNlZTIyZTQ4MWMifQ=="/>
  </w:docVars>
  <w:rsids>
    <w:rsidRoot w:val="00000000"/>
    <w:rsid w:val="15BF56EC"/>
    <w:rsid w:val="2BAC3E96"/>
    <w:rsid w:val="35CB6416"/>
    <w:rsid w:val="46AA46DE"/>
    <w:rsid w:val="4B4334AB"/>
    <w:rsid w:val="5403276E"/>
    <w:rsid w:val="54C57A37"/>
    <w:rsid w:val="6CF87FC7"/>
    <w:rsid w:val="70AB011F"/>
    <w:rsid w:val="73FFD633"/>
    <w:rsid w:val="79DBFF3B"/>
    <w:rsid w:val="7BFFF3D5"/>
    <w:rsid w:val="7EF75F10"/>
    <w:rsid w:val="7FEF0DD7"/>
    <w:rsid w:val="DDFF251A"/>
    <w:rsid w:val="F72FD36A"/>
    <w:rsid w:val="F9CED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0"/>
    <w:pPr>
      <w:spacing w:before="100" w:beforeLines="0" w:beforeAutospacing="1" w:after="100" w:afterLines="0" w:afterAutospacing="1"/>
      <w:jc w:val="left"/>
    </w:pPr>
    <w:rPr>
      <w:rFonts w:hint="default"/>
      <w:kern w:val="0"/>
      <w:sz w:val="24"/>
      <w:szCs w:val="24"/>
      <w:lang w:val="en-US" w:eastAsia="zh-CN" w:bidi="ar"/>
    </w:rPr>
  </w:style>
  <w:style w:type="paragraph" w:styleId="7">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3347</Words>
  <Characters>3564</Characters>
  <Lines>0</Lines>
  <Paragraphs>0</Paragraphs>
  <TotalTime>23</TotalTime>
  <ScaleCrop>false</ScaleCrop>
  <LinksUpToDate>false</LinksUpToDate>
  <CharactersWithSpaces>3566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2024-08-12T18:40:00Z</dcterms:created>
  <dc:creator>mini4use</dc:creator>
  <cp:lastModifiedBy>吖</cp:lastModifiedBy>
  <dcterms:modified xsi:type="dcterms:W3CDTF">2025-07-31T01:11:26Z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DEC29D6FF1984251977FAFE43F2C91AB_12</vt:lpwstr>
  </property>
  <property fmtid="{D5CDD505-2E9C-101B-9397-08002B2CF9AE}" pid="4" name="KSOTemplateDocerSaveRecord">
    <vt:lpwstr>eyJoZGlkIjoiNzk2OTYyZTk2NTdmMDViZWVjZDFhOGYxYTYwMjJjMjciLCJ1c2VySWQiOiIxNjY1Mjc5ODE3In0=</vt:lpwstr>
  </property>
</Properties>
</file>