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5"/>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04480666">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2024年度炎陵县垄溪乡人民政府</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部门</w:t>
      </w: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hint="eastAsia" w:eastAsia="楷体_GB2312"/>
          <w:sz w:val="32"/>
          <w:szCs w:val="32"/>
          <w:lang w:val="en-US" w:eastAsia="zh-CN"/>
        </w:rPr>
      </w:pPr>
      <w:r>
        <w:rPr>
          <w:rFonts w:hint="eastAsia" w:eastAsia="楷体_GB2312"/>
          <w:sz w:val="32"/>
          <w:szCs w:val="32"/>
          <w:lang w:val="en-US" w:eastAsia="zh-CN"/>
        </w:rPr>
        <w:t xml:space="preserve"> </w:t>
      </w:r>
    </w:p>
    <w:p w14:paraId="6BA24EBE">
      <w:pPr>
        <w:spacing w:line="600" w:lineRule="exact"/>
        <w:jc w:val="center"/>
        <w:rPr>
          <w:rFonts w:hint="eastAsia" w:eastAsia="楷体_GB2312"/>
          <w:sz w:val="32"/>
          <w:szCs w:val="32"/>
          <w:lang w:val="en-US" w:eastAsia="zh-CN"/>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单位名称：炎陵县垄溪乡人民政府</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217DEC6B">
      <w:pPr>
        <w:rPr>
          <w:rFonts w:hint="eastAsia" w:ascii="仿宋_GB2312" w:hAnsi="仿宋_GB2312" w:eastAsia="仿宋_GB2312" w:cs="仿宋_GB2312"/>
          <w:sz w:val="32"/>
          <w:szCs w:val="32"/>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12"/>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200" w:leftChars="0" w:firstLine="838" w:firstLineChars="262"/>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en-US" w:eastAsia="en-US"/>
        </w:rPr>
        <w:t>单位</w:t>
      </w:r>
      <w:r>
        <w:rPr>
          <w:rFonts w:hint="eastAsia" w:ascii="楷体_GB2312" w:hAnsi="楷体_GB2312" w:eastAsia="楷体_GB2312" w:cs="楷体_GB2312"/>
          <w:sz w:val="32"/>
          <w:szCs w:val="32"/>
          <w:lang w:val="en-US" w:eastAsia="zh-CN"/>
        </w:rPr>
        <w:t>基本情况</w:t>
      </w:r>
    </w:p>
    <w:p w14:paraId="35D359F3">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10" w:leftChars="0" w:firstLine="617" w:firstLineChars="193"/>
        <w:textAlignment w:val="baseline"/>
        <w:rPr>
          <w:rFonts w:hint="eastAsia" w:ascii="Arial" w:hAnsi="Arial"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1．机构</w:t>
      </w:r>
      <w:r>
        <w:rPr>
          <w:rFonts w:hint="eastAsia" w:ascii="Arial" w:hAnsi="Arial" w:eastAsia="仿宋_GB2312" w:cs="Arial"/>
          <w:snapToGrid w:val="0"/>
          <w:color w:val="000000"/>
          <w:kern w:val="0"/>
          <w:sz w:val="32"/>
          <w:szCs w:val="32"/>
          <w:lang w:val="en-US" w:eastAsia="zh-CN" w:bidi="ar-SA"/>
        </w:rPr>
        <w:t>情况</w:t>
      </w:r>
    </w:p>
    <w:p w14:paraId="16954266">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根据最新三定文件，我单位内设机构包括：党建党政办公室、民生事务办公室、平安法治和应急管理办公室、财政办公室、农业综合服务中心、生态事务中心、退役军人服务站、综合行政执法大队、自然资源所。</w:t>
      </w:r>
    </w:p>
    <w:p w14:paraId="39BFF701">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30" w:leftChars="0"/>
        <w:textAlignment w:val="baseline"/>
        <w:rPr>
          <w:rFonts w:hint="eastAsia" w:ascii="Arial" w:hAnsi="Arial"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2．人员情</w:t>
      </w:r>
      <w:r>
        <w:rPr>
          <w:rFonts w:hint="eastAsia" w:ascii="Arial" w:hAnsi="Arial" w:eastAsia="仿宋_GB2312" w:cs="Arial"/>
          <w:snapToGrid w:val="0"/>
          <w:color w:val="000000"/>
          <w:kern w:val="0"/>
          <w:sz w:val="32"/>
          <w:szCs w:val="32"/>
          <w:lang w:val="en-US" w:eastAsia="zh-CN" w:bidi="ar-SA"/>
        </w:rPr>
        <w:t>况</w:t>
      </w:r>
    </w:p>
    <w:p w14:paraId="5EF951F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200" w:leftChars="0" w:firstLine="838" w:firstLineChars="26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年末财政供养人数</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人，在职全额预算拨款</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政府办公厅（室）及相关机构事务</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另有差额拨款6人</w:t>
      </w:r>
      <w:r>
        <w:rPr>
          <w:rFonts w:hint="eastAsia" w:ascii="仿宋_GB2312" w:hAnsi="仿宋_GB2312" w:eastAsia="仿宋_GB2312" w:cs="仿宋_GB2312"/>
          <w:sz w:val="32"/>
          <w:szCs w:val="32"/>
          <w:lang w:val="en-US" w:eastAsia="zh-CN"/>
        </w:rPr>
        <w:t>,遗属2人</w:t>
      </w:r>
      <w:r>
        <w:rPr>
          <w:rFonts w:hint="eastAsia" w:ascii="仿宋_GB2312" w:hAnsi="仿宋_GB2312" w:eastAsia="仿宋_GB2312" w:cs="仿宋_GB2312"/>
          <w:sz w:val="32"/>
          <w:szCs w:val="32"/>
        </w:rPr>
        <w:t>。</w:t>
      </w:r>
    </w:p>
    <w:p w14:paraId="436027B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200" w:leftChars="0" w:firstLine="838" w:firstLineChars="262"/>
        <w:textAlignment w:val="baseline"/>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val="en-US" w:eastAsia="en-US"/>
        </w:rPr>
        <w:t>单位</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5F650978">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10" w:leftChars="0" w:firstLine="617" w:firstLineChars="193"/>
        <w:textAlignment w:val="baseline"/>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1.</w:t>
      </w:r>
      <w:r>
        <w:rPr>
          <w:rFonts w:hint="default" w:ascii="仿宋_GB2312" w:hAnsi="仿宋" w:eastAsia="仿宋_GB2312" w:cs="Arial"/>
          <w:snapToGrid w:val="0"/>
          <w:color w:val="000000"/>
          <w:kern w:val="0"/>
          <w:sz w:val="32"/>
          <w:szCs w:val="32"/>
          <w:lang w:val="en-US" w:eastAsia="zh-CN" w:bidi="ar-SA"/>
        </w:rPr>
        <w:t>单位年度整体支出绩效目标</w:t>
      </w:r>
    </w:p>
    <w:p w14:paraId="67787686">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仿宋_GB2312" w:hAnsi="仿宋" w:eastAsia="仿宋_GB2312" w:cs="Arial"/>
          <w:snapToGrid w:val="0"/>
          <w:color w:val="000000"/>
          <w:kern w:val="0"/>
          <w:sz w:val="32"/>
          <w:szCs w:val="32"/>
          <w:lang w:val="en-US" w:eastAsia="zh-CN" w:bidi="ar-SA"/>
        </w:rPr>
      </w:pPr>
      <w:r>
        <w:rPr>
          <w:rFonts w:hint="default" w:ascii="仿宋_GB2312" w:hAnsi="仿宋" w:eastAsia="仿宋_GB2312" w:cs="Arial"/>
          <w:snapToGrid w:val="0"/>
          <w:color w:val="000000"/>
          <w:kern w:val="0"/>
          <w:sz w:val="32"/>
          <w:szCs w:val="32"/>
          <w:lang w:val="en-US" w:eastAsia="zh-CN" w:bidi="ar-SA"/>
        </w:rPr>
        <w:t>抢机遇、谋发展，经济建设增添动能。经济指标稳中向好。</w:t>
      </w:r>
      <w:r>
        <w:rPr>
          <w:rFonts w:hint="eastAsia" w:ascii="仿宋_GB2312" w:hAnsi="仿宋" w:eastAsia="仿宋_GB2312" w:cs="Arial"/>
          <w:snapToGrid w:val="0"/>
          <w:color w:val="000000"/>
          <w:kern w:val="0"/>
          <w:sz w:val="32"/>
          <w:szCs w:val="32"/>
          <w:lang w:val="en-US" w:eastAsia="zh-CN" w:bidi="ar-SA"/>
        </w:rPr>
        <w:t>2024年度</w:t>
      </w:r>
      <w:r>
        <w:rPr>
          <w:rFonts w:hint="default" w:ascii="仿宋_GB2312" w:hAnsi="仿宋" w:eastAsia="仿宋_GB2312" w:cs="Arial"/>
          <w:snapToGrid w:val="0"/>
          <w:color w:val="000000"/>
          <w:kern w:val="0"/>
          <w:sz w:val="32"/>
          <w:szCs w:val="32"/>
          <w:lang w:val="en-US" w:eastAsia="zh-CN" w:bidi="ar-SA"/>
        </w:rPr>
        <w:t>完成财税收入248万元，完成率达到101%；完成固定资产投资2.61亿元。</w:t>
      </w:r>
    </w:p>
    <w:p w14:paraId="512334BF">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育产业、促转型，“三基地”成效显著。促进特色农业新发展。精耕炎陵黄桃产业，全乡黄桃种植面积约3500亩，年产量达2619吨。</w:t>
      </w:r>
    </w:p>
    <w:p w14:paraId="721FAFF2">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仿宋_GB2312" w:hAnsi="仿宋" w:eastAsia="仿宋_GB2312" w:cs="Arial"/>
          <w:snapToGrid w:val="0"/>
          <w:color w:val="000000"/>
          <w:kern w:val="0"/>
          <w:sz w:val="32"/>
          <w:szCs w:val="32"/>
          <w:lang w:val="en-US" w:eastAsia="zh-CN" w:bidi="ar-SA"/>
        </w:rPr>
      </w:pPr>
      <w:r>
        <w:rPr>
          <w:rFonts w:hint="default" w:ascii="仿宋_GB2312" w:hAnsi="仿宋" w:eastAsia="仿宋_GB2312" w:cs="Arial"/>
          <w:snapToGrid w:val="0"/>
          <w:color w:val="000000"/>
          <w:kern w:val="0"/>
          <w:sz w:val="32"/>
          <w:szCs w:val="32"/>
          <w:lang w:val="en-US" w:eastAsia="zh-CN" w:bidi="ar-SA"/>
        </w:rPr>
        <w:t>稳基础、促衔接，乡村振兴全面发力。压实驻村帮扶责任。严格落实驻村帮扶的日常工作，深入开展调研走访活动，共计举办屋场会8场，有效收集并解决意见和建议60余条，切实提升帮扶工作针对性和实效性。</w:t>
      </w:r>
    </w:p>
    <w:p w14:paraId="1A08F42D">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惠民生、暖民心，人民生活持续改善。民生保障切实增强。全面完成民生实事，办理乡人大代表票决民生实事项目3项，严格推进低保扩围增效，新增农村低保24户41人。加大弱势群体帮扶关爱力度，临时救助30人4.81万元，完成适老化改造15户、残疾人无障碍改造11户，两癌筛查任务完成率达105%。社会事业全面发展。</w:t>
      </w:r>
    </w:p>
    <w:p w14:paraId="1F713410">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 w:eastAsia="仿宋_GB2312"/>
          <w:sz w:val="32"/>
          <w:szCs w:val="32"/>
          <w:highlight w:val="none"/>
        </w:rPr>
      </w:pPr>
      <w:r>
        <w:rPr>
          <w:rFonts w:hint="eastAsia" w:ascii="仿宋_GB2312" w:hAnsi="仿宋" w:eastAsia="仿宋_GB2312"/>
          <w:sz w:val="32"/>
          <w:szCs w:val="32"/>
          <w:highlight w:val="none"/>
        </w:rPr>
        <w:t>强作风、提效能，自身建设不断加强。筑牢信仰之基。深入学习贯彻党的二十大、二十届三中全会精神，坚持用习近平新时代中国特色社会主义思想凝心铸魂，政治判断力、政治领悟力、政治执行力不断提高。树牢法治之魂。</w:t>
      </w:r>
    </w:p>
    <w:p w14:paraId="129C22E5">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2．专</w:t>
      </w:r>
      <w:r>
        <w:rPr>
          <w:rFonts w:hint="eastAsia" w:ascii="Arial" w:hAnsi="Arial" w:eastAsia="仿宋_GB2312" w:cs="Arial"/>
          <w:snapToGrid w:val="0"/>
          <w:color w:val="000000"/>
          <w:kern w:val="0"/>
          <w:sz w:val="32"/>
          <w:szCs w:val="32"/>
          <w:lang w:val="en-US" w:eastAsia="zh-CN" w:bidi="ar-SA"/>
        </w:rPr>
        <w:t>项资金绩效目标</w:t>
      </w:r>
    </w:p>
    <w:p w14:paraId="3EBDC015">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无。</w:t>
      </w:r>
    </w:p>
    <w:p w14:paraId="31EDA6AA">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3．其</w:t>
      </w:r>
      <w:r>
        <w:rPr>
          <w:rFonts w:hint="eastAsia" w:ascii="Arial" w:hAnsi="Arial" w:eastAsia="仿宋_GB2312" w:cs="Arial"/>
          <w:snapToGrid w:val="0"/>
          <w:color w:val="000000"/>
          <w:kern w:val="0"/>
          <w:sz w:val="32"/>
          <w:szCs w:val="32"/>
          <w:lang w:val="en-US" w:eastAsia="zh-CN" w:bidi="ar-SA"/>
        </w:rPr>
        <w:t>他项目支出（除专项资金以外）绩效目标</w:t>
      </w:r>
    </w:p>
    <w:p w14:paraId="118D91FA">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仿宋_GB2312" w:hAnsi="仿宋" w:eastAsia="仿宋_GB2312"/>
          <w:sz w:val="32"/>
          <w:szCs w:val="32"/>
          <w:highlight w:val="none"/>
          <w:lang w:val="en-US" w:eastAsia="zh-CN"/>
        </w:rPr>
      </w:pPr>
      <w:r>
        <w:rPr>
          <w:rFonts w:hint="eastAsia" w:ascii="Arial" w:hAnsi="Arial" w:eastAsia="仿宋_GB2312" w:cs="Arial"/>
          <w:snapToGrid w:val="0"/>
          <w:color w:val="000000"/>
          <w:kern w:val="0"/>
          <w:sz w:val="32"/>
          <w:szCs w:val="32"/>
          <w:lang w:val="en-US" w:eastAsia="zh-CN" w:bidi="ar-SA"/>
        </w:rPr>
        <w:t>无。</w:t>
      </w:r>
    </w:p>
    <w:p w14:paraId="1F8A6FF3">
      <w:pPr>
        <w:ind w:firstLine="420" w:firstLineChars="200"/>
        <w:rPr>
          <w:rFonts w:hint="eastAsia"/>
        </w:rPr>
      </w:pPr>
    </w:p>
    <w:p w14:paraId="7587B28A">
      <w:pPr>
        <w:pStyle w:val="12"/>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640" w:firstLine="0" w:firstLineChars="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5BC4E34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楷体_GB2312" w:hAnsi="楷体_GB2312" w:eastAsia="仿宋_GB2312" w:cs="楷体_GB2312"/>
          <w:sz w:val="32"/>
          <w:szCs w:val="32"/>
          <w:lang w:val="en-US"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年度一般公共预算基本支出</w:t>
      </w:r>
      <w:r>
        <w:rPr>
          <w:rFonts w:hint="eastAsia" w:ascii="仿宋_GB2312" w:hAnsi="仿宋" w:eastAsia="仿宋_GB2312"/>
          <w:sz w:val="32"/>
          <w:szCs w:val="32"/>
          <w:lang w:val="en-US" w:eastAsia="zh-CN"/>
        </w:rPr>
        <w:t>966.63</w:t>
      </w:r>
      <w:r>
        <w:rPr>
          <w:rFonts w:hint="eastAsia" w:ascii="仿宋_GB2312" w:hAnsi="仿宋_GB2312" w:eastAsia="仿宋_GB2312" w:cs="仿宋_GB2312"/>
          <w:sz w:val="32"/>
          <w:szCs w:val="32"/>
          <w:lang w:val="en-US" w:eastAsia="zh-CN"/>
        </w:rPr>
        <w:t>万</w:t>
      </w:r>
      <w:r>
        <w:rPr>
          <w:rFonts w:hint="eastAsia" w:ascii="仿宋_GB2312" w:hAnsi="仿宋" w:eastAsia="仿宋_GB2312"/>
          <w:sz w:val="32"/>
          <w:szCs w:val="32"/>
        </w:rPr>
        <w:t>元，占总支出的</w:t>
      </w:r>
      <w:r>
        <w:rPr>
          <w:rFonts w:hint="eastAsia" w:ascii="仿宋_GB2312" w:hAnsi="仿宋" w:eastAsia="仿宋_GB2312"/>
          <w:sz w:val="32"/>
          <w:szCs w:val="32"/>
          <w:lang w:val="en-US" w:eastAsia="zh-CN"/>
        </w:rPr>
        <w:t>81.3</w:t>
      </w:r>
      <w:r>
        <w:rPr>
          <w:rFonts w:hint="eastAsia" w:ascii="仿宋_GB2312" w:hAnsi="仿宋" w:eastAsia="仿宋_GB2312"/>
          <w:sz w:val="32"/>
          <w:szCs w:val="32"/>
        </w:rPr>
        <w:t>%</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其中，按支出经济分类：工资福利支出</w:t>
      </w:r>
      <w:r>
        <w:rPr>
          <w:rFonts w:hint="eastAsia" w:ascii="仿宋_GB2312" w:hAnsi="仿宋" w:eastAsia="仿宋_GB2312" w:cs="Times New Roman"/>
          <w:sz w:val="32"/>
          <w:szCs w:val="32"/>
          <w:lang w:val="en-US" w:eastAsia="zh-CN"/>
        </w:rPr>
        <w:t>716.45万元，商品和服务支出248.32万元，对个人和家庭的补助支出1.86万元；按支出功能分类：一般公共服务支出475.3万元，公共安全支出0.5万元，科学技术支出84.26万元，文化旅游体育与传媒支出4.75万元，社会保障和就业支出73.6万元，城乡社区支出135.67万元，卫生健康支出42.99万元，农林水支出263.22万元，住房保障支出57.9万元，灾害防治及应急管理支出20.9万元，其他支出29.87万元。</w:t>
      </w:r>
    </w:p>
    <w:p w14:paraId="7C11EFB6">
      <w:pPr>
        <w:pStyle w:val="12"/>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40" w:firstLine="0" w:firstLineChars="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项目支出情况</w:t>
      </w:r>
    </w:p>
    <w:p w14:paraId="0A2B72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eastAsia="仿宋_GB2312"/>
          <w:sz w:val="32"/>
          <w:szCs w:val="32"/>
        </w:rPr>
      </w:pPr>
      <w:r>
        <w:rPr>
          <w:rFonts w:hint="eastAsia" w:ascii="仿宋_GB2312" w:hAnsi="仿宋" w:eastAsia="仿宋_GB2312" w:cs="Arial"/>
          <w:snapToGrid w:val="0"/>
          <w:color w:val="000000"/>
          <w:kern w:val="0"/>
          <w:sz w:val="32"/>
          <w:szCs w:val="32"/>
          <w:lang w:val="en-US" w:eastAsia="zh-CN" w:bidi="ar-SA"/>
        </w:rPr>
        <w:t>1．2024年</w:t>
      </w:r>
      <w:r>
        <w:rPr>
          <w:rFonts w:eastAsia="仿宋_GB2312"/>
          <w:sz w:val="32"/>
          <w:szCs w:val="32"/>
        </w:rPr>
        <w:t>度专项资金安排和使用管理情况</w:t>
      </w:r>
    </w:p>
    <w:p w14:paraId="6B212EE3">
      <w:pPr>
        <w:pStyle w:val="2"/>
        <w:rPr>
          <w:rFonts w:hint="default" w:eastAsia="仿宋_GB2312"/>
          <w:lang w:val="en-US" w:eastAsia="zh-CN"/>
        </w:rPr>
      </w:pPr>
      <w:r>
        <w:rPr>
          <w:rFonts w:hint="eastAsia" w:eastAsia="仿宋_GB2312"/>
          <w:sz w:val="32"/>
          <w:szCs w:val="32"/>
          <w:lang w:val="en-US" w:eastAsia="zh-CN"/>
        </w:rPr>
        <w:t>无。</w:t>
      </w:r>
    </w:p>
    <w:p w14:paraId="7AC3444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2．除专项资金以外的其他项目支出情况</w:t>
      </w:r>
    </w:p>
    <w:p w14:paraId="70C27F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 w:eastAsia="仿宋_GB2312" w:cs="Times New Roman"/>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年度一般公共预算项目支出</w:t>
      </w:r>
      <w:r>
        <w:rPr>
          <w:rFonts w:hint="eastAsia" w:ascii="仿宋_GB2312" w:hAnsi="仿宋" w:eastAsia="仿宋_GB2312"/>
          <w:sz w:val="32"/>
          <w:szCs w:val="32"/>
          <w:lang w:val="en-US" w:eastAsia="zh-CN"/>
        </w:rPr>
        <w:t>67.66</w:t>
      </w:r>
      <w:r>
        <w:rPr>
          <w:rFonts w:hint="eastAsia" w:ascii="仿宋_GB2312" w:hAnsi="仿宋_GB2312" w:eastAsia="仿宋_GB2312" w:cs="仿宋_GB2312"/>
          <w:sz w:val="32"/>
          <w:szCs w:val="32"/>
          <w:lang w:val="en-US" w:eastAsia="zh-CN"/>
        </w:rPr>
        <w:t>万</w:t>
      </w:r>
      <w:r>
        <w:rPr>
          <w:rFonts w:hint="eastAsia" w:ascii="仿宋_GB2312" w:hAnsi="仿宋" w:eastAsia="仿宋_GB2312" w:cs="Times New Roman"/>
          <w:sz w:val="32"/>
          <w:szCs w:val="32"/>
        </w:rPr>
        <w:t>元，占总支出的</w:t>
      </w:r>
      <w:r>
        <w:rPr>
          <w:rFonts w:hint="eastAsia" w:ascii="仿宋_GB2312" w:hAnsi="仿宋" w:eastAsia="仿宋_GB2312" w:cs="Times New Roman"/>
          <w:sz w:val="32"/>
          <w:szCs w:val="32"/>
          <w:lang w:val="en-US" w:eastAsia="zh-CN"/>
        </w:rPr>
        <w:t>5.69</w:t>
      </w:r>
      <w:r>
        <w:rPr>
          <w:rFonts w:hint="eastAsia" w:ascii="仿宋_GB2312" w:hAnsi="仿宋" w:eastAsia="仿宋_GB2312" w:cs="Times New Roman"/>
          <w:sz w:val="32"/>
          <w:szCs w:val="32"/>
        </w:rPr>
        <w:t>%。</w:t>
      </w:r>
    </w:p>
    <w:p w14:paraId="471D3E2B">
      <w:pPr>
        <w:widowControl/>
        <w:spacing w:line="520" w:lineRule="exact"/>
        <w:ind w:firstLine="640" w:firstLineChars="200"/>
        <w:jc w:val="left"/>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（1）垄溪乡Y502线进入集镇区段道路修复工程1.76万元。</w:t>
      </w:r>
    </w:p>
    <w:p w14:paraId="2BAACD35">
      <w:pPr>
        <w:widowControl/>
        <w:spacing w:line="520" w:lineRule="exact"/>
        <w:ind w:firstLine="640" w:firstLineChars="200"/>
        <w:jc w:val="left"/>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因炎陵县垄溪乡Y502线进入集镇区段道路破损严重，为确保道路通畅以及过往行人安全，现将部分路面进行沥青修复。项目内容：修复破损路面99.04平方米进行锯缝凿除，沥青混泥土路面7cm面积75025平方米，15cm面积23.79平方米，挖机清理水沟1公里及外运淤泥。项目效益：保障了道路畅通及行人交通安全。</w:t>
      </w:r>
    </w:p>
    <w:p w14:paraId="361758D2">
      <w:pPr>
        <w:widowControl/>
        <w:numPr>
          <w:ilvl w:val="0"/>
          <w:numId w:val="0"/>
        </w:numPr>
        <w:spacing w:line="520" w:lineRule="exact"/>
        <w:ind w:firstLine="640" w:firstLineChars="200"/>
        <w:jc w:val="left"/>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（2）垄溪乡茶垅村主干道扩宽工程25.99万元。</w:t>
      </w:r>
    </w:p>
    <w:p w14:paraId="1130C161">
      <w:pPr>
        <w:widowControl/>
        <w:numPr>
          <w:ilvl w:val="0"/>
          <w:numId w:val="0"/>
        </w:numPr>
        <w:spacing w:line="520" w:lineRule="exact"/>
        <w:ind w:firstLine="640" w:firstLineChars="200"/>
        <w:jc w:val="left"/>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sz w:val="32"/>
          <w:szCs w:val="32"/>
          <w:lang w:val="en-US" w:eastAsia="zh-CN"/>
        </w:rPr>
        <w:t>茶垅村主要交通要道较狭窄，给货物运输造成较大困难，为更好，提高运输安全，村主要干道急需维扩宽。项目效益：方便茶垅村村民出行问题。解决茶垅村受益群众989人，其中脱贫户39户，脱贫人口156人，为更好提高村民运输安全。</w:t>
      </w:r>
    </w:p>
    <w:p w14:paraId="7CD6D1CE">
      <w:pPr>
        <w:widowControl/>
        <w:numPr>
          <w:ilvl w:val="0"/>
          <w:numId w:val="0"/>
        </w:numPr>
        <w:spacing w:line="520" w:lineRule="exact"/>
        <w:ind w:firstLine="640" w:firstLineChars="200"/>
        <w:jc w:val="left"/>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（3）垄溪乡龙溪村雷家组道路建设工程10万元。</w:t>
      </w:r>
    </w:p>
    <w:p w14:paraId="68DAF26E">
      <w:pPr>
        <w:widowControl/>
        <w:spacing w:line="520" w:lineRule="exact"/>
        <w:ind w:firstLine="640" w:firstLineChars="200"/>
        <w:jc w:val="left"/>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垄溪乡龙溪村雷家组原有道路拱桥组至西坑组道路还是2007年硬化的，只有3.5米宽，这些年车辆迅速增加，交通压力大，给村民出行带来很多不便，及安全隐患，另雷家组有人口40余人强烈要求将本组252.7米道路硬化，坚持以人为本，民生优先的原则，决定将雷家组道路硬化，拱桥组至西坑组道路扩宽硬化。项目内容：雷家组道路硬化252.7米，完成混泥土硬化168.13立方米，拱桥组至西坑组道路扩宽植筋硬化580.2米，完成植筋混泥土硬化161.35立方米，浆砌石方32.33立方米，</w:t>
      </w:r>
      <w:r>
        <w:rPr>
          <w:rFonts w:hint="default" w:ascii="仿宋_GB2312" w:hAnsi="仿宋" w:eastAsia="仿宋_GB2312" w:cs="Arial"/>
          <w:snapToGrid w:val="0"/>
          <w:color w:val="000000"/>
          <w:kern w:val="0"/>
          <w:sz w:val="32"/>
          <w:szCs w:val="32"/>
          <w:lang w:val="en-US" w:eastAsia="zh-CN" w:bidi="ar-SA"/>
        </w:rPr>
        <w:t>完成</w:t>
      </w:r>
      <w:r>
        <w:rPr>
          <w:rFonts w:hint="eastAsia" w:ascii="仿宋_GB2312" w:hAnsi="仿宋" w:eastAsia="仿宋_GB2312" w:cs="Arial"/>
          <w:snapToGrid w:val="0"/>
          <w:color w:val="000000"/>
          <w:kern w:val="0"/>
          <w:sz w:val="32"/>
          <w:szCs w:val="32"/>
          <w:lang w:val="en-US" w:eastAsia="zh-CN" w:bidi="ar-SA"/>
        </w:rPr>
        <w:t>龙溪</w:t>
      </w:r>
      <w:r>
        <w:rPr>
          <w:rFonts w:hint="default" w:ascii="仿宋_GB2312" w:hAnsi="仿宋" w:eastAsia="仿宋_GB2312" w:cs="Arial"/>
          <w:snapToGrid w:val="0"/>
          <w:color w:val="000000"/>
          <w:kern w:val="0"/>
          <w:sz w:val="32"/>
          <w:szCs w:val="32"/>
          <w:lang w:val="en-US" w:eastAsia="zh-CN" w:bidi="ar-SA"/>
        </w:rPr>
        <w:t>村</w:t>
      </w:r>
      <w:r>
        <w:rPr>
          <w:rFonts w:hint="eastAsia" w:ascii="仿宋_GB2312" w:hAnsi="仿宋" w:eastAsia="仿宋_GB2312" w:cs="Arial"/>
          <w:snapToGrid w:val="0"/>
          <w:color w:val="000000"/>
          <w:kern w:val="0"/>
          <w:sz w:val="32"/>
          <w:szCs w:val="32"/>
          <w:lang w:val="en-US" w:eastAsia="zh-CN" w:bidi="ar-SA"/>
        </w:rPr>
        <w:t>道路硬化及道路扩宽</w:t>
      </w:r>
      <w:r>
        <w:rPr>
          <w:rFonts w:hint="default" w:ascii="仿宋_GB2312" w:hAnsi="仿宋" w:eastAsia="仿宋_GB2312" w:cs="Arial"/>
          <w:snapToGrid w:val="0"/>
          <w:color w:val="000000"/>
          <w:kern w:val="0"/>
          <w:sz w:val="32"/>
          <w:szCs w:val="32"/>
          <w:lang w:val="en-US" w:eastAsia="zh-CN" w:bidi="ar-SA"/>
        </w:rPr>
        <w:t>项目工程。</w:t>
      </w:r>
      <w:r>
        <w:rPr>
          <w:rFonts w:hint="eastAsia" w:ascii="仿宋_GB2312" w:hAnsi="仿宋" w:eastAsia="仿宋_GB2312" w:cs="Arial"/>
          <w:snapToGrid w:val="0"/>
          <w:color w:val="000000"/>
          <w:kern w:val="0"/>
          <w:sz w:val="32"/>
          <w:szCs w:val="32"/>
          <w:lang w:val="en-US" w:eastAsia="zh-CN" w:bidi="ar-SA"/>
        </w:rPr>
        <w:t>项目效益：改善了龙溪村的农户出行，受益户数150余户，受益人口600余人，提高了村民的满意指数。</w:t>
      </w:r>
    </w:p>
    <w:p w14:paraId="75AA2CE1">
      <w:pPr>
        <w:widowControl/>
        <w:numPr>
          <w:ilvl w:val="0"/>
          <w:numId w:val="0"/>
        </w:numPr>
        <w:spacing w:line="520" w:lineRule="exact"/>
        <w:ind w:firstLine="640" w:firstLineChars="200"/>
        <w:jc w:val="left"/>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（4）垄溪乡三口龙村栏棚组道路护坡工程4万元。</w:t>
      </w:r>
    </w:p>
    <w:p w14:paraId="7B75E81C">
      <w:pPr>
        <w:widowControl/>
        <w:numPr>
          <w:ilvl w:val="0"/>
          <w:numId w:val="0"/>
        </w:numPr>
        <w:spacing w:line="520" w:lineRule="exact"/>
        <w:ind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三口龙村</w:t>
      </w:r>
      <w:r>
        <w:rPr>
          <w:rFonts w:hint="eastAsia" w:ascii="仿宋_GB2312" w:hAnsi="仿宋" w:eastAsia="仿宋_GB2312" w:cs="Arial"/>
          <w:snapToGrid w:val="0"/>
          <w:color w:val="000000"/>
          <w:kern w:val="0"/>
          <w:sz w:val="32"/>
          <w:szCs w:val="32"/>
          <w:lang w:val="en-US" w:eastAsia="zh-CN" w:bidi="ar-SA"/>
        </w:rPr>
        <w:t>栏棚组道路问题</w:t>
      </w:r>
      <w:r>
        <w:rPr>
          <w:rFonts w:hint="eastAsia" w:ascii="仿宋_GB2312" w:hAnsi="仿宋" w:eastAsia="仿宋_GB2312"/>
          <w:sz w:val="32"/>
          <w:szCs w:val="32"/>
          <w:lang w:val="en-US" w:eastAsia="zh-CN"/>
        </w:rPr>
        <w:t>严重影响村民林木资源运输及生产出行安全。项目内容：三口龙村栏棚组道路护坡工程项目长约19米，宽2.5米项目工程，预计现浇混泥土方量81.7立方米，浆砌石28.5立方米预计投资51638.5元。项目效益：工程完工后，受益人口涉及6个村民小组128余户447余人，其中建档立卡户23户83余人。同时标注着我村的交通基础设施向前迈出了大步，解决村民的林木资源运输及生产出行安全的问题，对我村集体收入及村民收入起到了重要作用，村对该工程项目非常满意，满意度达到100%，</w:t>
      </w:r>
    </w:p>
    <w:p w14:paraId="078737BB">
      <w:pPr>
        <w:widowControl/>
        <w:spacing w:line="520" w:lineRule="exact"/>
        <w:ind w:firstLine="640" w:firstLineChars="200"/>
        <w:jc w:val="left"/>
        <w:rPr>
          <w:rFonts w:hint="default" w:ascii="仿宋_GB2312" w:hAnsi="仿宋" w:eastAsia="仿宋_GB2312"/>
          <w:sz w:val="32"/>
          <w:szCs w:val="32"/>
          <w:lang w:val="en-US" w:eastAsia="zh-CN"/>
        </w:rPr>
      </w:pPr>
      <w:r>
        <w:rPr>
          <w:rFonts w:hint="eastAsia" w:ascii="仿宋_GB2312" w:hAnsi="仿宋" w:eastAsia="仿宋_GB2312" w:cs="Arial"/>
          <w:snapToGrid w:val="0"/>
          <w:color w:val="000000"/>
          <w:kern w:val="0"/>
          <w:sz w:val="32"/>
          <w:szCs w:val="32"/>
          <w:lang w:val="en-US" w:eastAsia="zh-CN" w:bidi="ar-SA"/>
        </w:rPr>
        <w:t>（5）</w:t>
      </w:r>
      <w:r>
        <w:rPr>
          <w:rFonts w:hint="eastAsia" w:ascii="仿宋_GB2312" w:hAnsi="仿宋" w:eastAsia="仿宋_GB2312"/>
          <w:sz w:val="32"/>
          <w:szCs w:val="32"/>
          <w:lang w:val="en-US" w:eastAsia="zh-CN"/>
        </w:rPr>
        <w:t>垄溪乡菜坪村水沟损毁修复工程5万元。</w:t>
      </w:r>
    </w:p>
    <w:p w14:paraId="6B452CFB">
      <w:pPr>
        <w:widowControl/>
        <w:spacing w:line="520" w:lineRule="exact"/>
        <w:ind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为降低自然灾害风险，改善主干道道路空板、悬板、塌陷情况，保护百姓生命财产安全，改善农田灌溉200余亩，促进经济社会发展。项目内容：村委会起点，向五斗组方向主干道，建设625米水沟，水沟规格宽高厚30*20*10CM，水沟清基、搬运土方、回填土方。项目效益：按时、保质、保量完成水沟损毁修复建设，实现菜坪村增加沟625米、改善农田灌溉200余亩、改善主干道道路空板、悬板、塌陷等情况。</w:t>
      </w:r>
    </w:p>
    <w:p w14:paraId="0A44378C">
      <w:pPr>
        <w:widowControl/>
        <w:spacing w:line="520" w:lineRule="exact"/>
        <w:ind w:firstLine="640" w:firstLineChars="200"/>
        <w:jc w:val="left"/>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（6）垄溪乡龙溪村地质灾害治理项目5.9万元。</w:t>
      </w:r>
    </w:p>
    <w:p w14:paraId="7F1BB76E">
      <w:pPr>
        <w:widowControl/>
        <w:numPr>
          <w:ilvl w:val="0"/>
          <w:numId w:val="0"/>
        </w:numPr>
        <w:kinsoku w:val="0"/>
        <w:autoSpaceDE w:val="0"/>
        <w:autoSpaceDN w:val="0"/>
        <w:adjustRightInd w:val="0"/>
        <w:snapToGrid w:val="0"/>
        <w:spacing w:line="520" w:lineRule="exact"/>
        <w:jc w:val="left"/>
        <w:textAlignment w:val="baseline"/>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因雨水天气导致龙溪村道路损毁，造成村民出行与货运交通不便。项目内容：土垒组水毁道路垮方浆砌石方护坡190.44立方米。项目效益：保障村民出行安全，消除安全隐患。</w:t>
      </w:r>
    </w:p>
    <w:p w14:paraId="56ED4E96">
      <w:pPr>
        <w:widowControl/>
        <w:spacing w:line="520" w:lineRule="exact"/>
        <w:ind w:firstLine="640" w:firstLineChars="200"/>
        <w:jc w:val="left"/>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（7）垄溪乡茶垅村自然灾害应急维修工程4.81万元。</w:t>
      </w:r>
    </w:p>
    <w:p w14:paraId="16B1176A">
      <w:pPr>
        <w:widowControl/>
        <w:spacing w:line="520" w:lineRule="exact"/>
        <w:ind w:firstLine="640" w:firstLineChars="200"/>
        <w:jc w:val="left"/>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茶垅村主要交通要道自然灾害受损严重，给货物运输造成较大困难，为更好加强运输安全，村道路急需维修。项目效益：方便茶垅村民出行问题，收益群众987人，其中脱贫户39户，脱贫人哭151人，消除安全隐患，方便村民出行。</w:t>
      </w:r>
    </w:p>
    <w:p w14:paraId="08CDA7AB">
      <w:pPr>
        <w:widowControl/>
        <w:numPr>
          <w:ilvl w:val="0"/>
          <w:numId w:val="0"/>
        </w:numPr>
        <w:spacing w:line="520" w:lineRule="exact"/>
        <w:ind w:firstLine="640" w:firstLineChars="200"/>
        <w:jc w:val="left"/>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（8）垄溪乡菜坪村道路灾后修复工程0.68万元。</w:t>
      </w:r>
    </w:p>
    <w:p w14:paraId="24D024B5">
      <w:pPr>
        <w:widowControl/>
        <w:spacing w:line="520" w:lineRule="exact"/>
        <w:ind w:firstLine="640" w:firstLineChars="200"/>
        <w:jc w:val="left"/>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因雨水天气造成村级道路及组道多处塌方，对村民造成出行不便，影响出行安全。项目内容：清除菜坪村道路所有塌方土石柴草垃圾，整平路面，填实路基，疏通塌方处排水沟。项目效益：保障村民出行安全，收益群众达530余人。</w:t>
      </w:r>
    </w:p>
    <w:p w14:paraId="26B1DD8C">
      <w:pPr>
        <w:widowControl/>
        <w:numPr>
          <w:ilvl w:val="0"/>
          <w:numId w:val="0"/>
        </w:numPr>
        <w:kinsoku w:val="0"/>
        <w:autoSpaceDE w:val="0"/>
        <w:autoSpaceDN w:val="0"/>
        <w:adjustRightInd w:val="0"/>
        <w:snapToGrid w:val="0"/>
        <w:spacing w:line="520" w:lineRule="exact"/>
        <w:ind w:left="640" w:leftChars="0"/>
        <w:jc w:val="left"/>
        <w:textAlignment w:val="baseline"/>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（9）垄溪乡秋田村应急护坡及垮方、水圳清理工程1.98万元。</w:t>
      </w:r>
    </w:p>
    <w:p w14:paraId="7B0DFF9F">
      <w:pPr>
        <w:widowControl/>
        <w:numPr>
          <w:ilvl w:val="0"/>
          <w:numId w:val="0"/>
        </w:numPr>
        <w:kinsoku w:val="0"/>
        <w:autoSpaceDE w:val="0"/>
        <w:autoSpaceDN w:val="0"/>
        <w:adjustRightInd w:val="0"/>
        <w:snapToGrid w:val="0"/>
        <w:spacing w:line="520" w:lineRule="exact"/>
        <w:ind w:left="640" w:leftChars="0"/>
        <w:jc w:val="left"/>
        <w:textAlignment w:val="baseline"/>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因雨水天气造成秋田村多处道路垮方，道路交通受阻。项目内容：均田组石坑、大湾组主干道垮方、水圳清理。项目效益：方便群众出行和进行生产物资运输，确保人民群众生命财产安全，受益人达211人，其中脱贫户10户，收益面积达20余亩。</w:t>
      </w:r>
    </w:p>
    <w:p w14:paraId="03F946A4">
      <w:pPr>
        <w:widowControl/>
        <w:numPr>
          <w:ilvl w:val="0"/>
          <w:numId w:val="0"/>
        </w:numPr>
        <w:kinsoku w:val="0"/>
        <w:autoSpaceDE w:val="0"/>
        <w:autoSpaceDN w:val="0"/>
        <w:adjustRightInd w:val="0"/>
        <w:snapToGrid w:val="0"/>
        <w:spacing w:line="520" w:lineRule="exact"/>
        <w:ind w:left="640" w:leftChars="0"/>
        <w:jc w:val="left"/>
        <w:textAlignment w:val="baseline"/>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（10）垄溪乡仙坪村因灾损毁房屋修缮工程1.07万元。</w:t>
      </w:r>
    </w:p>
    <w:p w14:paraId="215023A1">
      <w:pPr>
        <w:widowControl/>
        <w:numPr>
          <w:ilvl w:val="0"/>
          <w:numId w:val="0"/>
        </w:numPr>
        <w:kinsoku w:val="0"/>
        <w:autoSpaceDE w:val="0"/>
        <w:autoSpaceDN w:val="0"/>
        <w:adjustRightInd w:val="0"/>
        <w:snapToGrid w:val="0"/>
        <w:spacing w:line="520" w:lineRule="exact"/>
        <w:jc w:val="left"/>
        <w:textAlignment w:val="baseline"/>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仙坪村两江组村民刘芬芳现住房屋为土胚房，今年因灾受损，给居住带来安全隐患。项目效益：解决刘芬芳加因灾损毁房屋，消除安全隐患。</w:t>
      </w:r>
    </w:p>
    <w:p w14:paraId="42DDF908">
      <w:pPr>
        <w:widowControl/>
        <w:numPr>
          <w:ilvl w:val="0"/>
          <w:numId w:val="0"/>
        </w:numPr>
        <w:kinsoku w:val="0"/>
        <w:autoSpaceDE w:val="0"/>
        <w:autoSpaceDN w:val="0"/>
        <w:adjustRightInd w:val="0"/>
        <w:snapToGrid w:val="0"/>
        <w:spacing w:line="520" w:lineRule="exact"/>
        <w:jc w:val="left"/>
        <w:textAlignment w:val="baseline"/>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 xml:space="preserve">    （11）垄溪乡龙溪村水毁道路维修工程4.47万元。</w:t>
      </w:r>
    </w:p>
    <w:p w14:paraId="5603A286">
      <w:pPr>
        <w:widowControl/>
        <w:numPr>
          <w:ilvl w:val="0"/>
          <w:numId w:val="0"/>
        </w:numPr>
        <w:kinsoku w:val="0"/>
        <w:autoSpaceDE w:val="0"/>
        <w:autoSpaceDN w:val="0"/>
        <w:adjustRightInd w:val="0"/>
        <w:snapToGrid w:val="0"/>
        <w:spacing w:line="520" w:lineRule="exact"/>
        <w:jc w:val="left"/>
        <w:textAlignment w:val="baseline"/>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因雨水天气，导致龙溪村内几处道路损毁，对村民出行与农副产品运输造成不便。项目内容：石盘组、拱桥组、下垒组和金钩组四处道路修复。项目效益：保障了村民出行和物资运输的交通安全，受益户数150余户，受益人口600余人，其中建档立卡户20余户，脱贫人口60余人。</w:t>
      </w:r>
    </w:p>
    <w:p w14:paraId="3F155A06">
      <w:pPr>
        <w:widowControl/>
        <w:spacing w:line="520" w:lineRule="exact"/>
        <w:ind w:firstLine="640" w:firstLineChars="200"/>
        <w:jc w:val="left"/>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（12）垄溪乡三口龙村沟溪组山体塌方修复工程1.98万元。</w:t>
      </w:r>
    </w:p>
    <w:p w14:paraId="512BA8BD">
      <w:pPr>
        <w:widowControl/>
        <w:spacing w:line="520" w:lineRule="exact"/>
        <w:ind w:firstLine="640" w:firstLineChars="200"/>
        <w:jc w:val="left"/>
        <w:rPr>
          <w:rFonts w:hint="eastAsia"/>
        </w:rPr>
      </w:pPr>
      <w:r>
        <w:rPr>
          <w:rFonts w:hint="eastAsia" w:ascii="仿宋_GB2312" w:hAnsi="仿宋" w:eastAsia="仿宋_GB2312" w:cs="Arial"/>
          <w:snapToGrid w:val="0"/>
          <w:color w:val="000000"/>
          <w:kern w:val="0"/>
          <w:sz w:val="32"/>
          <w:szCs w:val="32"/>
          <w:lang w:val="en-US" w:eastAsia="zh-CN" w:bidi="ar-SA"/>
        </w:rPr>
        <w:t>因雨水天气，三口龙村沟溪组张改发屋背山体塌方。项目内容：清理塌方2处，约751.8立方米。项目效益：保障了村民生命财产安全。</w:t>
      </w:r>
    </w:p>
    <w:p w14:paraId="4C1288A1">
      <w:pPr>
        <w:pStyle w:val="12"/>
        <w:widowControl/>
        <w:numPr>
          <w:ilvl w:val="0"/>
          <w:numId w:val="0"/>
        </w:numPr>
        <w:spacing w:line="520" w:lineRule="exact"/>
        <w:ind w:firstLine="640" w:firstLineChars="200"/>
        <w:jc w:val="left"/>
        <w:rPr>
          <w:rFonts w:ascii="Times New Roman" w:hAnsi="Times New Roman" w:eastAsia="黑体"/>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政府性基金预算支出情况</w:t>
      </w:r>
    </w:p>
    <w:p w14:paraId="20C8C8CD">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政府性基金预算支出</w:t>
      </w:r>
      <w:r>
        <w:rPr>
          <w:rFonts w:hint="eastAsia" w:ascii="仿宋_GB2312" w:hAnsi="仿宋" w:eastAsia="仿宋_GB2312" w:cs="Arial"/>
          <w:snapToGrid w:val="0"/>
          <w:color w:val="000000"/>
          <w:kern w:val="0"/>
          <w:sz w:val="32"/>
          <w:szCs w:val="32"/>
          <w:lang w:val="en-US" w:eastAsia="zh-CN" w:bidi="ar-SA"/>
        </w:rPr>
        <w:t>154.67万元，占总支出的13.01%，其中：征地和拆迁补偿支出12万元，农村基础设施建设支出9.01万元，垄溪征地和拆迁补偿款（龙溪农贸市场）28.8万元，垄溪茶垅黄桃产业园基础设施及公共服务配套工程75万元，垄溪乡茶垅村路灯亮化工程29.87万元。</w:t>
      </w:r>
    </w:p>
    <w:p w14:paraId="216101D4">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四、国有资本经营预算支出情况</w:t>
      </w:r>
    </w:p>
    <w:p w14:paraId="5F78A966">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690EE68D">
      <w:pPr>
        <w:pStyle w:val="12"/>
        <w:widowControl/>
        <w:numPr>
          <w:ilvl w:val="0"/>
          <w:numId w:val="0"/>
        </w:numPr>
        <w:spacing w:line="520" w:lineRule="exact"/>
        <w:ind w:firstLine="640" w:firstLineChars="200"/>
        <w:jc w:val="left"/>
        <w:rPr>
          <w:rFonts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社会保险基金预算支出情况</w:t>
      </w:r>
    </w:p>
    <w:p w14:paraId="6D66C6E2">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社会保险基金预算支</w:t>
      </w:r>
      <w:r>
        <w:rPr>
          <w:rFonts w:hint="eastAsia" w:ascii="仿宋_GB2312" w:hAnsi="仿宋" w:eastAsia="仿宋_GB2312" w:cs="Arial"/>
          <w:snapToGrid w:val="0"/>
          <w:color w:val="000000"/>
          <w:kern w:val="0"/>
          <w:sz w:val="32"/>
          <w:szCs w:val="32"/>
          <w:lang w:val="en-US" w:eastAsia="zh-CN" w:bidi="ar-SA"/>
        </w:rPr>
        <w:t>出110.6万元，占总支出的8.22%，</w:t>
      </w:r>
      <w:r>
        <w:rPr>
          <w:rFonts w:hint="eastAsia" w:ascii="Arial" w:hAnsi="Arial" w:eastAsia="仿宋_GB2312" w:cs="Arial"/>
          <w:snapToGrid w:val="0"/>
          <w:color w:val="000000"/>
          <w:kern w:val="0"/>
          <w:sz w:val="32"/>
          <w:szCs w:val="32"/>
          <w:lang w:val="en-US" w:eastAsia="zh-CN" w:bidi="ar-SA"/>
        </w:rPr>
        <w:t>其中：机关事业单位基本养老保险预算支出</w:t>
      </w:r>
      <w:r>
        <w:rPr>
          <w:rFonts w:hint="eastAsia" w:ascii="仿宋_GB2312" w:hAnsi="仿宋" w:eastAsia="仿宋_GB2312" w:cs="Arial"/>
          <w:snapToGrid w:val="0"/>
          <w:color w:val="000000"/>
          <w:kern w:val="0"/>
          <w:sz w:val="32"/>
          <w:szCs w:val="32"/>
          <w:lang w:val="en-US" w:eastAsia="zh-CN" w:bidi="ar-SA"/>
        </w:rPr>
        <w:t>68.86万元，职工基本医疗保险预算支出38.99万元，其他社会保障预算支出2.74万元。</w:t>
      </w:r>
    </w:p>
    <w:p w14:paraId="7074D3E2">
      <w:pPr>
        <w:widowControl/>
        <w:spacing w:line="520" w:lineRule="exact"/>
        <w:ind w:firstLine="645"/>
        <w:jc w:val="left"/>
        <w:rPr>
          <w:rFonts w:eastAsia="黑体"/>
          <w:sz w:val="32"/>
          <w:szCs w:val="32"/>
        </w:rPr>
      </w:pPr>
      <w:r>
        <w:rPr>
          <w:rFonts w:hint="eastAsia" w:eastAsia="黑体"/>
          <w:sz w:val="32"/>
          <w:szCs w:val="32"/>
          <w:lang w:eastAsia="zh-CN"/>
        </w:rPr>
        <w:t>六、</w:t>
      </w:r>
      <w:r>
        <w:rPr>
          <w:rFonts w:eastAsia="黑体"/>
          <w:sz w:val="32"/>
          <w:szCs w:val="32"/>
        </w:rPr>
        <w:t>部门整体支出绩效情况</w:t>
      </w:r>
    </w:p>
    <w:p w14:paraId="185CA349">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般公共预算、政府性基金预算完成年度绩效目标任务，保障了政府各部门资金正常使用，保障了政府各部门的正常运转，实现了一般公共预算、政府性基金预算资金的使用效益。发挥部门职责，严格执行预算资金管理，一般公共预算、政府性基金预算资金年度在履职效能、社会效应等方面，发挥了资金使用的最大效益，为我单位可持续发展、发展经济、公共服务发挥巨大作用。</w:t>
      </w:r>
    </w:p>
    <w:p w14:paraId="40A07C61">
      <w:pPr>
        <w:pStyle w:val="12"/>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4EF17DA7">
      <w:pPr>
        <w:widowControl/>
        <w:spacing w:line="520" w:lineRule="exact"/>
        <w:ind w:firstLine="640" w:firstLineChars="200"/>
        <w:jc w:val="left"/>
        <w:rPr>
          <w:rFonts w:hint="eastAsia" w:eastAsia="仿宋_GB2312"/>
          <w:sz w:val="32"/>
          <w:szCs w:val="32"/>
          <w:lang w:eastAsia="zh-CN"/>
        </w:rPr>
      </w:pPr>
      <w:r>
        <w:rPr>
          <w:rFonts w:hint="eastAsia" w:eastAsia="仿宋_GB2312"/>
          <w:sz w:val="32"/>
          <w:szCs w:val="32"/>
          <w:lang w:eastAsia="zh-CN"/>
        </w:rPr>
        <w:t>（一）预算管理方面</w:t>
      </w:r>
    </w:p>
    <w:p w14:paraId="43E64100">
      <w:pPr>
        <w:pStyle w:val="12"/>
        <w:keepNext w:val="0"/>
        <w:keepLines w:val="0"/>
        <w:pageBreakBefore w:val="0"/>
        <w:widowControl/>
        <w:numPr>
          <w:ilvl w:val="0"/>
          <w:numId w:val="0"/>
        </w:numPr>
        <w:wordWrap/>
        <w:overflowPunct/>
        <w:topLinePunct w:val="0"/>
        <w:bidi w:val="0"/>
        <w:snapToGrid w:val="0"/>
        <w:spacing w:line="560" w:lineRule="exact"/>
        <w:ind w:firstLine="640" w:firstLineChars="200"/>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1.部分绩效目标设置不够完备。对于项目支出，虽然设立了项目资金绩效目标，但仍无法预计后续突发追加情况。，导致目标设置不够细化和量化。</w:t>
      </w:r>
    </w:p>
    <w:p w14:paraId="7797F8E4">
      <w:pPr>
        <w:pStyle w:val="12"/>
        <w:keepNext w:val="0"/>
        <w:keepLines w:val="0"/>
        <w:pageBreakBefore w:val="0"/>
        <w:widowControl/>
        <w:numPr>
          <w:ilvl w:val="0"/>
          <w:numId w:val="0"/>
        </w:numPr>
        <w:wordWrap/>
        <w:overflowPunct/>
        <w:topLinePunct w:val="0"/>
        <w:bidi w:val="0"/>
        <w:snapToGrid w:val="0"/>
        <w:spacing w:line="560" w:lineRule="exact"/>
        <w:ind w:firstLine="640" w:firstLineChars="200"/>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2.部分项目预算约束性不够。预算编制不够扎实，在预算执行过程中调整变动比较大， 客观存在实际支出与年初预算发生偏差。</w:t>
      </w:r>
    </w:p>
    <w:p w14:paraId="75E91CA4">
      <w:pPr>
        <w:pStyle w:val="12"/>
        <w:keepNext w:val="0"/>
        <w:keepLines w:val="0"/>
        <w:pageBreakBefore w:val="0"/>
        <w:widowControl/>
        <w:numPr>
          <w:ilvl w:val="0"/>
          <w:numId w:val="0"/>
        </w:numPr>
        <w:wordWrap/>
        <w:overflowPunct/>
        <w:topLinePunct w:val="0"/>
        <w:bidi w:val="0"/>
        <w:snapToGrid w:val="0"/>
        <w:spacing w:line="560" w:lineRule="exact"/>
        <w:ind w:firstLine="640" w:firstLineChars="200"/>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（二）资金分配、使用和管理方面</w:t>
      </w:r>
      <w:bookmarkStart w:id="0" w:name="_GoBack"/>
      <w:bookmarkEnd w:id="0"/>
    </w:p>
    <w:p w14:paraId="24250680">
      <w:pPr>
        <w:pStyle w:val="12"/>
        <w:keepNext w:val="0"/>
        <w:keepLines w:val="0"/>
        <w:pageBreakBefore w:val="0"/>
        <w:widowControl/>
        <w:numPr>
          <w:ilvl w:val="0"/>
          <w:numId w:val="0"/>
        </w:numPr>
        <w:wordWrap/>
        <w:overflowPunct/>
        <w:topLinePunct w:val="0"/>
        <w:bidi w:val="0"/>
        <w:snapToGrid w:val="0"/>
        <w:spacing w:line="560" w:lineRule="exact"/>
        <w:ind w:firstLine="640" w:firstLineChars="200"/>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1.部分项目预算执行率偏低。主要原因：一是部分项目资金下达时间晚，一定程度上影响了资金的计划统筹使用；二是部分项目实施周期较长，处于建设期，预算执行缓慢，资金使用相对比较集中。</w:t>
      </w:r>
    </w:p>
    <w:p w14:paraId="5709D6A9">
      <w:pPr>
        <w:pStyle w:val="12"/>
        <w:keepNext w:val="0"/>
        <w:keepLines w:val="0"/>
        <w:pageBreakBefore w:val="0"/>
        <w:widowControl/>
        <w:numPr>
          <w:ilvl w:val="0"/>
          <w:numId w:val="0"/>
        </w:numPr>
        <w:wordWrap/>
        <w:overflowPunct/>
        <w:topLinePunct w:val="0"/>
        <w:bidi w:val="0"/>
        <w:snapToGrid w:val="0"/>
        <w:spacing w:line="560" w:lineRule="exact"/>
        <w:ind w:firstLine="640" w:firstLineChars="200"/>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2.部分款项支付不及时。主要原因：上级财政资金缺口较大，资金审批流程长，部分项目款项支付需要较长周期进行排队请款。</w:t>
      </w:r>
    </w:p>
    <w:p w14:paraId="455796B8">
      <w:pPr>
        <w:widowControl/>
        <w:numPr>
          <w:ilvl w:val="0"/>
          <w:numId w:val="3"/>
        </w:numPr>
        <w:spacing w:line="520" w:lineRule="exact"/>
        <w:ind w:firstLine="640" w:firstLineChars="200"/>
        <w:jc w:val="left"/>
        <w:rPr>
          <w:rFonts w:eastAsia="黑体"/>
          <w:sz w:val="32"/>
          <w:szCs w:val="32"/>
        </w:rPr>
      </w:pPr>
      <w:r>
        <w:rPr>
          <w:rFonts w:eastAsia="黑体"/>
          <w:sz w:val="32"/>
          <w:szCs w:val="32"/>
        </w:rPr>
        <w:t>下一步改进措施</w:t>
      </w:r>
    </w:p>
    <w:p w14:paraId="4ACAACD6">
      <w:pPr>
        <w:widowControl/>
        <w:spacing w:line="520" w:lineRule="exact"/>
        <w:ind w:firstLine="640" w:firstLineChars="200"/>
        <w:jc w:val="left"/>
        <w:rPr>
          <w:rFonts w:hint="eastAsia" w:eastAsia="仿宋_GB2312"/>
          <w:sz w:val="32"/>
          <w:szCs w:val="32"/>
          <w:lang w:eastAsia="zh-CN"/>
        </w:rPr>
      </w:pPr>
      <w:r>
        <w:rPr>
          <w:rFonts w:hint="eastAsia" w:eastAsia="仿宋_GB2312"/>
          <w:sz w:val="32"/>
          <w:szCs w:val="32"/>
          <w:lang w:eastAsia="zh-CN"/>
        </w:rPr>
        <w:t>（一）预算管理方面</w:t>
      </w:r>
    </w:p>
    <w:p w14:paraId="60EB14B1">
      <w:pPr>
        <w:pStyle w:val="12"/>
        <w:keepNext w:val="0"/>
        <w:keepLines w:val="0"/>
        <w:pageBreakBefore w:val="0"/>
        <w:widowControl/>
        <w:numPr>
          <w:ilvl w:val="0"/>
          <w:numId w:val="0"/>
        </w:numPr>
        <w:wordWrap/>
        <w:overflowPunct/>
        <w:topLinePunct w:val="0"/>
        <w:bidi w:val="0"/>
        <w:snapToGrid w:val="0"/>
        <w:spacing w:line="560" w:lineRule="exact"/>
        <w:ind w:firstLine="640" w:firstLineChars="200"/>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1.进一步规范绩效目标编制。在编制项目资金绩效目标时，要求指向明确，细化量化、合理可行、相应匹配，加强与业务部门在项目绩效工作的沟通管理，以利于对工作的有效指导、过程的有效控制、结果的精确评价。</w:t>
      </w:r>
    </w:p>
    <w:p w14:paraId="74F1B829">
      <w:pPr>
        <w:pStyle w:val="12"/>
        <w:keepNext w:val="0"/>
        <w:keepLines w:val="0"/>
        <w:pageBreakBefore w:val="0"/>
        <w:widowControl/>
        <w:numPr>
          <w:ilvl w:val="0"/>
          <w:numId w:val="0"/>
        </w:numPr>
        <w:wordWrap/>
        <w:overflowPunct/>
        <w:topLinePunct w:val="0"/>
        <w:bidi w:val="0"/>
        <w:snapToGrid w:val="0"/>
        <w:spacing w:line="560" w:lineRule="exact"/>
        <w:ind w:firstLine="640"/>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2.加快预算执行力度，强化预算约束。积极争取财政支持，力争年初预算安排足额到位。增强预算的刚性约束，严格做到“无预算不支出”，强化预算对执行的控制。加强对各项支出的审核管理，严格执行各项经费开支标准。</w:t>
      </w:r>
    </w:p>
    <w:p w14:paraId="499EA1F0">
      <w:pPr>
        <w:pStyle w:val="12"/>
        <w:keepNext w:val="0"/>
        <w:keepLines w:val="0"/>
        <w:pageBreakBefore w:val="0"/>
        <w:widowControl/>
        <w:numPr>
          <w:ilvl w:val="0"/>
          <w:numId w:val="0"/>
        </w:numPr>
        <w:wordWrap/>
        <w:overflowPunct/>
        <w:topLinePunct w:val="0"/>
        <w:bidi w:val="0"/>
        <w:snapToGrid w:val="0"/>
        <w:spacing w:line="560" w:lineRule="exact"/>
        <w:ind w:firstLine="640" w:firstLineChars="200"/>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（二）资金分配、使用和管理方面</w:t>
      </w:r>
    </w:p>
    <w:p w14:paraId="03442FAC">
      <w:pPr>
        <w:pStyle w:val="12"/>
        <w:keepNext w:val="0"/>
        <w:keepLines w:val="0"/>
        <w:pageBreakBefore w:val="0"/>
        <w:widowControl/>
        <w:numPr>
          <w:ilvl w:val="0"/>
          <w:numId w:val="0"/>
        </w:numPr>
        <w:wordWrap/>
        <w:overflowPunct/>
        <w:topLinePunct w:val="0"/>
        <w:bidi w:val="0"/>
        <w:snapToGrid w:val="0"/>
        <w:spacing w:line="560" w:lineRule="exact"/>
        <w:ind w:firstLine="640"/>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1.合理安排项目资金，加快支出进度。年初下达的基本支出预算及时用款，足额保障单位正常运转，项目支出预算要加快执行，根据项目实施进度合法、合规、及时办理资金支付手续。</w:t>
      </w:r>
    </w:p>
    <w:p w14:paraId="182566B4">
      <w:pPr>
        <w:pStyle w:val="12"/>
        <w:keepNext w:val="0"/>
        <w:keepLines w:val="0"/>
        <w:pageBreakBefore w:val="0"/>
        <w:widowControl/>
        <w:numPr>
          <w:ilvl w:val="0"/>
          <w:numId w:val="0"/>
        </w:numPr>
        <w:wordWrap/>
        <w:overflowPunct/>
        <w:topLinePunct w:val="0"/>
        <w:bidi w:val="0"/>
        <w:snapToGrid w:val="0"/>
        <w:spacing w:line="560" w:lineRule="exact"/>
        <w:ind w:firstLine="640"/>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2.优化资金分配，提高资金使用效益。坚决落实过紧日子要求，建立节约型财政保障机制，精准保障重点刚性支出，严格控制一般性支出，厉行节约办事。</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12ADD74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绩效自评结果为良好，无其他需要说明情况。</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C5A62"/>
    <w:multiLevelType w:val="singleLevel"/>
    <w:tmpl w:val="9D3C5A62"/>
    <w:lvl w:ilvl="0" w:tentative="0">
      <w:start w:val="2"/>
      <w:numFmt w:val="chineseCounting"/>
      <w:suff w:val="nothing"/>
      <w:lvlText w:val="（%1）"/>
      <w:lvlJc w:val="left"/>
      <w:rPr>
        <w:rFonts w:hint="eastAsia"/>
      </w:rPr>
    </w:lvl>
  </w:abstractNum>
  <w:abstractNum w:abstractNumId="1">
    <w:nsid w:val="D974D0E2"/>
    <w:multiLevelType w:val="singleLevel"/>
    <w:tmpl w:val="D974D0E2"/>
    <w:lvl w:ilvl="0" w:tentative="0">
      <w:start w:val="8"/>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YTJlMTI1ZjMzYjc2ODhhZWU4M2MxN2YzYzkyZTIifQ=="/>
  </w:docVars>
  <w:rsids>
    <w:rsidRoot w:val="00000000"/>
    <w:rsid w:val="03F82FC0"/>
    <w:rsid w:val="0A8574E7"/>
    <w:rsid w:val="0B860E59"/>
    <w:rsid w:val="0C203D44"/>
    <w:rsid w:val="0ED32AC4"/>
    <w:rsid w:val="13B61010"/>
    <w:rsid w:val="15A52982"/>
    <w:rsid w:val="15BF56EC"/>
    <w:rsid w:val="16156614"/>
    <w:rsid w:val="1939177D"/>
    <w:rsid w:val="216413EC"/>
    <w:rsid w:val="21BC592B"/>
    <w:rsid w:val="21E022E1"/>
    <w:rsid w:val="23C6233B"/>
    <w:rsid w:val="25E847EB"/>
    <w:rsid w:val="25F82554"/>
    <w:rsid w:val="26C12152"/>
    <w:rsid w:val="28B51119"/>
    <w:rsid w:val="2C212804"/>
    <w:rsid w:val="33E71C73"/>
    <w:rsid w:val="35AF0753"/>
    <w:rsid w:val="35CB6416"/>
    <w:rsid w:val="37116733"/>
    <w:rsid w:val="38EC7CF6"/>
    <w:rsid w:val="3BB07701"/>
    <w:rsid w:val="3C4C0B25"/>
    <w:rsid w:val="3D8971F8"/>
    <w:rsid w:val="3E602FB4"/>
    <w:rsid w:val="3ED100BA"/>
    <w:rsid w:val="455B252A"/>
    <w:rsid w:val="457C21F1"/>
    <w:rsid w:val="465576D9"/>
    <w:rsid w:val="47F00082"/>
    <w:rsid w:val="48861F15"/>
    <w:rsid w:val="4AD07F48"/>
    <w:rsid w:val="4B167703"/>
    <w:rsid w:val="4B4334AB"/>
    <w:rsid w:val="4E8A014E"/>
    <w:rsid w:val="4ED42E31"/>
    <w:rsid w:val="51124D7C"/>
    <w:rsid w:val="52D1482A"/>
    <w:rsid w:val="53573F6E"/>
    <w:rsid w:val="53AC6337"/>
    <w:rsid w:val="5403276E"/>
    <w:rsid w:val="54C57A37"/>
    <w:rsid w:val="58551996"/>
    <w:rsid w:val="58F96C70"/>
    <w:rsid w:val="5A8C31D3"/>
    <w:rsid w:val="5C806824"/>
    <w:rsid w:val="5D354B9E"/>
    <w:rsid w:val="600B357D"/>
    <w:rsid w:val="62B711C5"/>
    <w:rsid w:val="648418D5"/>
    <w:rsid w:val="64C51278"/>
    <w:rsid w:val="65954A48"/>
    <w:rsid w:val="65E70179"/>
    <w:rsid w:val="663F14FE"/>
    <w:rsid w:val="677973D4"/>
    <w:rsid w:val="6EDC5F8F"/>
    <w:rsid w:val="732C3F6E"/>
    <w:rsid w:val="732D48FE"/>
    <w:rsid w:val="77686819"/>
    <w:rsid w:val="7B603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Normal Indent"/>
    <w:basedOn w:val="1"/>
    <w:qFormat/>
    <w:uiPriority w:val="0"/>
    <w:pPr>
      <w:ind w:firstLine="420" w:firstLineChars="200"/>
    </w:pPr>
  </w:style>
  <w:style w:type="paragraph" w:styleId="5">
    <w:name w:val="Body Text"/>
    <w:basedOn w:val="1"/>
    <w:semiHidden/>
    <w:qFormat/>
    <w:uiPriority w:val="0"/>
    <w:rPr>
      <w:rFonts w:ascii="仿宋" w:hAnsi="仿宋" w:eastAsia="仿宋" w:cs="仿宋"/>
      <w:sz w:val="32"/>
      <w:szCs w:val="32"/>
      <w:lang w:val="en-US" w:eastAsia="en-US" w:bidi="ar-SA"/>
    </w:rPr>
  </w:style>
  <w:style w:type="paragraph" w:styleId="6">
    <w:name w:val="Body Text Indent"/>
    <w:basedOn w:val="1"/>
    <w:qFormat/>
    <w:uiPriority w:val="0"/>
    <w:pPr>
      <w:adjustRightInd w:val="0"/>
      <w:ind w:firstLine="640" w:firstLineChars="200"/>
    </w:pPr>
    <w:rPr>
      <w:rFonts w:eastAsia="仿宋_GB2312"/>
      <w:sz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semiHidden/>
    <w:qFormat/>
    <w:uiPriority w:val="99"/>
  </w:style>
  <w:style w:type="paragraph" w:styleId="9">
    <w:name w:val="Body Text First Indent 2"/>
    <w:basedOn w:val="6"/>
    <w:next w:val="1"/>
    <w:qFormat/>
    <w:uiPriority w:val="0"/>
    <w:pPr>
      <w:spacing w:after="120"/>
      <w:ind w:left="420" w:leftChars="200" w:firstLine="420"/>
    </w:pPr>
    <w:rPr>
      <w:rFonts w:eastAsia="宋体"/>
    </w:rPr>
  </w:style>
  <w:style w:type="paragraph" w:styleId="12">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5091</Words>
  <Characters>5572</Characters>
  <Lines>0</Lines>
  <Paragraphs>0</Paragraphs>
  <TotalTime>0</TotalTime>
  <ScaleCrop>false</ScaleCrop>
  <LinksUpToDate>false</LinksUpToDate>
  <CharactersWithSpaces>5574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天妇罗炸炸虾</cp:lastModifiedBy>
  <dcterms:modified xsi:type="dcterms:W3CDTF">2025-11-07T07:25:41Z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DEC29D6FF1984251977FAFE43F2C91AB_12</vt:lpwstr>
  </property>
  <property fmtid="{D5CDD505-2E9C-101B-9397-08002B2CF9AE}" pid="4" name="KSOTemplateDocerSaveRecord">
    <vt:lpwstr>eyJoZGlkIjoiZWY1YTJlMTI1ZjMzYjc2ODhhZWU4M2MxN2YzYzkyZTIiLCJ1c2VySWQiOiIyNjA2NTU5OTQifQ==</vt:lpwstr>
  </property>
</Properties>
</file>