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Times New Roman" w:hAnsi="Times New Roman" w:eastAsia="黑体" w:cs="黑体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14"/>
          <w:sz w:val="34"/>
          <w:szCs w:val="34"/>
        </w:rPr>
        <w:t>附件</w:t>
      </w:r>
      <w:r>
        <w:rPr>
          <w:rFonts w:hint="eastAsia" w:ascii="Times New Roman" w:hAnsi="Times New Roman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黑体" w:cs="黑体"/>
          <w:sz w:val="44"/>
          <w:szCs w:val="44"/>
        </w:rPr>
      </w:pPr>
    </w:p>
    <w:p w14:paraId="4118FCE9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2024年度策源乡人民政府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整体支出绩效</w:t>
      </w:r>
    </w:p>
    <w:p w14:paraId="0DFB6BB4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报告</w:t>
      </w:r>
    </w:p>
    <w:p w14:paraId="6365D549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17F58897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315F8578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2E029910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1C92C148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2E9017B2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0FA4C78A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6833FC49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082DCFC8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</w:p>
    <w:p w14:paraId="70828991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</w:p>
    <w:p w14:paraId="17DB65AB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</w:p>
    <w:p w14:paraId="2010740C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</w:p>
    <w:p w14:paraId="084269F2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</w:p>
    <w:p w14:paraId="698BEB94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一、</w:t>
      </w: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pacing w:line="560" w:lineRule="exact"/>
        <w:ind w:left="-10" w:leftChars="0" w:firstLine="640" w:firstLineChars="0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部门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</w:rPr>
        <w:t>单位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基本情况</w:t>
      </w:r>
    </w:p>
    <w:p w14:paraId="078616E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0" w:firstLineChars="200"/>
        <w:textAlignment w:val="baseline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根据炎办发〔2024〕16号文件，我单位主要职能是：</w:t>
      </w:r>
    </w:p>
    <w:p w14:paraId="3E4EC93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加强党的建设。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落实基层党建工作责任制，严格抓好基层党组织建设各项制度，统筹抓好基层党建、意识形态和统一战线工作；推进全面从严治党，增强“四个意识”、坚定“四个自信”、做到“两个维护”，全面加强农村基层宣传思想文化工作，健全完善党建引领基层体系，进一步增强党在农村的政治领导力、思想引领力、群众组织力、社会号召力；贯彻落实党和国家在农村的各项方针政策和法律法规，对村民进行思想政治教育和社会主义法治教育，依法保障村民合法权益。</w:t>
      </w:r>
    </w:p>
    <w:p w14:paraId="20AC01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促进经济发展。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推进区域发展，全面实施乡村振兴战略，统筹落实辖区发展的重大决策和建设规划；组织制定乡村经济发展规划并组织实施；负责推动产业结构调整，指导、管理第一、二、三产业的发展；负责产业发展、民营经济、招商引资和推进科技普及工作；负责农村经济管理、指导村级财务管理、农村宅基地审批、农村土地承包和农民权益维护工作；负责社会经济调查统计工作；负责农业经营主体和适度规模经营的指导和管理，示范引导农村合作经济组织，形成地域产业特色。</w:t>
      </w:r>
    </w:p>
    <w:p w14:paraId="68B0DEE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加强公共管理。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负责落实辖区内集镇管理、人口管理、社会管理、综合执法、市场监管、农业农机畜牧管理、林业管理、水利管理等工作；负责生态环境保护、农村人居环境整治等工作；负责脱贫攻坚与乡村振兴有效衔接工作；负责移民开发、城乡规划发展、道路交通建设管理相关工作；负责领导基层自治工作，指导村（居）务公开、村（居）民议事委员会和“一约四会”建设。</w:t>
      </w:r>
    </w:p>
    <w:p w14:paraId="44D26E1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加强公共安全。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负责辖区公共安全及安全生产监管，构建公共安全防控体系，建立应对突发公共事件的处理预案，做好安全生产、防汛抗旱、防火、防疫、气象灾害防御、抗震、地质灾害、食品药品安全等应急管理工作；负责辖区社会治安、信访维稳等工作；协调平安创建和政法综治、群防群治等工作，负责辖区网格化建设和管理工作，落实社会矛盾纠纷排查调处机制，综合发挥人民调解、行政调解和司法调解的作用，及时化解辖区社会矛盾，维护安全稳定。</w:t>
      </w:r>
    </w:p>
    <w:p w14:paraId="5F0F950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加强公共服务。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组织实施与群众生活密切相关的各项公共服务，负责辖区就业、社会保障、民政优抚、医疗保障、儿童福利、科技教育、社会救助、文化体育旅游、卫生健康、退役军人事务等方面相关工作；推进审批服务便民化改革，拓宽服务渠道，改进服务方式，建立健全群众办事一次办结机制，提升群众获得感和幸福感。</w:t>
      </w:r>
    </w:p>
    <w:p w14:paraId="62E28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3" w:firstLineChars="200"/>
        <w:textAlignment w:val="baseline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法律、法规、规章的规定和县委、县政府交办的其他事项。</w:t>
      </w:r>
    </w:p>
    <w:p w14:paraId="330955A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pacing w:line="560" w:lineRule="exact"/>
        <w:ind w:left="-10" w:leftChars="0" w:firstLine="640" w:firstLineChars="0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部门（单位）年度整体支出绩效目标，专项资金绩效目标、其他项目支出（除专项资金以外）绩效目标</w:t>
      </w:r>
    </w:p>
    <w:p w14:paraId="30C5F74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0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紧扣项目建设，增强发展后劲；统筹产业发展，加快提档升级；突出民生改善，聚力乡村振兴；强化基层党建，提升行政效能。</w:t>
      </w:r>
    </w:p>
    <w:p w14:paraId="7587B28A">
      <w:pPr>
        <w:pStyle w:val="8"/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8"/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left="640" w:firstLine="0" w:firstLineChars="0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（一）基本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支出情</w:t>
      </w:r>
      <w:r>
        <w:rPr>
          <w:rFonts w:hint="eastAsia" w:ascii="Times New Roman" w:hAnsi="Times New Roman" w:eastAsia="楷体_GB2312" w:cs="楷体_GB2312"/>
          <w:sz w:val="32"/>
          <w:szCs w:val="32"/>
        </w:rPr>
        <w:t>况</w:t>
      </w:r>
    </w:p>
    <w:p w14:paraId="074F0FA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0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4年度财政拨款基本支出853.07万元，其中：人员经费628.87万元，占基本支出的73.73%；公用经费224.20万元，占基本支出的26.27%。</w:t>
      </w:r>
    </w:p>
    <w:p w14:paraId="7C11EFB6">
      <w:pPr>
        <w:pStyle w:val="8"/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left="640" w:firstLine="0" w:firstLineChars="0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（二）项目支出情况</w:t>
      </w:r>
    </w:p>
    <w:p w14:paraId="4B3DDA02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3" w:firstLineChars="200"/>
        <w:jc w:val="left"/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1、专项资金安排和使用管理情况</w:t>
      </w:r>
    </w:p>
    <w:p w14:paraId="4517CDE5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本年度共实施10个特定目标类专项资金项目，资金来源均为财政拨款，总金额187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80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元。所有项目资金均已全额支出，年末无结转结余，执行率100%。主要项目包括：</w:t>
      </w:r>
    </w:p>
    <w:p w14:paraId="77B51377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基建类项目（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项，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141.68万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元）：荣塘村同心美丽乡村（12万元）、群众文化中心（19.9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万元）、朝阳村自然灾害救灾（5万元）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、朝阳村和美乡村项目（14.84万元）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。梁桥村/平湖村/梨树洲村自然灾害道路修复（15万元）、梨树洲村健身步道（49.9万元）等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非基建类项目（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项，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2万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元）：财政办公室改造（20万元）、光荣院附属工程（26.1万元）。所有项目均严格按特定目标使用资金。</w:t>
      </w:r>
    </w:p>
    <w:p w14:paraId="4660EFA7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3" w:firstLineChars="200"/>
        <w:jc w:val="left"/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2、其他项目支出情况</w:t>
      </w:r>
    </w:p>
    <w:p w14:paraId="7AC34448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0" w:firstLineChars="200"/>
        <w:jc w:val="left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除上述专项资金外，本年度无其他类型项目支出。</w:t>
      </w:r>
    </w:p>
    <w:p w14:paraId="751A51C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spacing w:line="56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0CFB005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0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本单位本年度政府性基金预算支出为支出81.06万元，其中基本支出0万元，项目支出81.06万元。</w:t>
      </w:r>
    </w:p>
    <w:p w14:paraId="216101D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spacing w:line="560" w:lineRule="exact"/>
        <w:ind w:leftChars="200" w:firstLine="320" w:firstLineChars="1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 w14:paraId="6BE238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1" w:leftChars="0" w:firstLine="640" w:firstLineChars="200"/>
        <w:jc w:val="left"/>
        <w:textAlignment w:val="baseline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本单位本年度无国有资本经营预算支出。</w:t>
      </w:r>
    </w:p>
    <w:p w14:paraId="2CACD4B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spacing w:line="56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283F4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0" w:firstLine="640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本单位本年度无社会保险基金预算支出。</w:t>
      </w:r>
    </w:p>
    <w:p w14:paraId="7074D3E2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、部门整体支出绩效情况</w:t>
      </w:r>
    </w:p>
    <w:p w14:paraId="0C03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2024年，策源乡人民政府紧紧围绕县委、县政府决策部署和乡域发展规划，以预算资金管理为主线，优化支出结构，强化绩效导向，在运行成本控制、履职效能提升、社会效应显现等方面取得积极成效。</w:t>
      </w:r>
    </w:p>
    <w:p w14:paraId="2EDA655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</w:rPr>
        <w:t>预算支出绩效目标完成情况</w:t>
      </w:r>
    </w:p>
    <w:p w14:paraId="534F1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运行成本与管理效率民生支出保障有力</w:t>
      </w: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全年财政支出70%以上投向民生领域（革命桥维修、农贸市场升级、道路硬化拓宽、自来水厂改造等），精准落实“保基本、兜底线”的预算目标。成本控制有效：重大项目（如200万元革命桥维修、垃圾分类亭建设等）实施规范，资金使用形成闭环管理。全年实现安全生产“零事故”、自然灾害“零伤亡”，有效降低了应急处置成本。管理效率提升：安全隐患排查整治闭环率达100%（全年安全检查534次，整改隐患200余项）。政务公开及时透明，主动公开政府信息109条，通过“山水福地、大美策源”政务新媒体发布信息42期，年浏览量达2.1万人次。人大代表建议、社情民意及“12345”便民热线诉求办结率均达100%。</w:t>
      </w:r>
    </w:p>
    <w:p w14:paraId="21CEE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履职效能与产出效益紧密围绕部门核心职责和年度重点工作，取得显著产出与效益</w:t>
      </w: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产业转型升级与经济效能提升：文旅康养产业成功创建梨树洲国家3A级旅游景区；精品民宿群（62家）全年接待游客6.2万人次，创收2000余万元；带动千余名群众就业增收，户均增收超1万元；“党建引领文旅产业”经验获市级媒体推广。生态工业7家楠竹加工企业年产值突破6800万元；17座小水电站年发电量超4000万千瓦时，总产值1600万元；从业者年均增收1.1万元。特色农业：1900亩黄桃产量1240吨；“朝阳富硒大米”种植面积扩至200亩；开垦中草药基地51.5亩；特色农业总产值突破1000万元；高山云雾笋获国家级媒体推介。核心指标：固定资产投资完成3.02亿元，完成率120.8%，排名全县第一；新增市场主体71户，完成率150%；传统税收、争资争项任务完成率均超100%，排名全县前列。乡村振兴与社会效应显现：巩固衔接：防返贫动态监测实现全覆盖；农商行居民存款新增1580万元；村集体经营性收入显著提升。人居环境：新建垃圾分类亭4座，完成改厕26户；成功通过“国家卫生乡镇”省级评估；荣塘、梁桥、平湖村分获市级“同心美丽乡村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文明村镇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健康村”称号。乡村治理：矛盾纠纷调解60起，成功率100%；完成耕地恢复98亩；获评“全市平安建设考评先进乡镇”。民生保障与服务对象受益：社会保障：困难群体及稳定脱贫人口基本医疗保险参保率达100%；完成170名妇女“两癌”筛查；新增低保覆盖44人；完成困难残疾人家庭无障碍改造4户、适老化改造5户。就业创业：公益性岗位托底安置36人；新增农村劳动力转移就业39人；申报一次性创业补贴个体户2户。基础设施：投资200万元实施道路硬化拓宽工程，畅通“最后一公里”；特色农产品交易中心助销黄桃40万斤；三件票决民生实事全面完成。风险防控与可持续发展：生态安全：完成生态修复1200平方米，整改生态环境问题9处；对17座小水电站进行“过筛式”排查。生产安全：严格落实检查制度，实现全年安全生产“零事故”。应急能力：组建半专业化应急队伍，成功应对“7.27”暴雨洪灾及森林防火风险期，实现“零伤亡”。</w:t>
      </w:r>
    </w:p>
    <w:p w14:paraId="5C556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资产管理情况资产盘活增效</w:t>
      </w: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梨树洲景区、精品民宿群等文旅项目有效盘活闲置自然资源；小水电站、楠竹加工厂等固定资产利用率持续提升，支撑产业发展。资产管理流程规范，与业务开展紧密结合，为各项事业发展提供有效物质保障。</w:t>
      </w:r>
    </w:p>
    <w:p w14:paraId="1BDE179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综合绩效评价综合衡量部门整体及核心业务实施效果</w:t>
      </w:r>
    </w:p>
    <w:p w14:paraId="3DE58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民生支出占比突出，重大项目成本控制有效。隐患整改闭环高效，政务公开及时透明，诉求响应迅速精准。核心经济指标超额完成（固投120.8%），产业转型升级成效显著（文旅、生态工业、特色农业协同发展），乡村振兴重点任务扎实推进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成功创建国家级卫生乡镇、3A级景区，获评市级平安建设先进乡镇及多项村级荣誉，群众就业增收覆盖面持续扩大，人居环境显著改善，治理效能提升。生态修复与产业绿色转型（如风电项目）为长远发展奠定基础，风险防控体系不断完善。民生实事全面办结，矛盾纠纷100%化解，公共服务水平提升，间接反映群众满意度较高。</w:t>
      </w:r>
    </w:p>
    <w:p w14:paraId="4FF4AA7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存在问题及改进措施</w:t>
      </w:r>
    </w:p>
    <w:p w14:paraId="16C1F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2"/>
          <w:sz w:val="32"/>
          <w:szCs w:val="24"/>
          <w:highlight w:val="none"/>
          <w:lang w:val="en-US" w:eastAsia="zh-CN" w:bidi="ar-SA"/>
        </w:rPr>
        <w:t>1、存在问题：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乡域经济总量仍偏小，支撑长远发展的优质项目储备不足。部分基础设施（如道路、路灯）和公共服务存在短板，与群众期盼尚有差距。</w:t>
      </w:r>
    </w:p>
    <w:p w14:paraId="29D78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2"/>
          <w:sz w:val="32"/>
          <w:szCs w:val="24"/>
          <w:highlight w:val="none"/>
          <w:lang w:val="en-US" w:eastAsia="zh-CN" w:bidi="ar-SA"/>
        </w:rPr>
        <w:t>2、改进措施：</w:t>
      </w: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聚焦项目攻坚：以2025年“项目攻坚提质年”为抓手，积极谋划并实施一批打基础、利长远、增后劲的重大项目，强化经济发展动能。补齐设施短板：优化预算支出结构，持续加大对道路、照明等基础设施以及教育、医疗等公共服务领域的投入力度，切实提升民生保障水平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54B27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，策源乡人民政府部门整体支出绩效目标完成情况良好。预算资金管理规范高效，有效保障了部门职责履行和重点任务落实，在推动产业转型升级、增进民生福祉、维护安全稳定、提升治理效能等方面取得了显著成效，为实现“山水福地、大美策源”的发展目标提供了坚实支撑。下一步，我乡将着力破解发展瓶颈，提升预算安排的前瞻性和精准性，推动全乡经济社会实现更高质量、更可持续的发展。</w:t>
      </w:r>
    </w:p>
    <w:p w14:paraId="54B6BC57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D2D90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通过对本部门整体支出情况的分析，仍然存在部分预算执行偏离绩效目标的情况，存在的主要问题及原因有：</w:t>
      </w:r>
    </w:p>
    <w:p w14:paraId="5E623B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（一）预算绩效指标体系制度建设还需完善。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预算绩效评价指标体系制度需进一步完善，目前预算绩效指标设定较为符合实际，但是可测算性不强，多为定性指标，而且各项目开展进程及方式不同，很难进行量化分析及同质化比较。</w:t>
      </w:r>
    </w:p>
    <w:p w14:paraId="5B1945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（二）预算绩效完成情况与预算执行进度不匹配。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由于项目完成一定阶段成果后才会进入经费支出流程，导致预算执行进度普遍落后于预算绩效目标完成进度。如政府采购项目在已完成采购流程但尚未通过验收之前，几乎无经费支出，使得预算执行进度与绩效完成情况不一致。</w:t>
      </w:r>
    </w:p>
    <w:p w14:paraId="04A110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（三）预算绩效管理人员专业素质能力还需提高。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由于预算绩效管理工作需要多部门配合，相关部门人员对于预算绩效工作认识较浅显，加上缺乏系统的培训，导致对预算绩效管理认识不到位，对预算绩效管理业务不了解，对工作重点不熟悉的情况仍然存在。</w:t>
      </w:r>
    </w:p>
    <w:p w14:paraId="5E7426BA"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590FBB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 w14:paraId="4B90858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按照财政支出绩效管理的要求，建立科学的财政资金效益考评体系，牢固树立行政成本意识，不断提高财政资金使用管理的水平和效率。</w:t>
      </w:r>
    </w:p>
    <w:p w14:paraId="7490A9B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加强项目开展进度的跟踪，开展项目绩效评价，确保项目绩效目标的完成。</w:t>
      </w:r>
    </w:p>
    <w:p w14:paraId="66B106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绩效自评结果及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75B74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无。</w:t>
      </w:r>
    </w:p>
    <w:p w14:paraId="4EB980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E1CAA-8388-41B6-B4B9-54B5870D4C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7A559AB-B6AF-4407-9EA4-C96728ECB6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A002D7-7300-4072-85C9-018671A7E1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C27BA4-4342-4F31-A2E2-9D1AFAB293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E66B341-BEDE-4283-8DFA-516957D504A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EE8E57E-4792-48C8-B2A4-F8AB61C7E2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222574B0"/>
    <w:multiLevelType w:val="singleLevel"/>
    <w:tmpl w:val="222574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BC76BDF"/>
    <w:rsid w:val="104C5C7F"/>
    <w:rsid w:val="10594E7D"/>
    <w:rsid w:val="15BF56EC"/>
    <w:rsid w:val="15FC7CE3"/>
    <w:rsid w:val="1D76522A"/>
    <w:rsid w:val="211F468F"/>
    <w:rsid w:val="35CB6416"/>
    <w:rsid w:val="4B4334AB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autoRedefine/>
    <w:qFormat/>
    <w:uiPriority w:val="0"/>
    <w:pPr>
      <w:spacing w:after="120"/>
    </w:pPr>
    <w:rPr>
      <w:rFonts w:ascii="等线" w:hAnsi="等线" w:eastAsia="等线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4315</Words>
  <Characters>4513</Characters>
  <Lines>0</Lines>
  <Paragraphs>0</Paragraphs>
  <TotalTime>25</TotalTime>
  <ScaleCrop>false</ScaleCrop>
  <LinksUpToDate>false</LinksUpToDate>
  <CharactersWithSpaces>4514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WPS_1717177396</cp:lastModifiedBy>
  <dcterms:modified xsi:type="dcterms:W3CDTF">2025-07-29T09:07:04Z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722DE099E71D4E52B613B2E009CAB7E2_13</vt:lpwstr>
  </property>
  <property fmtid="{D5CDD505-2E9C-101B-9397-08002B2CF9AE}" pid="4" name="KSOTemplateDocerSaveRecord">
    <vt:lpwstr>eyJoZGlkIjoiODY1ZjVmY2UwMjc4MTQyNjQwNzZiM2Y5ODdlZGM4NWQiLCJ1c2VySWQiOiIzMjQ5MzM0ODAifQ==</vt:lpwstr>
  </property>
</Properties>
</file>