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pacing w:val="14"/>
          <w:sz w:val="34"/>
          <w:szCs w:val="34"/>
        </w:rPr>
      </w:pP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kinsoku/>
        <w:wordWrap/>
        <w:overflowPunct/>
        <w:topLinePunct w:val="0"/>
        <w:bidi w:val="0"/>
        <w:snapToGrid w:val="0"/>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2024年度炎陵县人力资源和社会保障局</w:t>
      </w:r>
    </w:p>
    <w:p>
      <w:pPr>
        <w:keepNext w:val="0"/>
        <w:keepLines w:val="0"/>
        <w:pageBreakBefore w:val="0"/>
        <w:kinsoku/>
        <w:wordWrap/>
        <w:overflowPunct/>
        <w:topLinePunct w:val="0"/>
        <w:bidi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eastAsia="楷体_GB2312"/>
          <w:sz w:val="32"/>
          <w:szCs w:val="32"/>
        </w:rPr>
      </w:pPr>
    </w:p>
    <w:p>
      <w:pPr>
        <w:keepNext w:val="0"/>
        <w:keepLines w:val="0"/>
        <w:pageBreakBefore w:val="0"/>
        <w:kinsoku/>
        <w:wordWrap/>
        <w:overflowPunct/>
        <w:topLinePunct w:val="0"/>
        <w:bidi w:val="0"/>
        <w:snapToGrid w:val="0"/>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keepNext w:val="0"/>
        <w:keepLines w:val="0"/>
        <w:pageBreakBefore w:val="0"/>
        <w:kinsoku/>
        <w:wordWrap/>
        <w:overflowPunct/>
        <w:topLinePunct w:val="0"/>
        <w:bidi w:val="0"/>
        <w:snapToGrid w:val="0"/>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炎陵县人力资源和社会保障局</w:t>
      </w:r>
    </w:p>
    <w:p>
      <w:pPr>
        <w:pStyle w:val="2"/>
        <w:rPr>
          <w:rFonts w:hint="eastAsia" w:ascii="黑体" w:hAnsi="黑体" w:eastAsia="黑体" w:cs="黑体"/>
          <w:sz w:val="36"/>
          <w:szCs w:val="36"/>
          <w:lang w:val="en-US" w:eastAsia="zh-CN"/>
        </w:rPr>
      </w:pPr>
    </w:p>
    <w:p>
      <w:pPr>
        <w:rPr>
          <w:rFonts w:hint="eastAsia" w:ascii="黑体" w:hAnsi="黑体" w:eastAsia="黑体" w:cs="黑体"/>
          <w:sz w:val="36"/>
          <w:szCs w:val="36"/>
          <w:lang w:val="en-US" w:eastAsia="zh-CN"/>
        </w:rPr>
      </w:pPr>
    </w:p>
    <w:p>
      <w:pPr>
        <w:pStyle w:val="2"/>
        <w:rPr>
          <w:rFonts w:hint="eastAsia" w:ascii="黑体" w:hAnsi="黑体" w:eastAsia="黑体" w:cs="黑体"/>
          <w:sz w:val="36"/>
          <w:szCs w:val="36"/>
          <w:lang w:val="en-US" w:eastAsia="zh-CN"/>
        </w:rPr>
      </w:pPr>
    </w:p>
    <w:p>
      <w:pPr>
        <w:rPr>
          <w:rFonts w:hint="eastAsia" w:ascii="黑体" w:hAnsi="黑体" w:eastAsia="黑体" w:cs="黑体"/>
          <w:sz w:val="36"/>
          <w:szCs w:val="36"/>
          <w:lang w:val="en-US" w:eastAsia="zh-CN"/>
        </w:rPr>
      </w:pPr>
    </w:p>
    <w:p>
      <w:pPr>
        <w:pStyle w:val="2"/>
        <w:rPr>
          <w:rFonts w:hint="eastAsia" w:ascii="黑体" w:hAnsi="黑体" w:eastAsia="黑体" w:cs="黑体"/>
          <w:sz w:val="36"/>
          <w:szCs w:val="36"/>
          <w:lang w:val="en-US" w:eastAsia="zh-CN"/>
        </w:rPr>
      </w:pPr>
    </w:p>
    <w:p>
      <w:pPr>
        <w:rPr>
          <w:rFonts w:hint="eastAsia" w:ascii="黑体" w:hAnsi="黑体" w:eastAsia="黑体" w:cs="黑体"/>
          <w:sz w:val="36"/>
          <w:szCs w:val="36"/>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bookmarkStart w:id="0" w:name="_GoBack"/>
      <w:bookmarkEnd w:id="0"/>
    </w:p>
    <w:p>
      <w:pPr>
        <w:pStyle w:val="8"/>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0" w:leftChars="0" w:firstLine="640" w:firstLineChars="200"/>
        <w:textAlignment w:val="baseline"/>
        <w:rPr>
          <w:rFonts w:ascii="Times New Roman" w:hAnsi="Times New Roman" w:eastAsia="黑体"/>
          <w:sz w:val="32"/>
          <w:szCs w:val="32"/>
        </w:rPr>
      </w:pPr>
      <w:r>
        <w:rPr>
          <w:rFonts w:ascii="Times New Roman" w:hAnsi="Times New Roman" w:eastAsia="黑体"/>
          <w:sz w:val="32"/>
          <w:szCs w:val="32"/>
        </w:rPr>
        <w:t>基本情况</w:t>
      </w:r>
    </w:p>
    <w:p>
      <w:pPr>
        <w:pStyle w:val="8"/>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单位基本情况 </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leftChars="0" w:firstLine="640" w:firstLineChars="200"/>
        <w:jc w:val="left"/>
        <w:textAlignment w:val="baseline"/>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主要职能</w:t>
      </w:r>
    </w:p>
    <w:p>
      <w:pPr>
        <w:keepNext w:val="0"/>
        <w:keepLines w:val="0"/>
        <w:pageBreakBefore w:val="0"/>
        <w:widowControl/>
        <w:kinsoku/>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 w:eastAsia="仿宋_GB2312"/>
          <w:color w:val="000000"/>
          <w:sz w:val="32"/>
          <w:szCs w:val="32"/>
        </w:rPr>
      </w:pPr>
      <w:r>
        <w:rPr>
          <w:rFonts w:hint="eastAsia" w:ascii="仿宋_GB2312" w:hAnsi="仿宋" w:eastAsia="仿宋_GB2312"/>
          <w:color w:val="000000"/>
          <w:sz w:val="32"/>
          <w:szCs w:val="32"/>
        </w:rPr>
        <w:t>炎陵县人力资源和社会保障局负责全县机关事业单位用人工资计划编制、退休审批；事业单位工作人员公开招聘、事业单位管理；专业技术人员职称评聘、技术人才选拨培养和引进、人力资源市场管理；落实就业创业扶持政策，开展就业援助工作，统筹建立面向城乡劳动培训、人才培养和激励制度；负责企业养老保险、机关养老保险、城乡居民养老保险、失业保险、工伤保险经办管理与服务，加强各险种基金管理与监督；负责劳</w:t>
      </w:r>
      <w:r>
        <w:rPr>
          <w:rFonts w:hint="eastAsia" w:ascii="仿宋_GB2312" w:hAnsi="仿宋" w:eastAsia="仿宋_GB2312"/>
          <w:color w:val="000000"/>
          <w:sz w:val="32"/>
          <w:szCs w:val="32"/>
          <w:lang w:eastAsia="zh-CN"/>
        </w:rPr>
        <w:t>动</w:t>
      </w:r>
      <w:r>
        <w:rPr>
          <w:rFonts w:hint="eastAsia" w:ascii="仿宋_GB2312" w:hAnsi="仿宋" w:eastAsia="仿宋_GB2312"/>
          <w:color w:val="000000"/>
          <w:sz w:val="32"/>
          <w:szCs w:val="32"/>
        </w:rPr>
        <w:t>仲裁、劳动监察、工伤认定；负责为民办实事、</w:t>
      </w:r>
      <w:r>
        <w:rPr>
          <w:rFonts w:hint="eastAsia" w:ascii="仿宋_GB2312" w:hAnsi="仿宋" w:eastAsia="仿宋_GB2312"/>
          <w:color w:val="000000"/>
          <w:sz w:val="32"/>
          <w:szCs w:val="32"/>
          <w:lang w:eastAsia="zh-CN"/>
        </w:rPr>
        <w:t>涉及人社的乡村振兴</w:t>
      </w:r>
      <w:r>
        <w:rPr>
          <w:rFonts w:hint="eastAsia" w:ascii="仿宋_GB2312" w:hAnsi="仿宋" w:eastAsia="仿宋_GB2312"/>
          <w:color w:val="000000"/>
          <w:sz w:val="32"/>
          <w:szCs w:val="32"/>
        </w:rPr>
        <w:t>等有关工作。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20" w:lineRule="exact"/>
        <w:ind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2.机构情况</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rPr>
        <w:t>炎陵县人力资源和社会保障局下设3个副科级二级机构：社会保险服务中心、就业服务中心、人力资源服务中心；1个自收自支股级二级机构：霞阳社区劳动保障服务站；7个内设股室：办公室、计划财务和基金监督股、法规与社会保险股（行政审批股）、劳动关系股（调解仲裁管理股）、专业技术人员管理股、工资福利股、事业单位股（人事股）。</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黑体" w:eastAsia="仿宋_GB2312"/>
          <w:sz w:val="32"/>
          <w:szCs w:val="32"/>
        </w:rPr>
      </w:pPr>
      <w:r>
        <w:rPr>
          <w:rFonts w:hint="eastAsia" w:ascii="仿宋_GB2312" w:hAnsi="黑体" w:eastAsia="仿宋_GB2312"/>
          <w:sz w:val="32"/>
          <w:szCs w:val="32"/>
        </w:rPr>
        <w:t>全局共有编制53个（含4个周转编），在编在岗45人(其中：改非4人</w:t>
      </w:r>
      <w:r>
        <w:rPr>
          <w:rFonts w:hint="eastAsia" w:ascii="仿宋_GB2312" w:hAnsi="黑体" w:eastAsia="仿宋_GB2312"/>
          <w:sz w:val="32"/>
          <w:szCs w:val="32"/>
          <w:lang w:eastAsia="zh-CN"/>
        </w:rPr>
        <w:t>，自收自支人员</w:t>
      </w:r>
      <w:r>
        <w:rPr>
          <w:rFonts w:hint="eastAsia" w:ascii="仿宋_GB2312" w:hAnsi="黑体" w:eastAsia="仿宋_GB2312"/>
          <w:sz w:val="32"/>
          <w:szCs w:val="32"/>
          <w:lang w:val="en-US" w:eastAsia="zh-CN"/>
        </w:rPr>
        <w:t>6人</w:t>
      </w:r>
      <w:r>
        <w:rPr>
          <w:rFonts w:hint="eastAsia" w:ascii="仿宋_GB2312" w:hAnsi="黑体" w:eastAsia="仿宋_GB2312"/>
          <w:sz w:val="32"/>
          <w:szCs w:val="32"/>
        </w:rPr>
        <w:t>)。</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黑体" w:eastAsia="仿宋_GB2312"/>
          <w:sz w:val="32"/>
          <w:szCs w:val="32"/>
        </w:rPr>
      </w:pP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黑体" w:eastAsia="仿宋_GB2312"/>
          <w:sz w:val="32"/>
          <w:szCs w:val="32"/>
        </w:rPr>
      </w:pP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黑体" w:eastAsia="仿宋_GB2312"/>
          <w:sz w:val="32"/>
          <w:szCs w:val="32"/>
          <w:lang w:val="en-US" w:eastAsia="zh-CN"/>
        </w:rPr>
      </w:pPr>
    </w:p>
    <w:p>
      <w:pPr>
        <w:pStyle w:val="8"/>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绩效目标</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坚持民生为本，就业创业形势稳定;强化保障能力，社会保障不断完善;围绕人才兴县，人事人才规范管理;服务发展大局，劳动维权扎实有力。</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lang w:val="en-US" w:eastAsia="zh-CN"/>
        </w:rPr>
        <w:t>4266.25万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其中，一般公共预算拨款</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lang w:val="en-US" w:eastAsia="zh-CN"/>
        </w:rPr>
        <w:t>4251.28万</w:t>
      </w:r>
      <w:r>
        <w:rPr>
          <w:rFonts w:hint="eastAsia" w:ascii="仿宋_GB2312" w:hAnsi="仿宋_GB2312" w:eastAsia="仿宋_GB2312" w:cs="仿宋_GB2312"/>
          <w:sz w:val="32"/>
          <w:szCs w:val="32"/>
        </w:rPr>
        <w:t>元；政府性基金</w:t>
      </w:r>
      <w:r>
        <w:rPr>
          <w:rFonts w:hint="eastAsia" w:ascii="仿宋_GB2312" w:hAnsi="仿宋_GB2312" w:eastAsia="仿宋_GB2312" w:cs="仿宋_GB2312"/>
          <w:sz w:val="32"/>
          <w:szCs w:val="32"/>
          <w:lang w:eastAsia="zh-CN"/>
        </w:rPr>
        <w:t>预算财政</w:t>
      </w:r>
      <w:r>
        <w:rPr>
          <w:rFonts w:hint="eastAsia" w:ascii="仿宋_GB2312" w:hAnsi="仿宋_GB2312" w:eastAsia="仿宋_GB2312" w:cs="仿宋_GB2312"/>
          <w:sz w:val="32"/>
          <w:szCs w:val="32"/>
        </w:rPr>
        <w:t>拨款</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lang w:val="en-US" w:eastAsia="zh-CN"/>
        </w:rPr>
        <w:t>14.96万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一般公共预算支出</w:t>
      </w:r>
      <w:r>
        <w:rPr>
          <w:rFonts w:hint="eastAsia" w:ascii="仿宋_GB2312" w:hAnsi="仿宋_GB2312" w:eastAsia="仿宋_GB2312" w:cs="仿宋_GB2312"/>
          <w:sz w:val="32"/>
          <w:szCs w:val="32"/>
          <w:lang w:val="en-US" w:eastAsia="zh-CN"/>
        </w:rPr>
        <w:t>4251.28万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按支出功能分类为：一般公共服务支出</w:t>
      </w:r>
      <w:r>
        <w:rPr>
          <w:rFonts w:hint="eastAsia" w:ascii="仿宋_GB2312" w:hAnsi="仿宋_GB2312" w:eastAsia="仿宋_GB2312" w:cs="仿宋_GB2312"/>
          <w:color w:val="auto"/>
          <w:sz w:val="32"/>
          <w:szCs w:val="32"/>
          <w:lang w:val="en-US" w:eastAsia="zh-CN"/>
        </w:rPr>
        <w:t>13.04</w:t>
      </w:r>
      <w:r>
        <w:rPr>
          <w:rFonts w:hint="eastAsia" w:ascii="仿宋_GB2312" w:hAnsi="仿宋_GB2312" w:eastAsia="仿宋_GB2312" w:cs="仿宋_GB2312"/>
          <w:color w:val="auto"/>
          <w:sz w:val="32"/>
          <w:szCs w:val="32"/>
          <w:lang w:eastAsia="zh-CN"/>
        </w:rPr>
        <w:t>万元，公共安全支出</w:t>
      </w:r>
      <w:r>
        <w:rPr>
          <w:rFonts w:hint="eastAsia" w:ascii="仿宋_GB2312" w:hAnsi="仿宋_GB2312" w:eastAsia="仿宋_GB2312" w:cs="仿宋_GB2312"/>
          <w:color w:val="auto"/>
          <w:sz w:val="32"/>
          <w:szCs w:val="32"/>
          <w:lang w:val="en-US" w:eastAsia="zh-CN"/>
        </w:rPr>
        <w:t>0.18万元，科学技术支出64.44万元，</w:t>
      </w: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lang w:val="en-US" w:eastAsia="zh-CN"/>
        </w:rPr>
        <w:t>3775.26万元，</w:t>
      </w: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lang w:val="en-US" w:eastAsia="zh-CN"/>
        </w:rPr>
        <w:t>29.5</w:t>
      </w:r>
      <w:r>
        <w:rPr>
          <w:rFonts w:hint="eastAsia" w:ascii="仿宋_GB2312" w:hAnsi="仿宋_GB2312" w:eastAsia="仿宋_GB2312" w:cs="仿宋_GB2312"/>
          <w:color w:val="auto"/>
          <w:sz w:val="32"/>
          <w:szCs w:val="32"/>
          <w:lang w:eastAsia="zh-CN"/>
        </w:rPr>
        <w:t>万元，农林水支出</w:t>
      </w:r>
      <w:r>
        <w:rPr>
          <w:rFonts w:hint="eastAsia" w:ascii="仿宋_GB2312" w:hAnsi="仿宋_GB2312" w:eastAsia="仿宋_GB2312" w:cs="仿宋_GB2312"/>
          <w:color w:val="auto"/>
          <w:sz w:val="32"/>
          <w:szCs w:val="32"/>
          <w:lang w:val="en-US" w:eastAsia="zh-CN"/>
        </w:rPr>
        <w:t>325.81</w:t>
      </w:r>
      <w:r>
        <w:rPr>
          <w:rFonts w:hint="eastAsia" w:ascii="仿宋_GB2312" w:hAnsi="仿宋_GB2312" w:eastAsia="仿宋_GB2312" w:cs="仿宋_GB2312"/>
          <w:color w:val="auto"/>
          <w:sz w:val="32"/>
          <w:szCs w:val="32"/>
          <w:lang w:eastAsia="zh-CN"/>
        </w:rPr>
        <w:t>万元，住房保障支出</w:t>
      </w:r>
      <w:r>
        <w:rPr>
          <w:rFonts w:hint="eastAsia" w:ascii="仿宋_GB2312" w:hAnsi="仿宋_GB2312" w:eastAsia="仿宋_GB2312" w:cs="仿宋_GB2312"/>
          <w:color w:val="auto"/>
          <w:sz w:val="32"/>
          <w:szCs w:val="32"/>
          <w:lang w:val="en-US" w:eastAsia="zh-CN"/>
        </w:rPr>
        <w:t>43.05万元。</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eastAsia="仿宋_GB2312"/>
          <w:sz w:val="32"/>
          <w:szCs w:val="32"/>
          <w:lang w:eastAsia="zh-CN"/>
        </w:rPr>
      </w:pPr>
      <w:r>
        <w:rPr>
          <w:rFonts w:hint="eastAsia" w:eastAsia="仿宋_GB2312"/>
          <w:sz w:val="32"/>
          <w:szCs w:val="32"/>
          <w:lang w:eastAsia="zh-CN"/>
        </w:rPr>
        <w:t>无</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eastAsia="zh-CN"/>
        </w:rPr>
        <w:t>预算财政</w:t>
      </w:r>
      <w:r>
        <w:rPr>
          <w:rFonts w:hint="eastAsia" w:ascii="仿宋_GB2312" w:hAnsi="仿宋_GB2312" w:eastAsia="仿宋_GB2312" w:cs="仿宋_GB2312"/>
          <w:sz w:val="32"/>
          <w:szCs w:val="32"/>
        </w:rPr>
        <w:t>拨款</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lang w:val="en-US" w:eastAsia="zh-CN"/>
        </w:rPr>
        <w:t>14.96万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eastAsia="zh-CN"/>
        </w:rPr>
        <w:t>预算支出</w:t>
      </w:r>
      <w:r>
        <w:rPr>
          <w:rFonts w:hint="eastAsia" w:ascii="仿宋_GB2312" w:hAnsi="仿宋_GB2312" w:eastAsia="仿宋_GB2312" w:cs="仿宋_GB2312"/>
          <w:sz w:val="32"/>
          <w:szCs w:val="32"/>
          <w:lang w:val="en-US" w:eastAsia="zh-CN"/>
        </w:rPr>
        <w:t>(城乡社区支出)14.96万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eastAsia="仿宋_GB2312"/>
          <w:sz w:val="32"/>
          <w:szCs w:val="32"/>
          <w:lang w:eastAsia="zh-CN"/>
        </w:rPr>
      </w:pPr>
      <w:r>
        <w:rPr>
          <w:rFonts w:hint="eastAsia" w:eastAsia="仿宋_GB2312"/>
          <w:sz w:val="32"/>
          <w:szCs w:val="32"/>
          <w:lang w:eastAsia="zh-CN"/>
        </w:rPr>
        <w:t>无</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pPr>
        <w:pStyle w:val="8"/>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eastAsia="仿宋_GB2312"/>
          <w:sz w:val="32"/>
          <w:szCs w:val="32"/>
          <w:lang w:eastAsia="zh-CN"/>
        </w:rPr>
      </w:pPr>
      <w:r>
        <w:rPr>
          <w:rFonts w:hint="eastAsia" w:eastAsia="仿宋_GB2312"/>
          <w:sz w:val="32"/>
          <w:szCs w:val="32"/>
          <w:lang w:eastAsia="zh-CN"/>
        </w:rPr>
        <w:t>无</w:t>
      </w:r>
    </w:p>
    <w:p>
      <w:pPr>
        <w:keepNext w:val="0"/>
        <w:keepLines w:val="0"/>
        <w:pageBreakBefore w:val="0"/>
        <w:widowControl/>
        <w:kinsoku/>
        <w:wordWrap/>
        <w:overflowPunct/>
        <w:topLinePunct w:val="0"/>
        <w:bidi w:val="0"/>
        <w:snapToGrid w:val="0"/>
        <w:spacing w:line="560" w:lineRule="exact"/>
        <w:ind w:left="0" w:leftChars="0" w:firstLine="640" w:firstLineChars="200"/>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pStyle w:val="5"/>
        <w:widowControl/>
        <w:spacing w:before="0" w:beforeAutospacing="0" w:after="0" w:afterAutospacing="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（一）坚持“一个核心”，</w:t>
      </w:r>
      <w:r>
        <w:rPr>
          <w:rFonts w:hint="eastAsia" w:ascii="仿宋_GB2312" w:hAnsi="仿宋_GB2312" w:eastAsia="仿宋_GB2312" w:cs="仿宋_GB2312"/>
          <w:sz w:val="32"/>
          <w:szCs w:val="32"/>
        </w:rPr>
        <w:t>即“以人民为中心”。坚持以人民为中心的发展思想，不断优化人社服务，提升工作能力，改进工作作风，切实落实好各项惠民政策。</w:t>
      </w:r>
    </w:p>
    <w:p>
      <w:pPr>
        <w:pStyle w:val="5"/>
        <w:shd w:val="clear" w:color="auto" w:fill="FFFFFF"/>
        <w:spacing w:before="0" w:beforeAutospacing="0" w:after="0" w:afterAutospacing="0" w:line="60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Times New Roman" w:eastAsia="仿宋_GB2312"/>
          <w:b/>
          <w:sz w:val="32"/>
          <w:szCs w:val="32"/>
        </w:rPr>
        <w:t>办好“两件实事”，</w:t>
      </w:r>
      <w:r>
        <w:rPr>
          <w:rFonts w:hint="eastAsia" w:ascii="仿宋_GB2312" w:hAnsi="Times New Roman" w:eastAsia="仿宋_GB2312"/>
          <w:sz w:val="32"/>
          <w:szCs w:val="32"/>
        </w:rPr>
        <w:t>即</w:t>
      </w:r>
      <w:r>
        <w:rPr>
          <w:rFonts w:hint="eastAsia" w:ascii="仿宋_GB2312" w:hAnsi="仿宋_GB2312" w:eastAsia="仿宋_GB2312" w:cs="仿宋_GB2312"/>
          <w:sz w:val="32"/>
          <w:szCs w:val="32"/>
        </w:rPr>
        <w:t>养老保险调待和公益性岗位兜底</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与2023年相比，2024年机关事业单位养老保险、企业养老保险、城乡居民养老保险基本养老金每月人均分别增加121.38元、80.72元、20元。其中城乡居民养老保险人均水平为160.87元/月，在南四县中位居前列。开发农村公益性岗位381个，安置脱贫人口及监测户共381人；开发单位公益性岗位23个，安置就业困难人员23名。全年见习生累计达151名，见习单位41家，既为待业大学生提供了见习场所，又为相关单位缓解了人员不足的压力。</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（三）守住“三条底线”，</w:t>
      </w:r>
      <w:r>
        <w:rPr>
          <w:rFonts w:hint="eastAsia" w:ascii="仿宋_GB2312" w:hAnsi="仿宋_GB2312" w:eastAsia="仿宋_GB2312" w:cs="仿宋_GB2312"/>
          <w:sz w:val="32"/>
          <w:szCs w:val="32"/>
        </w:rPr>
        <w:t>即</w:t>
      </w:r>
      <w:r>
        <w:rPr>
          <w:rFonts w:hint="eastAsia" w:ascii="仿宋_GB2312" w:hAnsi="Times New Roman" w:eastAsia="仿宋_GB2312"/>
          <w:sz w:val="32"/>
          <w:szCs w:val="32"/>
        </w:rPr>
        <w:t>就业资金、社保基金、人事招考三条底线</w:t>
      </w:r>
      <w:r>
        <w:rPr>
          <w:rFonts w:hint="eastAsia" w:ascii="仿宋_GB2312" w:hAnsi="Times New Roman" w:eastAsia="仿宋_GB2312"/>
          <w:b/>
          <w:sz w:val="32"/>
          <w:szCs w:val="32"/>
        </w:rPr>
        <w:t>。就业资金方面：</w:t>
      </w:r>
      <w:r>
        <w:rPr>
          <w:rFonts w:hint="eastAsia" w:ascii="仿宋_GB2312" w:hAnsi="Times New Roman" w:eastAsia="仿宋_GB2312"/>
          <w:sz w:val="32"/>
          <w:szCs w:val="32"/>
        </w:rPr>
        <w:t>2024年</w:t>
      </w:r>
      <w:r>
        <w:rPr>
          <w:rFonts w:hint="eastAsia" w:ascii="仿宋_GB2312" w:hAnsi="仿宋_GB2312" w:eastAsia="仿宋_GB2312" w:cs="仿宋_GB2312"/>
          <w:sz w:val="32"/>
          <w:szCs w:val="32"/>
          <w:shd w:val="clear" w:color="auto" w:fill="FFFFFF"/>
        </w:rPr>
        <w:t>发放创业担保贷款1027万元，为1064人拨付创业担保贷款贴息282.61万元，</w:t>
      </w:r>
      <w:r>
        <w:rPr>
          <w:rFonts w:hint="eastAsia" w:ascii="仿宋_GB2312" w:hAnsi="仿宋_GB2312" w:eastAsia="仿宋_GB2312" w:cs="仿宋_GB2312"/>
          <w:sz w:val="32"/>
          <w:szCs w:val="32"/>
        </w:rPr>
        <w:t>发放就业见习补贴121.83万元，</w:t>
      </w:r>
      <w:r>
        <w:rPr>
          <w:rFonts w:hint="eastAsia" w:ascii="仿宋_GB2312" w:hAnsi="仿宋_GB2312" w:eastAsia="仿宋_GB2312" w:cs="仿宋_GB2312"/>
          <w:sz w:val="32"/>
          <w:szCs w:val="32"/>
          <w:shd w:val="clear" w:color="auto" w:fill="FFFFFF"/>
        </w:rPr>
        <w:t>为8家企业落实吸纳脱贫劳动力社保补贴43.98万元，</w:t>
      </w:r>
      <w:r>
        <w:rPr>
          <w:rFonts w:hint="eastAsia" w:ascii="仿宋_GB2312" w:hAnsi="仿宋_GB2312" w:eastAsia="仿宋_GB2312" w:cs="仿宋_GB2312"/>
          <w:color w:val="000000"/>
          <w:sz w:val="32"/>
          <w:szCs w:val="32"/>
          <w:shd w:val="clear" w:color="auto" w:fill="FFFFFF"/>
        </w:rPr>
        <w:t>为9家就业帮扶车间发放了稳岗补贴34.2万元。就业资金使用安全有序。</w:t>
      </w:r>
      <w:r>
        <w:rPr>
          <w:rFonts w:hint="eastAsia" w:ascii="仿宋_GB2312" w:hAnsi="仿宋_GB2312" w:eastAsia="仿宋_GB2312" w:cs="仿宋_GB2312"/>
          <w:sz w:val="32"/>
          <w:szCs w:val="32"/>
        </w:rPr>
        <w:t>霞阳镇西区社区获得“省就业充分社区”荣誉称号。</w:t>
      </w:r>
      <w:r>
        <w:rPr>
          <w:rFonts w:hint="eastAsia" w:ascii="仿宋_GB2312" w:hAnsi="仿宋_GB2312" w:eastAsia="仿宋_GB2312" w:cs="仿宋_GB2312"/>
          <w:b/>
          <w:sz w:val="32"/>
          <w:szCs w:val="32"/>
          <w:shd w:val="clear" w:color="auto" w:fill="FFFFFF"/>
        </w:rPr>
        <w:t>社保基金方面：</w:t>
      </w:r>
      <w:r>
        <w:rPr>
          <w:rFonts w:hint="eastAsia" w:ascii="仿宋_GB2312" w:hAnsi="仿宋_GB2312" w:eastAsia="仿宋_GB2312" w:cs="仿宋_GB2312"/>
          <w:sz w:val="32"/>
          <w:szCs w:val="32"/>
          <w:shd w:val="clear" w:color="auto" w:fill="FFFFFF"/>
        </w:rPr>
        <w:t>企业养老保险、机关事业养老保险、城乡居民养老保险、失业保险、工伤保险五项社保共发放待遇5.49亿元，</w:t>
      </w:r>
      <w:r>
        <w:rPr>
          <w:rFonts w:hint="eastAsia" w:ascii="仿宋_GB2312" w:hAnsi="仿宋_GB2312" w:eastAsia="仿宋_GB2312" w:cs="仿宋_GB2312"/>
          <w:sz w:val="32"/>
          <w:szCs w:val="32"/>
        </w:rPr>
        <w:t>社保基金运行安全稳定，未发生基金重大要情。</w:t>
      </w:r>
      <w:r>
        <w:rPr>
          <w:rFonts w:hint="eastAsia" w:ascii="仿宋_GB2312" w:hAnsi="Times New Roman" w:eastAsia="仿宋_GB2312"/>
          <w:b/>
          <w:sz w:val="32"/>
          <w:szCs w:val="32"/>
        </w:rPr>
        <w:t>人事招考方面：</w:t>
      </w:r>
      <w:r>
        <w:rPr>
          <w:rFonts w:hint="eastAsia" w:ascii="仿宋_GB2312" w:hAnsi="仿宋_GB2312" w:eastAsia="仿宋_GB2312" w:cs="仿宋_GB2312"/>
          <w:sz w:val="32"/>
          <w:szCs w:val="32"/>
        </w:rPr>
        <w:t>年内完成县直事业单位公开招聘20人，指导卫健、教育系统完成社招21人，妥善安置定向委培生69人（其中教育48人、水利3人、农业6人、卫健12人），各项人事招考安全有序无事故。</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eastAsia="仿宋_GB2312"/>
          <w:color w:val="000000"/>
          <w:sz w:val="32"/>
          <w:szCs w:val="32"/>
        </w:rPr>
      </w:pPr>
      <w:r>
        <w:rPr>
          <w:rFonts w:hint="eastAsia" w:ascii="仿宋_GB2312" w:hAnsi="仿宋_GB2312" w:eastAsia="仿宋_GB2312" w:cs="仿宋_GB2312"/>
          <w:b/>
          <w:sz w:val="32"/>
          <w:szCs w:val="32"/>
        </w:rPr>
        <w:t>（四）做好</w:t>
      </w:r>
      <w:r>
        <w:rPr>
          <w:rFonts w:hint="eastAsia" w:ascii="仿宋_GB2312" w:hAnsi="Times New Roman" w:eastAsia="仿宋_GB2312"/>
          <w:b/>
          <w:sz w:val="32"/>
          <w:szCs w:val="32"/>
        </w:rPr>
        <w:t>“四项工作”，</w:t>
      </w:r>
      <w:r>
        <w:rPr>
          <w:rFonts w:hint="eastAsia" w:ascii="仿宋_GB2312" w:hAnsi="Times New Roman" w:eastAsia="仿宋_GB2312"/>
          <w:sz w:val="32"/>
          <w:szCs w:val="32"/>
        </w:rPr>
        <w:t>即</w:t>
      </w:r>
      <w:r>
        <w:rPr>
          <w:rFonts w:hint="eastAsia" w:ascii="仿宋_GB2312" w:hAnsi="仿宋_GB2312" w:eastAsia="仿宋_GB2312" w:cs="仿宋_GB2312"/>
          <w:sz w:val="32"/>
          <w:szCs w:val="32"/>
        </w:rPr>
        <w:t>就业创业、人事人才、劳动关系、</w:t>
      </w:r>
      <w:r>
        <w:rPr>
          <w:rFonts w:hint="eastAsia" w:ascii="仿宋_GB2312" w:hAnsi="Times New Roman" w:eastAsia="仿宋_GB2312"/>
          <w:sz w:val="32"/>
          <w:szCs w:val="32"/>
        </w:rPr>
        <w:t>民生</w:t>
      </w:r>
      <w:r>
        <w:rPr>
          <w:rFonts w:hint="eastAsia" w:ascii="仿宋_GB2312" w:hAnsi="仿宋_GB2312" w:eastAsia="仿宋_GB2312" w:cs="仿宋_GB2312"/>
          <w:sz w:val="32"/>
          <w:szCs w:val="32"/>
        </w:rPr>
        <w:t>实事工作。</w:t>
      </w:r>
      <w:r>
        <w:rPr>
          <w:rFonts w:hint="eastAsia" w:ascii="仿宋_GB2312" w:hAnsi="仿宋_GB2312" w:eastAsia="仿宋_GB2312" w:cs="仿宋_GB2312"/>
          <w:b/>
          <w:sz w:val="32"/>
          <w:szCs w:val="32"/>
        </w:rPr>
        <w:t>一是就业创业工作。</w:t>
      </w:r>
      <w:r>
        <w:rPr>
          <w:rFonts w:hint="eastAsia" w:ascii="仿宋_GB2312" w:hAnsi="仿宋_GB2312" w:eastAsia="仿宋_GB2312" w:cs="仿宋_GB2312"/>
          <w:sz w:val="32"/>
          <w:szCs w:val="32"/>
        </w:rPr>
        <w:t>2024年，全县新增城镇就业1626人，脱贫劳动力转移就业8293人，转移就业率达86.9%，全年见习生累计达151名。举办线上线下招聘会17场，招聘人数1900余人，满足70余家企业的用工需求，园区企业用工基本稳定有序。</w:t>
      </w:r>
      <w:r>
        <w:rPr>
          <w:rFonts w:hint="eastAsia" w:ascii="仿宋_GB2312" w:hAnsi="仿宋_GB2312" w:eastAsia="仿宋_GB2312" w:cs="仿宋_GB2312"/>
          <w:sz w:val="32"/>
          <w:szCs w:val="32"/>
          <w:shd w:val="clear" w:color="auto" w:fill="FFFFFF"/>
        </w:rPr>
        <w:t>开展创业培训345人，</w:t>
      </w:r>
      <w:r>
        <w:rPr>
          <w:rFonts w:hint="eastAsia" w:ascii="仿宋_GB2312" w:hAnsi="仿宋_GB2312" w:eastAsia="仿宋_GB2312" w:cs="仿宋_GB2312"/>
          <w:sz w:val="32"/>
          <w:szCs w:val="32"/>
        </w:rPr>
        <w:t>职业技能培训1000人次。</w:t>
      </w:r>
      <w:r>
        <w:rPr>
          <w:rFonts w:hint="eastAsia" w:ascii="仿宋_GB2312" w:hAnsi="仿宋_GB2312" w:eastAsia="仿宋_GB2312" w:cs="仿宋_GB2312"/>
          <w:b/>
          <w:sz w:val="32"/>
          <w:szCs w:val="32"/>
        </w:rPr>
        <w:t>二是人事人才工作。</w:t>
      </w:r>
      <w:r>
        <w:rPr>
          <w:rFonts w:hint="eastAsia" w:ascii="仿宋_GB2312" w:hAnsi="仿宋_GB2312" w:eastAsia="仿宋_GB2312" w:cs="仿宋_GB2312"/>
          <w:sz w:val="32"/>
          <w:szCs w:val="32"/>
        </w:rPr>
        <w:t>完成事业单位管理岗位晋升26人,协助完成高校引才招聘5人，安置定向委培毕业生69人，专业技术人员送省市评审162人、企业送审2人，完成事业单位工作人员年度考核3395人。</w:t>
      </w:r>
      <w:r>
        <w:rPr>
          <w:rFonts w:hint="eastAsia" w:ascii="仿宋_GB2312" w:hAnsi="仿宋_GB2312" w:eastAsia="仿宋_GB2312" w:cs="仿宋_GB2312"/>
          <w:b/>
          <w:sz w:val="32"/>
          <w:szCs w:val="32"/>
        </w:rPr>
        <w:t>三是劳动关系工作。</w:t>
      </w:r>
      <w:r>
        <w:rPr>
          <w:rFonts w:hint="eastAsia" w:ascii="仿宋_GB2312" w:hAnsi="仿宋_GB2312" w:eastAsia="仿宋_GB2312" w:cs="仿宋_GB2312"/>
          <w:sz w:val="32"/>
          <w:szCs w:val="32"/>
        </w:rPr>
        <w:t>靠前指导全康电子科技、东方希望、东篱小院、锦绣前程等公司欠薪处置和员工安置工作，全年协调处理劳动关系方面市、县长热线150起，国家欠薪平台投诉51起，网上信访事项5起，现场投诉举报60余起，为1800余名劳动者追回劳动报酬1068.43万元。全年立案受理劳动争议仲裁案件46起，涉及劳动者64人，金额208万元，仲裁结案率100%。</w:t>
      </w:r>
      <w:r>
        <w:rPr>
          <w:rFonts w:hint="eastAsia" w:ascii="仿宋_GB2312" w:hAnsi="仿宋_GB2312" w:eastAsia="仿宋_GB2312" w:cs="仿宋_GB2312"/>
          <w:b/>
          <w:sz w:val="32"/>
          <w:szCs w:val="32"/>
        </w:rPr>
        <w:t>四是民生实事工作。</w:t>
      </w:r>
      <w:r>
        <w:rPr>
          <w:rFonts w:hint="eastAsia" w:ascii="仿宋_GB2312" w:hAnsi="仿宋_GB2312" w:eastAsia="仿宋_GB2312" w:cs="仿宋_GB2312"/>
          <w:sz w:val="32"/>
          <w:szCs w:val="32"/>
        </w:rPr>
        <w:t>2024年实施民生可感行动，承办省、市重点民生实事26项，实施县人大代表票决民生实事10项，均全部完成，惠及群众10万余人。</w:t>
      </w:r>
    </w:p>
    <w:p>
      <w:pPr>
        <w:pStyle w:val="8"/>
        <w:keepNext w:val="0"/>
        <w:keepLines w:val="0"/>
        <w:pageBreakBefore w:val="0"/>
        <w:widowControl/>
        <w:kinsoku/>
        <w:wordWrap/>
        <w:overflowPunct/>
        <w:topLinePunct w:val="0"/>
        <w:bidi w:val="0"/>
        <w:snapToGrid w:val="0"/>
        <w:spacing w:line="56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预算编制和执行缺乏准确性。由于部分项目执行中不确定性因素较多，因而造成预算编制数和实际发生数存在差异，调整预算金额偏大的原因主要是全县职业年金支出和就业扶贫支出由本单位预算，资金量大，导致全年预算和决算数相差较大，影响了预算收支的准确性。</w:t>
      </w:r>
    </w:p>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人员业务素质有待进一步提高。由于预算绩效管理工作开展时间短，涉及面广，专业性强，加上缺乏系统的培训，对预算绩效管理理解不充分，对预算绩效管理业务不精通，在一定程度上影响了绩效评价工作质量。</w:t>
      </w:r>
    </w:p>
    <w:p>
      <w:pPr>
        <w:keepNext w:val="0"/>
        <w:keepLines w:val="0"/>
        <w:pageBreakBefore w:val="0"/>
        <w:widowControl/>
        <w:numPr>
          <w:ilvl w:val="0"/>
          <w:numId w:val="0"/>
        </w:numPr>
        <w:kinsoku/>
        <w:wordWrap/>
        <w:overflowPunct/>
        <w:topLinePunct w:val="0"/>
        <w:bidi w:val="0"/>
        <w:snapToGrid w:val="0"/>
        <w:spacing w:line="560" w:lineRule="exact"/>
        <w:ind w:left="0" w:leftChars="0"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（一）提高思想认识。增强各部门人员对绩效考核的重视度。</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（二）建立良好的沟通和反馈机制。建立健全规范的制度保障系统，可以使各类信息能上传下达，相互协调，提高工作效率和效能，增强各部门之间的沟通，了解各部门的基本情况与其相关的需求。</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（三）加大财务绩效评价工作的宣传和培训力度。加强业务指导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业务培训，提高业务人员的业务水平。</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（四）加强资金的统筹管理，加大资金的使用效率，把钱用在需要的地方。</w:t>
      </w:r>
    </w:p>
    <w:p>
      <w:pPr>
        <w:keepNext w:val="0"/>
        <w:keepLines w:val="0"/>
        <w:pageBreakBefore w:val="0"/>
        <w:widowControl/>
        <w:kinsoku/>
        <w:wordWrap/>
        <w:overflowPunct/>
        <w:topLinePunct w:val="0"/>
        <w:bidi w:val="0"/>
        <w:snapToGrid w:val="0"/>
        <w:spacing w:line="560" w:lineRule="exact"/>
        <w:ind w:left="0" w:leftChars="0" w:firstLine="640" w:firstLineChars="200"/>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pStyle w:val="2"/>
        <w:keepNext w:val="0"/>
        <w:keepLines w:val="0"/>
        <w:pageBreakBefore w:val="0"/>
        <w:kinsoku/>
        <w:wordWrap/>
        <w:overflowPunct/>
        <w:topLinePunct w:val="0"/>
        <w:bidi w:val="0"/>
        <w:snapToGrid w:val="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napToGrid w:val="0"/>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bidi w:val="0"/>
        <w:snapToGrid w:val="0"/>
        <w:rPr>
          <w:rFonts w:hint="eastAsia" w:ascii="仿宋_GB2312" w:hAnsi="仿宋_GB2312" w:eastAsia="仿宋_GB2312" w:cs="仿宋_GB2312"/>
          <w:sz w:val="32"/>
          <w:szCs w:val="32"/>
          <w:lang w:eastAsia="zh-CN"/>
        </w:rPr>
      </w:pPr>
    </w:p>
    <w:p>
      <w:pPr>
        <w:pStyle w:val="2"/>
        <w:keepNext w:val="0"/>
        <w:keepLines w:val="0"/>
        <w:pageBreakBefore w:val="0"/>
        <w:kinsoku/>
        <w:wordWrap/>
        <w:overflowPunct/>
        <w:topLinePunct w:val="0"/>
        <w:bidi w:val="0"/>
        <w:snapToGrid w:val="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napToGrid w:val="0"/>
        <w:rPr>
          <w:rFonts w:hint="eastAsia"/>
          <w:lang w:eastAsia="zh-CN"/>
        </w:rPr>
      </w:pPr>
    </w:p>
    <w:p>
      <w:pPr>
        <w:pStyle w:val="2"/>
        <w:keepNext w:val="0"/>
        <w:keepLines w:val="0"/>
        <w:pageBreakBefore w:val="0"/>
        <w:kinsoku/>
        <w:wordWrap/>
        <w:overflowPunct/>
        <w:topLinePunct w:val="0"/>
        <w:bidi w:val="0"/>
        <w:snapToGrid w:val="0"/>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6083335"/>
    <w:rsid w:val="103F0AD7"/>
    <w:rsid w:val="11B23FEE"/>
    <w:rsid w:val="15BF56EC"/>
    <w:rsid w:val="187D7BB3"/>
    <w:rsid w:val="2023269A"/>
    <w:rsid w:val="21673FB3"/>
    <w:rsid w:val="2DBB52BF"/>
    <w:rsid w:val="2FA0703D"/>
    <w:rsid w:val="35CB6416"/>
    <w:rsid w:val="388D7285"/>
    <w:rsid w:val="3CE633A8"/>
    <w:rsid w:val="4B4334AB"/>
    <w:rsid w:val="4F98512D"/>
    <w:rsid w:val="5403276E"/>
    <w:rsid w:val="54C57A37"/>
    <w:rsid w:val="5F835FD1"/>
    <w:rsid w:val="6C0269AA"/>
    <w:rsid w:val="6C8C037A"/>
    <w:rsid w:val="6FF40F88"/>
    <w:rsid w:val="74A222DD"/>
    <w:rsid w:val="7ED21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semiHidden/>
    <w:qFormat/>
    <w:uiPriority w:val="99"/>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14</TotalTime>
  <ScaleCrop>false</ScaleCrop>
  <LinksUpToDate>false</LinksUpToDate>
  <CharactersWithSpaces>458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丹妹几</cp:lastModifiedBy>
  <cp:lastPrinted>2025-11-05T11:31:47Z</cp:lastPrinted>
  <dcterms:modified xsi:type="dcterms:W3CDTF">2025-11-05T11:35:21Z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DEC29D6FF1984251977FAFE43F2C91AB_12</vt:lpwstr>
  </property>
</Properties>
</file>