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0C4" w:rsidRDefault="00B37616">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附件3</w:t>
      </w:r>
    </w:p>
    <w:p w:rsidR="008F70C4" w:rsidRDefault="008F70C4">
      <w:pPr>
        <w:spacing w:line="560" w:lineRule="exact"/>
        <w:rPr>
          <w:rFonts w:ascii="黑体" w:eastAsia="黑体" w:hAnsi="黑体" w:cs="黑体"/>
          <w:sz w:val="44"/>
          <w:szCs w:val="44"/>
          <w:lang w:eastAsia="zh-CN"/>
        </w:rPr>
      </w:pPr>
    </w:p>
    <w:p w:rsidR="008F70C4" w:rsidRDefault="008F70C4">
      <w:pPr>
        <w:spacing w:line="560" w:lineRule="exact"/>
        <w:rPr>
          <w:rFonts w:ascii="黑体" w:eastAsia="黑体" w:hAnsi="黑体" w:cs="黑体"/>
          <w:sz w:val="44"/>
          <w:szCs w:val="44"/>
          <w:lang w:eastAsia="zh-CN"/>
        </w:rPr>
      </w:pPr>
    </w:p>
    <w:p w:rsidR="008F70C4" w:rsidRDefault="008F70C4">
      <w:pPr>
        <w:spacing w:line="560" w:lineRule="exact"/>
        <w:rPr>
          <w:rFonts w:ascii="黑体" w:eastAsia="黑体" w:hAnsi="黑体" w:cs="黑体"/>
          <w:sz w:val="44"/>
          <w:szCs w:val="44"/>
          <w:lang w:eastAsia="zh-CN"/>
        </w:rPr>
      </w:pPr>
    </w:p>
    <w:p w:rsidR="008F70C4" w:rsidRDefault="00B37616" w:rsidP="00AF1143">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2024年度</w:t>
      </w:r>
      <w:r w:rsidR="00AF1143">
        <w:rPr>
          <w:rFonts w:ascii="方正小标宋简体" w:eastAsia="方正小标宋简体" w:hAnsi="方正小标宋简体" w:cs="方正小标宋简体" w:hint="eastAsia"/>
          <w:sz w:val="44"/>
          <w:szCs w:val="44"/>
          <w:lang w:eastAsia="zh-CN"/>
        </w:rPr>
        <w:t>炎陵县红十字会</w:t>
      </w:r>
      <w:r>
        <w:rPr>
          <w:rFonts w:ascii="方正小标宋简体" w:eastAsia="方正小标宋简体" w:hAnsi="方正小标宋简体" w:cs="方正小标宋简体" w:hint="eastAsia"/>
          <w:sz w:val="44"/>
          <w:szCs w:val="44"/>
          <w:lang w:eastAsia="zh-CN"/>
        </w:rPr>
        <w:t>整体支出绩效自评报告</w:t>
      </w: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8F70C4">
      <w:pPr>
        <w:spacing w:line="600" w:lineRule="exact"/>
        <w:jc w:val="center"/>
        <w:rPr>
          <w:rFonts w:eastAsia="楷体_GB2312"/>
          <w:sz w:val="32"/>
          <w:szCs w:val="32"/>
          <w:lang w:eastAsia="zh-CN"/>
        </w:rPr>
      </w:pPr>
    </w:p>
    <w:p w:rsidR="008F70C4" w:rsidRDefault="00B37616">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p>
    <w:p w:rsidR="008F70C4" w:rsidRDefault="008F70C4">
      <w:pPr>
        <w:spacing w:line="600" w:lineRule="exact"/>
        <w:jc w:val="center"/>
        <w:rPr>
          <w:rFonts w:ascii="黑体" w:eastAsia="黑体" w:hAnsi="黑体" w:cs="黑体"/>
          <w:sz w:val="36"/>
          <w:szCs w:val="36"/>
          <w:lang w:eastAsia="zh-CN"/>
        </w:rPr>
      </w:pPr>
    </w:p>
    <w:p w:rsidR="008F70C4" w:rsidRDefault="008F70C4">
      <w:pPr>
        <w:spacing w:line="600" w:lineRule="exact"/>
        <w:jc w:val="center"/>
        <w:rPr>
          <w:rFonts w:ascii="黑体" w:eastAsia="黑体" w:hAnsi="黑体" w:cs="黑体"/>
          <w:sz w:val="36"/>
          <w:szCs w:val="36"/>
          <w:lang w:eastAsia="zh-CN"/>
        </w:rPr>
      </w:pPr>
    </w:p>
    <w:p w:rsidR="008F70C4" w:rsidRDefault="008F70C4">
      <w:pPr>
        <w:spacing w:line="600" w:lineRule="exact"/>
        <w:jc w:val="center"/>
        <w:rPr>
          <w:rFonts w:ascii="黑体" w:eastAsia="黑体" w:hAnsi="黑体" w:cs="黑体"/>
          <w:sz w:val="36"/>
          <w:szCs w:val="36"/>
          <w:lang w:eastAsia="zh-CN"/>
        </w:rPr>
      </w:pPr>
    </w:p>
    <w:p w:rsidR="008F70C4" w:rsidRDefault="008F70C4">
      <w:pPr>
        <w:spacing w:line="600" w:lineRule="exact"/>
        <w:jc w:val="center"/>
        <w:rPr>
          <w:rFonts w:ascii="黑体" w:eastAsia="黑体" w:hAnsi="黑体" w:cs="黑体"/>
          <w:sz w:val="36"/>
          <w:szCs w:val="36"/>
          <w:lang w:eastAsia="zh-CN"/>
        </w:rPr>
      </w:pPr>
    </w:p>
    <w:p w:rsidR="008F70C4" w:rsidRDefault="008F70C4">
      <w:pPr>
        <w:spacing w:line="600" w:lineRule="exact"/>
        <w:jc w:val="center"/>
        <w:rPr>
          <w:rFonts w:ascii="黑体" w:eastAsia="黑体" w:hAnsi="黑体" w:cs="黑体"/>
          <w:sz w:val="36"/>
          <w:szCs w:val="36"/>
          <w:lang w:eastAsia="zh-CN"/>
        </w:rPr>
      </w:pPr>
    </w:p>
    <w:p w:rsidR="008F70C4" w:rsidRDefault="00B37616">
      <w:pPr>
        <w:spacing w:line="60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（此页为封面）</w:t>
      </w:r>
    </w:p>
    <w:p w:rsidR="008F70C4" w:rsidRDefault="00B37616">
      <w:pPr>
        <w:rPr>
          <w:rFonts w:eastAsia="楷体_GB2312"/>
          <w:sz w:val="32"/>
          <w:szCs w:val="32"/>
          <w:lang w:eastAsia="zh-CN"/>
        </w:rPr>
      </w:pPr>
      <w:r>
        <w:rPr>
          <w:rFonts w:ascii="仿宋_GB2312" w:eastAsia="仿宋_GB2312" w:hAnsi="仿宋_GB2312" w:cs="仿宋_GB2312" w:hint="eastAsia"/>
          <w:sz w:val="32"/>
          <w:szCs w:val="32"/>
          <w:lang w:eastAsia="zh-CN"/>
        </w:rPr>
        <w:br w:type="page"/>
      </w:r>
    </w:p>
    <w:p w:rsidR="008F70C4" w:rsidRDefault="00B37616">
      <w:pPr>
        <w:pStyle w:val="a5"/>
        <w:numPr>
          <w:ilvl w:val="0"/>
          <w:numId w:val="1"/>
        </w:numPr>
        <w:spacing w:line="520" w:lineRule="exact"/>
        <w:ind w:firstLine="640"/>
        <w:rPr>
          <w:rFonts w:ascii="Times New Roman" w:eastAsia="黑体" w:hAnsi="Times New Roman"/>
          <w:sz w:val="32"/>
          <w:szCs w:val="32"/>
        </w:rPr>
      </w:pPr>
      <w:proofErr w:type="spellStart"/>
      <w:r>
        <w:rPr>
          <w:rFonts w:ascii="Times New Roman" w:eastAsia="黑体" w:hAnsi="Times New Roman"/>
          <w:sz w:val="32"/>
          <w:szCs w:val="32"/>
        </w:rPr>
        <w:lastRenderedPageBreak/>
        <w:t>基本情况</w:t>
      </w:r>
      <w:proofErr w:type="spellEnd"/>
    </w:p>
    <w:p w:rsidR="00AF1143" w:rsidRDefault="00AF1143" w:rsidP="00AF1143">
      <w:pPr>
        <w:pStyle w:val="a6"/>
        <w:kinsoku/>
        <w:autoSpaceDE/>
        <w:autoSpaceDN/>
        <w:spacing w:before="0" w:beforeAutospacing="0" w:after="0" w:afterAutospacing="0"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楷体_GB2312" w:eastAsia="楷体_GB2312" w:hAnsi="楷体_GB2312" w:cs="楷体_GB2312" w:hint="eastAsia"/>
          <w:sz w:val="32"/>
          <w:szCs w:val="32"/>
          <w:lang w:eastAsia="zh-CN"/>
        </w:rPr>
        <w:t>（一）</w:t>
      </w:r>
      <w:r w:rsidR="00B37616">
        <w:rPr>
          <w:rFonts w:ascii="楷体_GB2312" w:eastAsia="楷体_GB2312" w:hAnsi="楷体_GB2312" w:cs="楷体_GB2312" w:hint="eastAsia"/>
          <w:sz w:val="32"/>
          <w:szCs w:val="32"/>
          <w:lang w:eastAsia="zh-CN"/>
        </w:rPr>
        <w:t>部门（单位）基本情况</w:t>
      </w:r>
      <w:r>
        <w:rPr>
          <w:rFonts w:ascii="仿宋_GB2312" w:eastAsia="仿宋_GB2312" w:hAnsi="仿宋_GB2312" w:cs="仿宋_GB2312" w:hint="eastAsia"/>
          <w:color w:val="auto"/>
          <w:sz w:val="32"/>
          <w:szCs w:val="32"/>
          <w:lang w:eastAsia="zh-CN"/>
        </w:rPr>
        <w:t>本</w:t>
      </w:r>
    </w:p>
    <w:p w:rsidR="008F70C4" w:rsidRPr="00AF1143" w:rsidRDefault="00AF1143" w:rsidP="00AF1143">
      <w:pPr>
        <w:pStyle w:val="a6"/>
        <w:kinsoku/>
        <w:autoSpaceDE/>
        <w:autoSpaceDN/>
        <w:spacing w:before="0" w:beforeAutospacing="0" w:after="0" w:afterAutospacing="0" w:line="560" w:lineRule="exact"/>
        <w:ind w:firstLineChars="200" w:firstLine="640"/>
        <w:jc w:val="both"/>
        <w:textAlignment w:val="auto"/>
        <w:rPr>
          <w:rFonts w:ascii="楷体_GB2312" w:eastAsia="楷体_GB2312" w:hAnsi="楷体_GB2312" w:cs="楷体_GB2312"/>
          <w:sz w:val="32"/>
          <w:szCs w:val="32"/>
          <w:lang w:eastAsia="zh-CN"/>
        </w:rPr>
      </w:pPr>
      <w:r>
        <w:rPr>
          <w:rFonts w:ascii="仿宋_GB2312" w:eastAsia="仿宋_GB2312" w:hAnsi="仿宋_GB2312" w:cs="仿宋_GB2312" w:hint="eastAsia"/>
          <w:color w:val="auto"/>
          <w:sz w:val="32"/>
          <w:szCs w:val="32"/>
          <w:lang w:eastAsia="zh-CN"/>
        </w:rPr>
        <w:t>单位共有编制人数4人，实有人数</w:t>
      </w:r>
      <w:r>
        <w:rPr>
          <w:rFonts w:ascii="仿宋_GB2312" w:eastAsia="仿宋_GB2312" w:hAnsi="仿宋_GB2312" w:cs="仿宋_GB2312"/>
          <w:color w:val="auto"/>
          <w:sz w:val="32"/>
          <w:szCs w:val="32"/>
          <w:lang w:eastAsia="zh-CN"/>
        </w:rPr>
        <w:t>4</w:t>
      </w:r>
      <w:r>
        <w:rPr>
          <w:rFonts w:ascii="仿宋_GB2312" w:eastAsia="仿宋_GB2312" w:hAnsi="仿宋_GB2312" w:cs="仿宋_GB2312" w:hint="eastAsia"/>
          <w:color w:val="auto"/>
          <w:sz w:val="32"/>
          <w:szCs w:val="32"/>
          <w:lang w:eastAsia="zh-CN"/>
        </w:rPr>
        <w:t>人。本单位</w:t>
      </w:r>
      <w:r>
        <w:rPr>
          <w:rFonts w:ascii="仿宋_GB2312" w:eastAsia="仿宋_GB2312" w:hAnsi="仿宋_GB2312" w:cs="仿宋_GB2312" w:hint="eastAsia"/>
          <w:color w:val="333333"/>
          <w:sz w:val="32"/>
          <w:szCs w:val="32"/>
          <w:lang w:eastAsia="zh-CN"/>
        </w:rPr>
        <w:t>为独立核算的事业单位，属一级预算单位，</w:t>
      </w:r>
      <w:r>
        <w:rPr>
          <w:rFonts w:ascii="仿宋_GB2312" w:eastAsia="仿宋_GB2312" w:hAnsi="仿宋_GB2312" w:cs="仿宋_GB2312" w:hint="eastAsia"/>
          <w:sz w:val="32"/>
          <w:szCs w:val="32"/>
          <w:lang w:eastAsia="zh-CN"/>
        </w:rPr>
        <w:t>无下属二级预算单位，</w:t>
      </w:r>
      <w:r>
        <w:rPr>
          <w:rFonts w:ascii="仿宋_GB2312" w:eastAsia="仿宋_GB2312" w:hAnsi="仿宋_GB2312" w:cs="仿宋_GB2312" w:hint="eastAsia"/>
          <w:color w:val="333333"/>
          <w:sz w:val="32"/>
          <w:szCs w:val="32"/>
          <w:lang w:eastAsia="zh-CN"/>
        </w:rPr>
        <w:t>单位内设处室 1个。</w:t>
      </w:r>
    </w:p>
    <w:p w:rsidR="00974551" w:rsidRDefault="00AF1143" w:rsidP="00974551">
      <w:pPr>
        <w:pStyle w:val="a6"/>
        <w:kinsoku/>
        <w:autoSpaceDE/>
        <w:autoSpaceDN/>
        <w:spacing w:before="0" w:beforeAutospacing="0" w:after="0" w:afterAutospacing="0" w:line="560" w:lineRule="exact"/>
        <w:ind w:firstLineChars="200" w:firstLine="640"/>
        <w:jc w:val="both"/>
        <w:textAlignment w:val="auto"/>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w:t>
      </w:r>
      <w:r w:rsidR="00B37616" w:rsidRPr="00AF1143">
        <w:rPr>
          <w:rFonts w:ascii="楷体_GB2312" w:eastAsia="楷体_GB2312" w:hAnsi="楷体_GB2312" w:cs="楷体_GB2312" w:hint="eastAsia"/>
          <w:sz w:val="32"/>
          <w:szCs w:val="32"/>
          <w:lang w:eastAsia="zh-CN"/>
        </w:rPr>
        <w:t>部门（单位）年度整体支出绩效目标，专项资金绩效目标、其他项目支出（除专项资金以外）绩效目标</w:t>
      </w:r>
    </w:p>
    <w:p w:rsidR="00C84128" w:rsidRDefault="00C84128" w:rsidP="00C84128">
      <w:pPr>
        <w:pStyle w:val="a6"/>
        <w:kinsoku/>
        <w:autoSpaceDE/>
        <w:autoSpaceDN/>
        <w:spacing w:before="0" w:beforeAutospacing="0" w:after="0" w:afterAutospacing="0"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1、年度整体支出绩效目标：为社会提供人道主义服务、赈灾救济、普及卫生救助和防病知识、参与推动无偿献血、参与国际人道主义救援、红十字青少年教育，兴办社会福利。</w:t>
      </w:r>
    </w:p>
    <w:p w:rsidR="00DE5D64" w:rsidRDefault="00C84128" w:rsidP="00C84128">
      <w:pPr>
        <w:pStyle w:val="a6"/>
        <w:kinsoku/>
        <w:autoSpaceDE/>
        <w:autoSpaceDN/>
        <w:spacing w:before="0" w:beforeAutospacing="0" w:after="0" w:afterAutospacing="0" w:line="560" w:lineRule="exact"/>
        <w:ind w:firstLineChars="200" w:firstLine="640"/>
        <w:jc w:val="both"/>
        <w:textAlignment w:val="auto"/>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2、专项资金绩效目标、其他项目支出绩效目标。</w:t>
      </w:r>
    </w:p>
    <w:p w:rsidR="00C84128" w:rsidRDefault="00C84128" w:rsidP="00C84128">
      <w:pPr>
        <w:pStyle w:val="a6"/>
        <w:kinsoku/>
        <w:autoSpaceDE/>
        <w:autoSpaceDN/>
        <w:spacing w:before="0" w:beforeAutospacing="0" w:after="0" w:afterAutospacing="0" w:line="560" w:lineRule="exact"/>
        <w:ind w:firstLineChars="200" w:firstLine="640"/>
        <w:jc w:val="both"/>
        <w:textAlignment w:val="auto"/>
        <w:rPr>
          <w:rFonts w:ascii="楷体_GB2312" w:eastAsia="楷体_GB2312" w:hAnsi="楷体_GB2312" w:cs="楷体_GB2312"/>
          <w:sz w:val="32"/>
          <w:szCs w:val="32"/>
          <w:lang w:eastAsia="zh-CN"/>
        </w:rPr>
      </w:pPr>
      <w:r>
        <w:rPr>
          <w:rFonts w:ascii="仿宋_GB2312" w:eastAsia="仿宋_GB2312" w:hAnsi="仿宋_GB2312" w:cs="仿宋_GB2312" w:hint="eastAsia"/>
          <w:color w:val="auto"/>
          <w:sz w:val="32"/>
          <w:szCs w:val="32"/>
          <w:lang w:eastAsia="zh-CN"/>
        </w:rPr>
        <w:t>本单位本年度无。</w:t>
      </w:r>
    </w:p>
    <w:p w:rsidR="008F70C4" w:rsidRDefault="00B37616">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583651" w:rsidRDefault="00B37616" w:rsidP="00583651">
      <w:pPr>
        <w:pStyle w:val="a5"/>
        <w:kinsoku/>
        <w:autoSpaceDE/>
        <w:autoSpaceDN/>
        <w:adjustRightInd/>
        <w:snapToGrid/>
        <w:spacing w:line="560" w:lineRule="exact"/>
        <w:ind w:firstLine="640"/>
        <w:textAlignment w:val="auto"/>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（一）基本支出情况</w:t>
      </w:r>
    </w:p>
    <w:p w:rsidR="008F70C4" w:rsidRPr="00E10AA6" w:rsidRDefault="00583651" w:rsidP="00583651">
      <w:pPr>
        <w:pStyle w:val="a5"/>
        <w:kinsoku/>
        <w:autoSpaceDE/>
        <w:autoSpaceDN/>
        <w:adjustRightInd/>
        <w:snapToGrid/>
        <w:spacing w:line="560" w:lineRule="exact"/>
        <w:ind w:firstLine="640"/>
        <w:textAlignment w:val="auto"/>
        <w:rPr>
          <w:rFonts w:ascii="楷体_GB2312" w:eastAsia="楷体_GB2312" w:hAnsi="楷体_GB2312" w:cs="楷体_GB2312"/>
          <w:color w:val="auto"/>
          <w:sz w:val="32"/>
          <w:szCs w:val="32"/>
          <w:lang w:eastAsia="zh-CN"/>
        </w:rPr>
      </w:pPr>
      <w:r w:rsidRPr="00583651">
        <w:rPr>
          <w:rFonts w:ascii="仿宋_GB2312" w:eastAsia="仿宋_GB2312" w:hAnsi="仿宋_GB2312" w:cs="仿宋_GB2312" w:hint="eastAsia"/>
          <w:color w:val="auto"/>
          <w:sz w:val="32"/>
          <w:szCs w:val="32"/>
          <w:lang w:eastAsia="zh-CN"/>
        </w:rPr>
        <w:t>本年度基本支出</w:t>
      </w:r>
      <w:r>
        <w:rPr>
          <w:rFonts w:ascii="仿宋_GB2312" w:eastAsia="仿宋_GB2312" w:hAnsi="仿宋_GB2312" w:cs="仿宋_GB2312"/>
          <w:color w:val="auto"/>
          <w:sz w:val="32"/>
          <w:szCs w:val="32"/>
          <w:lang w:eastAsia="zh-CN"/>
        </w:rPr>
        <w:t>49.92</w:t>
      </w:r>
      <w:r w:rsidRPr="00583651">
        <w:rPr>
          <w:rFonts w:ascii="仿宋_GB2312" w:eastAsia="仿宋_GB2312" w:hAnsi="仿宋_GB2312" w:cs="仿宋_GB2312" w:hint="eastAsia"/>
          <w:color w:val="auto"/>
          <w:sz w:val="32"/>
          <w:szCs w:val="32"/>
          <w:lang w:eastAsia="zh-CN"/>
        </w:rPr>
        <w:t>万元，</w:t>
      </w:r>
      <w:r w:rsidRPr="00E10AA6">
        <w:rPr>
          <w:rFonts w:ascii="仿宋_GB2312" w:eastAsia="仿宋_GB2312" w:hAnsi="仿宋_GB2312" w:cs="仿宋_GB2312" w:hint="eastAsia"/>
          <w:color w:val="auto"/>
          <w:sz w:val="32"/>
          <w:szCs w:val="32"/>
          <w:lang w:eastAsia="zh-CN"/>
        </w:rPr>
        <w:t>其中：</w:t>
      </w:r>
      <w:r w:rsidR="007A207F" w:rsidRPr="00E10AA6">
        <w:rPr>
          <w:rFonts w:ascii="仿宋_GB2312" w:eastAsia="仿宋_GB2312" w:hAnsi="仿宋_GB2312" w:cs="仿宋_GB2312" w:hint="eastAsia"/>
          <w:color w:val="auto"/>
          <w:sz w:val="32"/>
          <w:szCs w:val="32"/>
          <w:lang w:eastAsia="zh-CN"/>
        </w:rPr>
        <w:t>科学技术支出2</w:t>
      </w:r>
      <w:r w:rsidR="007A207F" w:rsidRPr="00E10AA6">
        <w:rPr>
          <w:rFonts w:ascii="仿宋_GB2312" w:eastAsia="仿宋_GB2312" w:hAnsi="仿宋_GB2312" w:cs="仿宋_GB2312"/>
          <w:color w:val="auto"/>
          <w:sz w:val="32"/>
          <w:szCs w:val="32"/>
          <w:lang w:eastAsia="zh-CN"/>
        </w:rPr>
        <w:t>.25</w:t>
      </w:r>
      <w:r w:rsidR="007A207F" w:rsidRPr="00E10AA6">
        <w:rPr>
          <w:rFonts w:ascii="仿宋_GB2312" w:eastAsia="仿宋_GB2312" w:hAnsi="仿宋_GB2312" w:cs="仿宋_GB2312" w:hint="eastAsia"/>
          <w:color w:val="auto"/>
          <w:sz w:val="32"/>
          <w:szCs w:val="32"/>
          <w:lang w:eastAsia="zh-CN"/>
        </w:rPr>
        <w:t>万元，</w:t>
      </w:r>
      <w:r w:rsidRPr="00E10AA6">
        <w:rPr>
          <w:rFonts w:ascii="仿宋_GB2312" w:eastAsia="仿宋_GB2312" w:hAnsi="仿宋_GB2312" w:cs="仿宋_GB2312" w:hint="eastAsia"/>
          <w:color w:val="auto"/>
          <w:sz w:val="32"/>
          <w:szCs w:val="32"/>
          <w:lang w:eastAsia="zh-CN"/>
        </w:rPr>
        <w:t>社会保障和就业支出</w:t>
      </w:r>
      <w:r w:rsidR="00E10AA6" w:rsidRPr="00E10AA6">
        <w:rPr>
          <w:rFonts w:ascii="仿宋_GB2312" w:eastAsia="仿宋_GB2312" w:hAnsi="仿宋_GB2312" w:cs="仿宋_GB2312"/>
          <w:color w:val="auto"/>
          <w:sz w:val="32"/>
          <w:szCs w:val="32"/>
          <w:lang w:eastAsia="zh-CN"/>
        </w:rPr>
        <w:t>41.19</w:t>
      </w:r>
      <w:r w:rsidRPr="00E10AA6">
        <w:rPr>
          <w:rFonts w:ascii="仿宋_GB2312" w:eastAsia="仿宋_GB2312" w:hAnsi="仿宋_GB2312" w:cs="仿宋_GB2312" w:hint="eastAsia"/>
          <w:color w:val="auto"/>
          <w:sz w:val="32"/>
          <w:szCs w:val="32"/>
          <w:lang w:eastAsia="zh-CN"/>
        </w:rPr>
        <w:t>万元，卫生健康支出</w:t>
      </w:r>
      <w:r w:rsidR="00E10AA6" w:rsidRPr="00E10AA6">
        <w:rPr>
          <w:rFonts w:ascii="仿宋_GB2312" w:eastAsia="仿宋_GB2312" w:hAnsi="仿宋_GB2312" w:cs="仿宋_GB2312"/>
          <w:color w:val="auto"/>
          <w:sz w:val="32"/>
          <w:szCs w:val="32"/>
          <w:lang w:eastAsia="zh-CN"/>
        </w:rPr>
        <w:t>2.62</w:t>
      </w:r>
      <w:r w:rsidRPr="00E10AA6">
        <w:rPr>
          <w:rFonts w:ascii="仿宋_GB2312" w:eastAsia="仿宋_GB2312" w:hAnsi="仿宋_GB2312" w:cs="仿宋_GB2312" w:hint="eastAsia"/>
          <w:color w:val="auto"/>
          <w:sz w:val="32"/>
          <w:szCs w:val="32"/>
          <w:lang w:eastAsia="zh-CN"/>
        </w:rPr>
        <w:t>万元，住房保障支出</w:t>
      </w:r>
      <w:r w:rsidR="00E10AA6" w:rsidRPr="00E10AA6">
        <w:rPr>
          <w:rFonts w:ascii="仿宋_GB2312" w:eastAsia="仿宋_GB2312" w:hAnsi="仿宋_GB2312" w:cs="仿宋_GB2312"/>
          <w:color w:val="auto"/>
          <w:sz w:val="32"/>
          <w:szCs w:val="32"/>
          <w:lang w:eastAsia="zh-CN"/>
        </w:rPr>
        <w:t>3.86</w:t>
      </w:r>
      <w:r w:rsidRPr="00E10AA6">
        <w:rPr>
          <w:rFonts w:ascii="仿宋_GB2312" w:eastAsia="仿宋_GB2312" w:hAnsi="仿宋_GB2312" w:cs="仿宋_GB2312" w:hint="eastAsia"/>
          <w:color w:val="auto"/>
          <w:sz w:val="32"/>
          <w:szCs w:val="32"/>
          <w:lang w:eastAsia="zh-CN"/>
        </w:rPr>
        <w:t>万元。</w:t>
      </w:r>
    </w:p>
    <w:p w:rsidR="008F70C4" w:rsidRDefault="00B37616">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bookmarkStart w:id="0" w:name="_GoBack"/>
      <w:bookmarkEnd w:id="0"/>
    </w:p>
    <w:p w:rsidR="005A147E" w:rsidRPr="005A147E" w:rsidRDefault="005A147E" w:rsidP="005A147E">
      <w:pPr>
        <w:spacing w:line="520" w:lineRule="exact"/>
        <w:ind w:left="630"/>
        <w:rPr>
          <w:rFonts w:ascii="Times New Roman" w:eastAsia="仿宋_GB2312" w:hAnsi="Times New Roman" w:cs="Times New Roman"/>
          <w:kern w:val="2"/>
          <w:sz w:val="32"/>
          <w:szCs w:val="32"/>
          <w:lang w:eastAsia="zh-CN"/>
        </w:rPr>
      </w:pPr>
      <w:r w:rsidRPr="005A147E">
        <w:rPr>
          <w:rFonts w:ascii="Times New Roman" w:eastAsia="仿宋_GB2312" w:hAnsi="Times New Roman" w:cs="Times New Roman" w:hint="eastAsia"/>
          <w:kern w:val="2"/>
          <w:sz w:val="32"/>
          <w:szCs w:val="32"/>
          <w:lang w:eastAsia="zh-CN"/>
        </w:rPr>
        <w:t>本单位本年度无</w:t>
      </w:r>
      <w:r w:rsidRPr="005A147E">
        <w:rPr>
          <w:rFonts w:ascii="楷体_GB2312" w:eastAsia="楷体_GB2312" w:hAnsi="楷体_GB2312" w:cs="楷体_GB2312" w:hint="eastAsia"/>
          <w:sz w:val="32"/>
          <w:szCs w:val="32"/>
          <w:lang w:eastAsia="zh-CN"/>
        </w:rPr>
        <w:t>项目</w:t>
      </w:r>
      <w:r w:rsidRPr="005A147E">
        <w:rPr>
          <w:rFonts w:ascii="Times New Roman" w:eastAsia="仿宋_GB2312" w:hAnsi="Times New Roman" w:cs="Times New Roman" w:hint="eastAsia"/>
          <w:kern w:val="2"/>
          <w:sz w:val="32"/>
          <w:szCs w:val="32"/>
          <w:lang w:eastAsia="zh-CN"/>
        </w:rPr>
        <w:t>支出。</w:t>
      </w:r>
    </w:p>
    <w:p w:rsidR="00263B26" w:rsidRDefault="00B37616" w:rsidP="00263B26">
      <w:pPr>
        <w:pStyle w:val="a5"/>
        <w:spacing w:line="520" w:lineRule="exact"/>
        <w:ind w:leftChars="200" w:left="420" w:firstLineChars="100" w:firstLine="320"/>
        <w:rPr>
          <w:rFonts w:ascii="Times New Roman" w:eastAsia="黑体" w:hAnsi="Times New Roman"/>
          <w:sz w:val="32"/>
          <w:szCs w:val="32"/>
          <w:lang w:eastAsia="zh-CN"/>
        </w:rPr>
      </w:pPr>
      <w:r>
        <w:rPr>
          <w:rFonts w:ascii="Times New Roman" w:eastAsia="黑体" w:hAnsi="Times New Roman" w:hint="eastAsia"/>
          <w:sz w:val="32"/>
          <w:szCs w:val="32"/>
          <w:lang w:eastAsia="zh-CN"/>
        </w:rPr>
        <w:t>三、</w:t>
      </w:r>
      <w:r>
        <w:rPr>
          <w:rFonts w:ascii="Times New Roman" w:eastAsia="黑体" w:hAnsi="Times New Roman"/>
          <w:sz w:val="32"/>
          <w:szCs w:val="32"/>
          <w:lang w:eastAsia="zh-CN"/>
        </w:rPr>
        <w:t>政府性基金预算支出情况</w:t>
      </w:r>
    </w:p>
    <w:p w:rsidR="008F70C4" w:rsidRPr="00263B26" w:rsidRDefault="00263B26" w:rsidP="00263B26">
      <w:pPr>
        <w:pStyle w:val="a5"/>
        <w:spacing w:line="520" w:lineRule="exact"/>
        <w:ind w:leftChars="200" w:left="420" w:firstLineChars="100" w:firstLine="320"/>
        <w:rPr>
          <w:rFonts w:ascii="Times New Roman" w:eastAsia="黑体" w:hAnsi="Times New Roman"/>
          <w:sz w:val="32"/>
          <w:szCs w:val="32"/>
          <w:lang w:eastAsia="zh-CN"/>
        </w:rPr>
      </w:pPr>
      <w:r w:rsidRPr="00263B26">
        <w:rPr>
          <w:rFonts w:ascii="Times New Roman" w:eastAsia="仿宋_GB2312" w:hAnsi="Times New Roman" w:hint="eastAsia"/>
          <w:kern w:val="2"/>
          <w:sz w:val="32"/>
          <w:szCs w:val="32"/>
          <w:lang w:eastAsia="zh-CN"/>
        </w:rPr>
        <w:t>本单位</w:t>
      </w:r>
      <w:r w:rsidRPr="00263B26">
        <w:rPr>
          <w:rFonts w:ascii="仿宋_GB2312" w:eastAsia="仿宋_GB2312" w:hAnsi="仿宋_GB2312" w:cs="仿宋_GB2312" w:hint="eastAsia"/>
          <w:sz w:val="32"/>
          <w:szCs w:val="32"/>
          <w:lang w:eastAsia="zh-CN"/>
        </w:rPr>
        <w:t>本年度无政府性基金预算支出。</w:t>
      </w:r>
    </w:p>
    <w:p w:rsidR="00263B26" w:rsidRDefault="00B37616" w:rsidP="00263B26">
      <w:pPr>
        <w:pStyle w:val="a5"/>
        <w:spacing w:line="520" w:lineRule="exact"/>
        <w:ind w:leftChars="200" w:left="420" w:firstLineChars="100" w:firstLine="320"/>
        <w:rPr>
          <w:rFonts w:ascii="Times New Roman" w:eastAsia="黑体" w:hAnsi="Times New Roman"/>
          <w:sz w:val="32"/>
          <w:szCs w:val="32"/>
          <w:lang w:eastAsia="zh-CN"/>
        </w:rPr>
      </w:pPr>
      <w:r>
        <w:rPr>
          <w:rFonts w:ascii="Times New Roman" w:eastAsia="黑体" w:hAnsi="Times New Roman" w:hint="eastAsia"/>
          <w:sz w:val="32"/>
          <w:szCs w:val="32"/>
          <w:lang w:eastAsia="zh-CN"/>
        </w:rPr>
        <w:t>四、国有资本经营预算支出情况</w:t>
      </w:r>
    </w:p>
    <w:p w:rsidR="008F70C4" w:rsidRPr="00263B26" w:rsidRDefault="00263B26" w:rsidP="00263B26">
      <w:pPr>
        <w:pStyle w:val="a5"/>
        <w:spacing w:line="520" w:lineRule="exact"/>
        <w:ind w:leftChars="200" w:left="420" w:firstLineChars="100" w:firstLine="320"/>
        <w:rPr>
          <w:rFonts w:ascii="Times New Roman" w:eastAsia="黑体" w:hAnsi="Times New Roman"/>
          <w:sz w:val="32"/>
          <w:szCs w:val="32"/>
          <w:lang w:eastAsia="zh-CN"/>
        </w:rPr>
      </w:pPr>
      <w:r w:rsidRPr="00263B26">
        <w:rPr>
          <w:rFonts w:ascii="Times New Roman" w:eastAsia="仿宋_GB2312" w:hAnsi="Times New Roman" w:hint="eastAsia"/>
          <w:kern w:val="2"/>
          <w:sz w:val="32"/>
          <w:szCs w:val="32"/>
          <w:lang w:eastAsia="zh-CN"/>
        </w:rPr>
        <w:t>本单位</w:t>
      </w:r>
      <w:r w:rsidRPr="00263B26">
        <w:rPr>
          <w:rFonts w:ascii="仿宋_GB2312" w:eastAsia="仿宋_GB2312" w:hAnsi="仿宋_GB2312" w:cs="仿宋_GB2312" w:hint="eastAsia"/>
          <w:sz w:val="32"/>
          <w:szCs w:val="32"/>
          <w:lang w:eastAsia="zh-CN"/>
        </w:rPr>
        <w:t>本年度无国有资本经营预算支出。</w:t>
      </w:r>
    </w:p>
    <w:p w:rsidR="00263B26" w:rsidRDefault="00B37616" w:rsidP="00263B26">
      <w:pPr>
        <w:pStyle w:val="a5"/>
        <w:spacing w:line="520" w:lineRule="exact"/>
        <w:ind w:leftChars="200" w:left="420" w:firstLineChars="100" w:firstLine="32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263B26" w:rsidRPr="00263B26" w:rsidRDefault="00263B26" w:rsidP="00263B26">
      <w:pPr>
        <w:pStyle w:val="a5"/>
        <w:spacing w:line="520" w:lineRule="exact"/>
        <w:ind w:leftChars="200" w:left="420" w:firstLineChars="100" w:firstLine="320"/>
        <w:rPr>
          <w:rFonts w:ascii="Times New Roman" w:eastAsia="黑体" w:hAnsi="Times New Roman"/>
          <w:sz w:val="32"/>
          <w:szCs w:val="32"/>
          <w:lang w:eastAsia="zh-CN"/>
        </w:rPr>
      </w:pPr>
      <w:r w:rsidRPr="00263B26">
        <w:rPr>
          <w:rFonts w:ascii="Times New Roman" w:eastAsia="仿宋_GB2312" w:hAnsi="Times New Roman" w:hint="eastAsia"/>
          <w:kern w:val="2"/>
          <w:sz w:val="32"/>
          <w:szCs w:val="32"/>
          <w:lang w:eastAsia="zh-CN"/>
        </w:rPr>
        <w:t>本单位</w:t>
      </w:r>
      <w:r w:rsidRPr="00263B26">
        <w:rPr>
          <w:rFonts w:ascii="仿宋_GB2312" w:eastAsia="仿宋_GB2312" w:hAnsi="仿宋_GB2312" w:cs="仿宋_GB2312" w:hint="eastAsia"/>
          <w:sz w:val="32"/>
          <w:szCs w:val="32"/>
          <w:lang w:eastAsia="zh-CN"/>
        </w:rPr>
        <w:t>本年度无社会保险基金预算支出。</w:t>
      </w:r>
    </w:p>
    <w:p w:rsidR="008F70C4" w:rsidRPr="00263B26" w:rsidRDefault="008F70C4">
      <w:pPr>
        <w:pStyle w:val="a5"/>
        <w:spacing w:line="520" w:lineRule="exact"/>
        <w:ind w:left="640" w:firstLineChars="0" w:firstLine="0"/>
        <w:rPr>
          <w:rFonts w:ascii="Times New Roman" w:eastAsia="黑体" w:hAnsi="Times New Roman"/>
          <w:sz w:val="32"/>
          <w:szCs w:val="32"/>
          <w:lang w:eastAsia="zh-CN"/>
        </w:rPr>
      </w:pPr>
    </w:p>
    <w:p w:rsidR="008F70C4" w:rsidRDefault="00B37616">
      <w:pPr>
        <w:spacing w:line="52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F5742B" w:rsidRDefault="00F5742B" w:rsidP="00F5742B">
      <w:pPr>
        <w:spacing w:line="560" w:lineRule="exact"/>
        <w:ind w:firstLineChars="200" w:firstLine="640"/>
        <w:rPr>
          <w:rFonts w:ascii="仿宋_GB2312" w:eastAsia="仿宋_GB2312" w:hAnsi="Calibri" w:cs="Times New Roman"/>
          <w:snapToGrid/>
          <w:color w:val="auto"/>
          <w:sz w:val="32"/>
          <w:szCs w:val="32"/>
          <w:lang w:eastAsia="zh-CN"/>
        </w:rPr>
      </w:pPr>
      <w:r>
        <w:rPr>
          <w:rFonts w:ascii="仿宋_GB2312" w:eastAsia="仿宋_GB2312" w:hint="eastAsia"/>
          <w:sz w:val="32"/>
          <w:szCs w:val="32"/>
          <w:lang w:eastAsia="zh-CN"/>
        </w:rPr>
        <w:t xml:space="preserve">2024年县红十字会以习近平新时代中国特色社会主义思想为指导，以党的二十大精神指引。坚持以人为本，广泛开展人道救灾、救护、救助等工作，为构建和谐社会做出积极贡献。现将一年来工作情况总结如下:  </w:t>
      </w:r>
    </w:p>
    <w:p w:rsidR="00F5742B" w:rsidRDefault="00F5742B" w:rsidP="00F5742B">
      <w:pPr>
        <w:spacing w:line="560" w:lineRule="exact"/>
        <w:ind w:firstLineChars="200" w:firstLine="643"/>
        <w:rPr>
          <w:rFonts w:ascii="楷体" w:eastAsia="楷体" w:hAnsi="楷体" w:hint="eastAsia"/>
          <w:b/>
          <w:bCs/>
          <w:sz w:val="32"/>
          <w:szCs w:val="32"/>
          <w:lang w:eastAsia="zh-CN"/>
        </w:rPr>
      </w:pPr>
      <w:r>
        <w:rPr>
          <w:rFonts w:ascii="楷体" w:eastAsia="楷体" w:hAnsi="楷体" w:hint="eastAsia"/>
          <w:b/>
          <w:bCs/>
          <w:sz w:val="32"/>
          <w:szCs w:val="32"/>
          <w:lang w:eastAsia="zh-CN"/>
        </w:rPr>
        <w:t>（一）加强政治学习，为红会工作提供有力保障</w:t>
      </w:r>
    </w:p>
    <w:p w:rsidR="00F5742B" w:rsidRDefault="00F5742B" w:rsidP="00F5742B">
      <w:pPr>
        <w:spacing w:line="560" w:lineRule="exact"/>
        <w:ind w:firstLineChars="200" w:firstLine="640"/>
        <w:rPr>
          <w:rFonts w:ascii="仿宋_GB2312" w:eastAsia="仿宋_GB2312" w:hAnsi="Calibri" w:hint="eastAsia"/>
          <w:sz w:val="32"/>
          <w:szCs w:val="32"/>
          <w:lang w:eastAsia="zh-CN"/>
        </w:rPr>
      </w:pPr>
      <w:r>
        <w:rPr>
          <w:rFonts w:ascii="仿宋_GB2312" w:eastAsia="仿宋_GB2312" w:hint="eastAsia"/>
          <w:sz w:val="32"/>
          <w:szCs w:val="32"/>
          <w:lang w:eastAsia="zh-CN"/>
        </w:rPr>
        <w:t>一是扎实推进主题教育和党的二十大精神落地落实。制定实施方案，成立主题教育领导小组，并积极开展“宣讲党的二十大精神”活动。同时将习近平总书记向中国红十字会第十二次全国会员代表大会的致信要求与本单位实际工作紧密联系起来，让红会今后的工作有了明确的方向。</w:t>
      </w:r>
    </w:p>
    <w:p w:rsidR="00F5742B" w:rsidRDefault="00F5742B" w:rsidP="00F5742B">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二是以十三届县委第五轮巡查察第四巡察组对我会进行常规巡察为契机，强化责任担当，认真组织全面整改。让红会各项工作得到进一步规范。</w:t>
      </w:r>
    </w:p>
    <w:p w:rsidR="00F5742B" w:rsidRDefault="00F5742B" w:rsidP="00F5742B">
      <w:pPr>
        <w:widowControl w:val="0"/>
        <w:numPr>
          <w:ilvl w:val="0"/>
          <w:numId w:val="3"/>
        </w:numPr>
        <w:kinsoku/>
        <w:autoSpaceDE/>
        <w:autoSpaceDN/>
        <w:adjustRightInd/>
        <w:snapToGrid/>
        <w:spacing w:line="560" w:lineRule="exact"/>
        <w:ind w:firstLineChars="200" w:firstLine="643"/>
        <w:jc w:val="both"/>
        <w:textAlignment w:val="auto"/>
        <w:rPr>
          <w:rFonts w:ascii="仿宋" w:eastAsia="仿宋" w:hAnsi="仿宋" w:cs="仿宋" w:hint="eastAsia"/>
          <w:b/>
          <w:bCs/>
          <w:sz w:val="32"/>
          <w:szCs w:val="32"/>
          <w:shd w:val="clear" w:color="auto" w:fill="FFFFFF"/>
          <w:lang w:eastAsia="zh-CN"/>
        </w:rPr>
      </w:pPr>
      <w:r>
        <w:rPr>
          <w:rFonts w:ascii="仿宋" w:eastAsia="仿宋" w:hAnsi="仿宋" w:cs="仿宋" w:hint="eastAsia"/>
          <w:b/>
          <w:bCs/>
          <w:sz w:val="32"/>
          <w:szCs w:val="32"/>
          <w:shd w:val="clear" w:color="auto" w:fill="FFFFFF"/>
          <w:lang w:eastAsia="zh-CN"/>
        </w:rPr>
        <w:t>抓</w:t>
      </w:r>
      <w:proofErr w:type="gramStart"/>
      <w:r>
        <w:rPr>
          <w:rFonts w:ascii="仿宋" w:eastAsia="仿宋" w:hAnsi="仿宋" w:cs="仿宋" w:hint="eastAsia"/>
          <w:b/>
          <w:bCs/>
          <w:sz w:val="32"/>
          <w:szCs w:val="32"/>
          <w:shd w:val="clear" w:color="auto" w:fill="FFFFFF"/>
          <w:lang w:eastAsia="zh-CN"/>
        </w:rPr>
        <w:t>实核心</w:t>
      </w:r>
      <w:proofErr w:type="gramEnd"/>
      <w:r>
        <w:rPr>
          <w:rFonts w:ascii="仿宋" w:eastAsia="仿宋" w:hAnsi="仿宋" w:cs="仿宋" w:hint="eastAsia"/>
          <w:b/>
          <w:bCs/>
          <w:sz w:val="32"/>
          <w:szCs w:val="32"/>
          <w:shd w:val="clear" w:color="auto" w:fill="FFFFFF"/>
          <w:lang w:eastAsia="zh-CN"/>
        </w:rPr>
        <w:t>业务，推进人道事业持续发展</w:t>
      </w:r>
    </w:p>
    <w:p w:rsidR="00F5742B" w:rsidRDefault="00F5742B" w:rsidP="00F5742B">
      <w:pPr>
        <w:widowControl w:val="0"/>
        <w:numPr>
          <w:ilvl w:val="0"/>
          <w:numId w:val="4"/>
        </w:numPr>
        <w:kinsoku/>
        <w:autoSpaceDE/>
        <w:autoSpaceDN/>
        <w:adjustRightInd/>
        <w:snapToGrid/>
        <w:spacing w:line="560" w:lineRule="exact"/>
        <w:ind w:firstLineChars="200" w:firstLine="643"/>
        <w:jc w:val="both"/>
        <w:textAlignment w:val="auto"/>
        <w:rPr>
          <w:rFonts w:ascii="仿宋_GB2312" w:eastAsia="仿宋_GB2312" w:hAnsi="Calibri" w:cs="Times New Roman" w:hint="eastAsia"/>
          <w:b/>
          <w:bCs/>
          <w:color w:val="auto"/>
          <w:sz w:val="32"/>
          <w:szCs w:val="32"/>
        </w:rPr>
      </w:pPr>
      <w:r>
        <w:rPr>
          <w:rFonts w:ascii="仿宋_GB2312" w:eastAsia="仿宋_GB2312" w:hint="eastAsia"/>
          <w:b/>
          <w:bCs/>
          <w:sz w:val="32"/>
          <w:szCs w:val="32"/>
        </w:rPr>
        <w:t>“</w:t>
      </w:r>
      <w:proofErr w:type="spellStart"/>
      <w:proofErr w:type="gramStart"/>
      <w:r>
        <w:rPr>
          <w:rFonts w:ascii="仿宋_GB2312" w:eastAsia="仿宋_GB2312" w:hint="eastAsia"/>
          <w:b/>
          <w:bCs/>
          <w:sz w:val="32"/>
          <w:szCs w:val="32"/>
        </w:rPr>
        <w:t>三献”工作情况</w:t>
      </w:r>
      <w:proofErr w:type="spellEnd"/>
      <w:proofErr w:type="gramEnd"/>
      <w:r>
        <w:rPr>
          <w:rFonts w:ascii="仿宋_GB2312" w:eastAsia="仿宋_GB2312" w:hint="eastAsia"/>
          <w:b/>
          <w:bCs/>
          <w:sz w:val="32"/>
          <w:szCs w:val="32"/>
        </w:rPr>
        <w:t>。</w:t>
      </w:r>
    </w:p>
    <w:p w:rsidR="00F5742B" w:rsidRDefault="00F5742B" w:rsidP="00F5742B">
      <w:pPr>
        <w:spacing w:line="560" w:lineRule="exact"/>
        <w:ind w:firstLineChars="200" w:firstLine="640"/>
        <w:rPr>
          <w:rFonts w:ascii="仿宋_GB2312" w:eastAsia="仿宋_GB2312" w:hint="eastAsia"/>
          <w:b/>
          <w:bCs/>
          <w:sz w:val="32"/>
          <w:szCs w:val="32"/>
          <w:lang w:eastAsia="zh-CN"/>
        </w:rPr>
      </w:pPr>
      <w:r>
        <w:rPr>
          <w:rFonts w:ascii="仿宋_GB2312" w:eastAsia="仿宋_GB2312" w:hint="eastAsia"/>
          <w:sz w:val="32"/>
          <w:szCs w:val="32"/>
          <w:lang w:eastAsia="zh-CN"/>
        </w:rPr>
        <w:t>结合“献血者日”“无偿献血宣传周”“3.15学雷锋日”等主题活动协调发动各单位和人民群众参与无偿献血。红十字会无偿献血分队的志愿者们不定期开展无偿献血志愿服务20余场，全年志愿服务人数 262人/次，志愿服务时长820小时。截止11月底，全县参加无偿献血815人次，献血总量1343.55个单位，完成全年献血总量的79.9%。炎陵红会在12月份将加大宣传力度，积极主动联系各单位完成全年献血任务。</w:t>
      </w:r>
    </w:p>
    <w:p w:rsidR="00F5742B" w:rsidRDefault="00F5742B" w:rsidP="00F5742B">
      <w:pPr>
        <w:widowControl w:val="0"/>
        <w:numPr>
          <w:ilvl w:val="0"/>
          <w:numId w:val="4"/>
        </w:numPr>
        <w:kinsoku/>
        <w:autoSpaceDE/>
        <w:autoSpaceDN/>
        <w:adjustRightInd/>
        <w:snapToGrid/>
        <w:spacing w:line="560" w:lineRule="exact"/>
        <w:ind w:firstLineChars="200" w:firstLine="643"/>
        <w:jc w:val="both"/>
        <w:textAlignment w:val="auto"/>
        <w:rPr>
          <w:rFonts w:ascii="仿宋_GB2312" w:eastAsia="仿宋_GB2312" w:hint="eastAsia"/>
          <w:b/>
          <w:bCs/>
          <w:sz w:val="32"/>
          <w:szCs w:val="32"/>
        </w:rPr>
      </w:pPr>
      <w:proofErr w:type="spellStart"/>
      <w:r>
        <w:rPr>
          <w:rFonts w:ascii="仿宋_GB2312" w:eastAsia="仿宋_GB2312" w:hint="eastAsia"/>
          <w:b/>
          <w:bCs/>
          <w:sz w:val="32"/>
          <w:szCs w:val="32"/>
        </w:rPr>
        <w:lastRenderedPageBreak/>
        <w:t>人道救助情况</w:t>
      </w:r>
      <w:proofErr w:type="spellEnd"/>
      <w:r>
        <w:rPr>
          <w:rFonts w:ascii="仿宋_GB2312" w:eastAsia="仿宋_GB2312" w:hint="eastAsia"/>
          <w:b/>
          <w:bCs/>
          <w:sz w:val="32"/>
          <w:szCs w:val="32"/>
        </w:rPr>
        <w:t>。</w:t>
      </w:r>
    </w:p>
    <w:p w:rsidR="00F5742B" w:rsidRDefault="00F5742B" w:rsidP="00F5742B">
      <w:pPr>
        <w:spacing w:line="560" w:lineRule="exact"/>
        <w:ind w:firstLineChars="200" w:firstLine="643"/>
        <w:rPr>
          <w:rFonts w:ascii="仿宋_GB2312" w:eastAsia="仿宋_GB2312" w:hint="eastAsia"/>
          <w:b/>
          <w:bCs/>
          <w:sz w:val="32"/>
          <w:szCs w:val="32"/>
          <w:lang w:eastAsia="zh-CN"/>
        </w:rPr>
      </w:pPr>
      <w:r>
        <w:rPr>
          <w:rFonts w:ascii="仿宋_GB2312" w:eastAsia="仿宋_GB2312" w:hint="eastAsia"/>
          <w:b/>
          <w:bCs/>
          <w:sz w:val="32"/>
          <w:szCs w:val="32"/>
          <w:lang w:eastAsia="zh-CN"/>
        </w:rPr>
        <w:t>以“5·8人道公益日”活动依托</w:t>
      </w:r>
      <w:r>
        <w:rPr>
          <w:rFonts w:ascii="仿宋_GB2312" w:eastAsia="仿宋_GB2312" w:hint="eastAsia"/>
          <w:sz w:val="32"/>
          <w:szCs w:val="32"/>
          <w:lang w:eastAsia="zh-CN"/>
        </w:rPr>
        <w:t>通过省红十字会、</w:t>
      </w:r>
      <w:proofErr w:type="gramStart"/>
      <w:r>
        <w:rPr>
          <w:rFonts w:ascii="仿宋_GB2312" w:eastAsia="仿宋_GB2312" w:hint="eastAsia"/>
          <w:sz w:val="32"/>
          <w:szCs w:val="32"/>
          <w:lang w:eastAsia="zh-CN"/>
        </w:rPr>
        <w:t>腾讯公益</w:t>
      </w:r>
      <w:proofErr w:type="gramEnd"/>
      <w:r>
        <w:rPr>
          <w:rFonts w:ascii="仿宋_GB2312" w:eastAsia="仿宋_GB2312" w:hint="eastAsia"/>
          <w:sz w:val="32"/>
          <w:szCs w:val="32"/>
          <w:lang w:eastAsia="zh-CN"/>
        </w:rPr>
        <w:t>平台，通过网络</w:t>
      </w:r>
      <w:proofErr w:type="gramStart"/>
      <w:r>
        <w:rPr>
          <w:rFonts w:ascii="仿宋_GB2312" w:eastAsia="仿宋_GB2312" w:hint="eastAsia"/>
          <w:sz w:val="32"/>
          <w:szCs w:val="32"/>
          <w:lang w:eastAsia="zh-CN"/>
        </w:rPr>
        <w:t>众筹方</w:t>
      </w:r>
      <w:proofErr w:type="gramEnd"/>
      <w:r>
        <w:rPr>
          <w:rFonts w:ascii="仿宋_GB2312" w:eastAsia="仿宋_GB2312" w:hint="eastAsia"/>
          <w:sz w:val="32"/>
          <w:szCs w:val="32"/>
          <w:lang w:eastAsia="zh-CN"/>
        </w:rPr>
        <w:t>式募集公益资金10119.18元，用于帮助我县贫困群众。</w:t>
      </w:r>
      <w:r>
        <w:rPr>
          <w:rFonts w:ascii="仿宋_GB2312" w:eastAsia="仿宋_GB2312" w:hint="eastAsia"/>
          <w:b/>
          <w:bCs/>
          <w:sz w:val="32"/>
          <w:szCs w:val="32"/>
          <w:lang w:eastAsia="zh-CN"/>
        </w:rPr>
        <w:t>以“湖南省大病救助项目”为载体。</w:t>
      </w:r>
      <w:proofErr w:type="gramStart"/>
      <w:r>
        <w:rPr>
          <w:rFonts w:ascii="仿宋_GB2312" w:eastAsia="仿宋_GB2312" w:hint="eastAsia"/>
          <w:sz w:val="32"/>
          <w:szCs w:val="32"/>
          <w:lang w:eastAsia="zh-CN"/>
        </w:rPr>
        <w:t>向省红会</w:t>
      </w:r>
      <w:proofErr w:type="gramEnd"/>
      <w:r>
        <w:rPr>
          <w:rFonts w:ascii="仿宋_GB2312" w:eastAsia="仿宋_GB2312" w:hint="eastAsia"/>
          <w:sz w:val="32"/>
          <w:szCs w:val="32"/>
          <w:lang w:eastAsia="zh-CN"/>
        </w:rPr>
        <w:t>申请人道救助，全县共有9户大病困难群众分别获得5000元救助金。</w:t>
      </w:r>
      <w:r>
        <w:rPr>
          <w:rFonts w:ascii="仿宋_GB2312" w:eastAsia="仿宋_GB2312" w:hint="eastAsia"/>
          <w:b/>
          <w:bCs/>
          <w:sz w:val="32"/>
          <w:szCs w:val="32"/>
          <w:lang w:eastAsia="zh-CN"/>
        </w:rPr>
        <w:t>以“红十字博爱送万家”活动为载体。</w:t>
      </w:r>
      <w:r>
        <w:rPr>
          <w:rFonts w:ascii="仿宋_GB2312" w:eastAsia="仿宋_GB2312" w:hint="eastAsia"/>
          <w:sz w:val="32"/>
          <w:szCs w:val="32"/>
          <w:lang w:eastAsia="zh-CN"/>
        </w:rPr>
        <w:t>春节前后省、市红会向炎陵红会分配的冲锋衣、毛毯、食品等生活物资温暖箱300个已全部发放到困难群众手中，为困难群众送去党委政府的温暖和关怀。</w:t>
      </w:r>
    </w:p>
    <w:p w:rsidR="00F5742B" w:rsidRDefault="00F5742B" w:rsidP="00F5742B">
      <w:pPr>
        <w:widowControl w:val="0"/>
        <w:numPr>
          <w:ilvl w:val="0"/>
          <w:numId w:val="4"/>
        </w:numPr>
        <w:kinsoku/>
        <w:autoSpaceDE/>
        <w:autoSpaceDN/>
        <w:adjustRightInd/>
        <w:snapToGrid/>
        <w:spacing w:line="560" w:lineRule="exact"/>
        <w:ind w:firstLineChars="200" w:firstLine="643"/>
        <w:jc w:val="both"/>
        <w:textAlignment w:val="auto"/>
        <w:rPr>
          <w:rFonts w:ascii="仿宋_GB2312" w:eastAsia="仿宋_GB2312" w:hint="eastAsia"/>
          <w:sz w:val="32"/>
          <w:szCs w:val="32"/>
        </w:rPr>
      </w:pPr>
      <w:proofErr w:type="spellStart"/>
      <w:r>
        <w:rPr>
          <w:rFonts w:ascii="仿宋_GB2312" w:eastAsia="仿宋_GB2312" w:hint="eastAsia"/>
          <w:b/>
          <w:bCs/>
          <w:sz w:val="32"/>
          <w:szCs w:val="32"/>
        </w:rPr>
        <w:t>应急救护工作情况</w:t>
      </w:r>
      <w:proofErr w:type="spellEnd"/>
      <w:r>
        <w:rPr>
          <w:rFonts w:ascii="仿宋_GB2312" w:eastAsia="仿宋_GB2312" w:hint="eastAsia"/>
          <w:b/>
          <w:bCs/>
          <w:sz w:val="32"/>
          <w:szCs w:val="32"/>
        </w:rPr>
        <w:t>。</w:t>
      </w:r>
    </w:p>
    <w:p w:rsidR="00F5742B" w:rsidRDefault="00F5742B" w:rsidP="00F5742B">
      <w:pPr>
        <w:spacing w:line="560" w:lineRule="exact"/>
        <w:ind w:firstLineChars="200" w:firstLine="640"/>
        <w:rPr>
          <w:rFonts w:ascii="仿宋_GB2312" w:eastAsia="仿宋_GB2312" w:hint="eastAsia"/>
          <w:sz w:val="32"/>
          <w:szCs w:val="32"/>
          <w:lang w:eastAsia="zh-CN"/>
        </w:rPr>
      </w:pPr>
      <w:r>
        <w:rPr>
          <w:rFonts w:ascii="仿宋_GB2312" w:eastAsia="仿宋_GB2312" w:hint="eastAsia"/>
          <w:sz w:val="32"/>
          <w:szCs w:val="32"/>
          <w:lang w:eastAsia="zh-CN"/>
        </w:rPr>
        <w:t>一是联合炎陵县职业学校由职校提供场地，红会提供救护培训器材以及培训指导，建立了炎陵县职校红十字救护培训基地，解决了红会救护培训无固定场地的困难。并派送职校两位老师</w:t>
      </w:r>
      <w:proofErr w:type="gramStart"/>
      <w:r>
        <w:rPr>
          <w:rFonts w:ascii="仿宋_GB2312" w:eastAsia="仿宋_GB2312" w:hint="eastAsia"/>
          <w:sz w:val="32"/>
          <w:szCs w:val="32"/>
          <w:lang w:eastAsia="zh-CN"/>
        </w:rPr>
        <w:t>到省红会</w:t>
      </w:r>
      <w:proofErr w:type="gramEnd"/>
      <w:r>
        <w:rPr>
          <w:rFonts w:ascii="仿宋_GB2312" w:eastAsia="仿宋_GB2312" w:hint="eastAsia"/>
          <w:sz w:val="32"/>
          <w:szCs w:val="32"/>
          <w:lang w:eastAsia="zh-CN"/>
        </w:rPr>
        <w:t>进行救护师资培训，作为基地的培训老师。二是全年多次开展应急救护培训，先后为炎陵县交警大队、炎陵县看守所、龙溪乡政府、</w:t>
      </w:r>
      <w:proofErr w:type="gramStart"/>
      <w:r>
        <w:rPr>
          <w:rFonts w:ascii="仿宋_GB2312" w:eastAsia="仿宋_GB2312" w:hint="eastAsia"/>
          <w:sz w:val="32"/>
          <w:szCs w:val="32"/>
          <w:lang w:eastAsia="zh-CN"/>
        </w:rPr>
        <w:t>东信棉业</w:t>
      </w:r>
      <w:proofErr w:type="gramEnd"/>
      <w:r>
        <w:rPr>
          <w:rFonts w:ascii="仿宋_GB2312" w:eastAsia="仿宋_GB2312" w:hint="eastAsia"/>
          <w:sz w:val="32"/>
          <w:szCs w:val="32"/>
          <w:lang w:eastAsia="zh-CN"/>
        </w:rPr>
        <w:t>等单位开展应急救护培训工作，全年共377人取得初级救护员资格、应急救护普及人数达1000余人次，</w:t>
      </w:r>
      <w:r>
        <w:rPr>
          <w:rFonts w:ascii="仿宋_GB2312" w:eastAsia="仿宋_GB2312" w:hAnsi="仿宋_GB2312" w:cs="仿宋_GB2312" w:hint="eastAsia"/>
          <w:sz w:val="32"/>
          <w:szCs w:val="32"/>
          <w:lang w:eastAsia="zh-CN"/>
        </w:rPr>
        <w:t>发放培训资料5000份，</w:t>
      </w:r>
      <w:r>
        <w:rPr>
          <w:rFonts w:ascii="仿宋_GB2312" w:eastAsia="仿宋_GB2312" w:hint="eastAsia"/>
          <w:sz w:val="32"/>
          <w:szCs w:val="32"/>
          <w:lang w:eastAsia="zh-CN"/>
        </w:rPr>
        <w:t>让“人人学急救、急救为人人”的理念深入人心。</w:t>
      </w:r>
    </w:p>
    <w:p w:rsidR="00F5742B" w:rsidRDefault="00F5742B" w:rsidP="00F5742B">
      <w:pPr>
        <w:widowControl w:val="0"/>
        <w:numPr>
          <w:ilvl w:val="0"/>
          <w:numId w:val="4"/>
        </w:numPr>
        <w:kinsoku/>
        <w:autoSpaceDE/>
        <w:autoSpaceDN/>
        <w:adjustRightInd/>
        <w:snapToGrid/>
        <w:spacing w:line="560" w:lineRule="exact"/>
        <w:ind w:firstLineChars="200" w:firstLine="643"/>
        <w:jc w:val="both"/>
        <w:textAlignment w:val="auto"/>
        <w:rPr>
          <w:rFonts w:ascii="仿宋_GB2312" w:eastAsia="仿宋_GB2312" w:hint="eastAsia"/>
          <w:b/>
          <w:bCs/>
          <w:sz w:val="32"/>
          <w:szCs w:val="32"/>
        </w:rPr>
      </w:pPr>
      <w:proofErr w:type="spellStart"/>
      <w:r>
        <w:rPr>
          <w:rFonts w:ascii="仿宋_GB2312" w:eastAsia="仿宋_GB2312" w:hint="eastAsia"/>
          <w:b/>
          <w:bCs/>
          <w:sz w:val="32"/>
          <w:szCs w:val="32"/>
        </w:rPr>
        <w:t>救灾备灾工作情况</w:t>
      </w:r>
      <w:proofErr w:type="spellEnd"/>
      <w:r>
        <w:rPr>
          <w:rFonts w:ascii="仿宋_GB2312" w:eastAsia="仿宋_GB2312" w:hint="eastAsia"/>
          <w:b/>
          <w:bCs/>
          <w:sz w:val="32"/>
          <w:szCs w:val="32"/>
        </w:rPr>
        <w:t>。</w:t>
      </w:r>
    </w:p>
    <w:p w:rsidR="00F5742B" w:rsidRDefault="00F5742B" w:rsidP="00F5742B">
      <w:pPr>
        <w:spacing w:line="560" w:lineRule="exact"/>
        <w:rPr>
          <w:rFonts w:ascii="仿宋_GB2312" w:eastAsia="仿宋_GB2312" w:hint="eastAsia"/>
          <w:sz w:val="32"/>
          <w:szCs w:val="32"/>
          <w:lang w:eastAsia="zh-CN"/>
        </w:rPr>
      </w:pPr>
      <w:r>
        <w:rPr>
          <w:rFonts w:ascii="仿宋_GB2312" w:eastAsia="仿宋_GB2312" w:hint="eastAsia"/>
          <w:b/>
          <w:bCs/>
          <w:sz w:val="32"/>
          <w:szCs w:val="32"/>
          <w:lang w:eastAsia="zh-CN"/>
        </w:rPr>
        <w:t xml:space="preserve">     </w:t>
      </w:r>
      <w:r>
        <w:rPr>
          <w:rFonts w:ascii="仿宋_GB2312" w:eastAsia="仿宋_GB2312" w:hint="eastAsia"/>
          <w:sz w:val="32"/>
          <w:szCs w:val="32"/>
          <w:lang w:eastAsia="zh-CN"/>
        </w:rPr>
        <w:t>一是今年7.27日的特大洪灾，炎陵县红会及时向上级红会申报灾情并申请救助。8月1日救灾物资运抵炎陵，我会第一时间联系受灾严重的中村乡</w:t>
      </w:r>
      <w:r>
        <w:rPr>
          <w:rFonts w:ascii="仿宋_GB2312" w:eastAsia="仿宋_GB2312" w:hint="eastAsia"/>
          <w:b/>
          <w:bCs/>
          <w:sz w:val="32"/>
          <w:szCs w:val="32"/>
          <w:lang w:eastAsia="zh-CN"/>
        </w:rPr>
        <w:t>、</w:t>
      </w:r>
      <w:r>
        <w:rPr>
          <w:rFonts w:ascii="仿宋_GB2312" w:eastAsia="仿宋_GB2312" w:hint="eastAsia"/>
          <w:sz w:val="32"/>
          <w:szCs w:val="32"/>
          <w:lang w:eastAsia="zh-CN"/>
        </w:rPr>
        <w:t>鹿原等4个乡镇，将物资尽快发放到受灾群众手中。（此次救灾物资共计家庭救护包</w:t>
      </w:r>
      <w:r>
        <w:rPr>
          <w:rFonts w:ascii="仿宋_GB2312" w:eastAsia="仿宋_GB2312" w:hint="eastAsia"/>
          <w:sz w:val="32"/>
          <w:szCs w:val="32"/>
          <w:lang w:eastAsia="zh-CN"/>
        </w:rPr>
        <w:lastRenderedPageBreak/>
        <w:t>500个，价值135000元，以及我会自行筹资购买的PVC水管1000米。）二是积极与应急管理局协商，将原档案局办公楼二楼改建成县红会救灾备灾仓库，现已将红会物资搬运至该仓库，后期将按照规范化建设好备灾仓库。</w:t>
      </w:r>
    </w:p>
    <w:p w:rsidR="008F70C4" w:rsidRDefault="00B37616">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sz w:val="32"/>
          <w:szCs w:val="32"/>
          <w:lang w:eastAsia="zh-CN"/>
        </w:rPr>
        <w:t>存在的问题及原因分析</w:t>
      </w:r>
    </w:p>
    <w:p w:rsidR="00DA39CD" w:rsidRPr="00DA39CD" w:rsidRDefault="00DA39CD" w:rsidP="00DA39CD">
      <w:pPr>
        <w:spacing w:line="520" w:lineRule="exact"/>
        <w:ind w:firstLineChars="200" w:firstLine="640"/>
        <w:rPr>
          <w:rFonts w:ascii="仿宋_GB2312" w:eastAsia="仿宋_GB2312" w:hAnsi="仿宋_GB2312" w:cs="仿宋_GB2312"/>
          <w:sz w:val="32"/>
          <w:szCs w:val="32"/>
          <w:lang w:eastAsia="zh-CN"/>
        </w:rPr>
      </w:pPr>
      <w:r w:rsidRPr="00DA39CD">
        <w:rPr>
          <w:rFonts w:ascii="仿宋_GB2312" w:eastAsia="仿宋_GB2312" w:hAnsi="仿宋_GB2312" w:cs="仿宋_GB2312" w:hint="eastAsia"/>
          <w:sz w:val="32"/>
          <w:szCs w:val="32"/>
          <w:lang w:eastAsia="zh-CN"/>
        </w:rPr>
        <w:t>人力资源不足，志愿者服务队管理有待规范，救助资金及物资不足。</w:t>
      </w:r>
    </w:p>
    <w:p w:rsidR="00DA39CD" w:rsidRDefault="00B37616" w:rsidP="00DA39CD">
      <w:pPr>
        <w:spacing w:line="520" w:lineRule="exact"/>
        <w:ind w:firstLineChars="200" w:firstLine="640"/>
        <w:rPr>
          <w:rFonts w:eastAsia="黑体"/>
          <w:sz w:val="32"/>
          <w:szCs w:val="32"/>
          <w:lang w:eastAsia="zh-CN"/>
        </w:rPr>
      </w:pPr>
      <w:r>
        <w:rPr>
          <w:rFonts w:eastAsia="黑体" w:hint="eastAsia"/>
          <w:sz w:val="32"/>
          <w:szCs w:val="32"/>
          <w:lang w:eastAsia="zh-CN"/>
        </w:rPr>
        <w:t>八</w:t>
      </w:r>
      <w:r>
        <w:rPr>
          <w:rFonts w:eastAsia="黑体"/>
          <w:sz w:val="32"/>
          <w:szCs w:val="32"/>
          <w:lang w:eastAsia="zh-CN"/>
        </w:rPr>
        <w:t>、下一步改进措施</w:t>
      </w:r>
    </w:p>
    <w:p w:rsidR="008F70C4" w:rsidRPr="00DA39CD" w:rsidRDefault="00DA39CD" w:rsidP="00DA39CD">
      <w:pPr>
        <w:spacing w:line="520" w:lineRule="exact"/>
        <w:ind w:firstLineChars="200" w:firstLine="640"/>
        <w:rPr>
          <w:rFonts w:eastAsia="黑体"/>
          <w:sz w:val="32"/>
          <w:szCs w:val="32"/>
          <w:lang w:eastAsia="zh-CN"/>
        </w:rPr>
      </w:pPr>
      <w:r w:rsidRPr="00DA39CD">
        <w:rPr>
          <w:rFonts w:eastAsia="仿宋_GB2312" w:hint="eastAsia"/>
          <w:sz w:val="32"/>
          <w:szCs w:val="32"/>
          <w:lang w:eastAsia="zh-CN"/>
        </w:rPr>
        <w:t>加强监管，进一步完善财务制度，规范财经纪律，严格执行财务制度，严格落实专项资金使用管理规定，做到专款专用。同时及时与财政部门衔接，做好各项资金的预算安排、调整。</w:t>
      </w:r>
    </w:p>
    <w:p w:rsidR="008F70C4" w:rsidRDefault="00B37616">
      <w:pPr>
        <w:spacing w:line="520" w:lineRule="exact"/>
        <w:ind w:firstLine="645"/>
        <w:rPr>
          <w:rFonts w:eastAsia="黑体"/>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p>
    <w:p w:rsidR="008F70C4" w:rsidRPr="00DA39CD" w:rsidRDefault="00DA39CD" w:rsidP="00DA39CD">
      <w:pPr>
        <w:spacing w:line="560" w:lineRule="exact"/>
        <w:ind w:firstLineChars="250" w:firstLine="800"/>
        <w:rPr>
          <w:rFonts w:eastAsia="仿宋_GB2312"/>
          <w:sz w:val="32"/>
          <w:szCs w:val="32"/>
          <w:lang w:eastAsia="zh-CN"/>
        </w:rPr>
      </w:pPr>
      <w:r w:rsidRPr="00DA39CD">
        <w:rPr>
          <w:rFonts w:eastAsia="仿宋_GB2312" w:hint="eastAsia"/>
          <w:sz w:val="32"/>
          <w:szCs w:val="32"/>
          <w:lang w:eastAsia="zh-CN"/>
        </w:rPr>
        <w:t>无</w:t>
      </w:r>
      <w:r>
        <w:rPr>
          <w:rFonts w:eastAsia="仿宋_GB2312" w:hint="eastAsia"/>
          <w:sz w:val="32"/>
          <w:szCs w:val="32"/>
          <w:lang w:eastAsia="zh-CN"/>
        </w:rPr>
        <w:t>。</w:t>
      </w:r>
    </w:p>
    <w:sectPr w:rsidR="008F70C4" w:rsidRPr="00DA39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94D" w:rsidRDefault="00AD294D">
      <w:r>
        <w:separator/>
      </w:r>
    </w:p>
  </w:endnote>
  <w:endnote w:type="continuationSeparator" w:id="0">
    <w:p w:rsidR="00AD294D" w:rsidRDefault="00AD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C4" w:rsidRDefault="008F70C4">
    <w:pPr>
      <w:spacing w:line="176" w:lineRule="auto"/>
      <w:ind w:left="4039"/>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94D" w:rsidRDefault="00AD294D">
      <w:r>
        <w:separator/>
      </w:r>
    </w:p>
  </w:footnote>
  <w:footnote w:type="continuationSeparator" w:id="0">
    <w:p w:rsidR="00AD294D" w:rsidRDefault="00AD2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F34C2"/>
    <w:multiLevelType w:val="singleLevel"/>
    <w:tmpl w:val="96FF34C2"/>
    <w:lvl w:ilvl="0">
      <w:start w:val="1"/>
      <w:numFmt w:val="decimal"/>
      <w:lvlText w:val="%1."/>
      <w:lvlJc w:val="left"/>
      <w:pPr>
        <w:tabs>
          <w:tab w:val="left" w:pos="312"/>
        </w:tabs>
        <w:ind w:left="0" w:firstLine="0"/>
      </w:pPr>
    </w:lvl>
  </w:abstractNum>
  <w:abstractNum w:abstractNumId="1" w15:restartNumberingAfterBreak="0">
    <w:nsid w:val="A418E7EC"/>
    <w:multiLevelType w:val="singleLevel"/>
    <w:tmpl w:val="A418E7EC"/>
    <w:lvl w:ilvl="0">
      <w:start w:val="1"/>
      <w:numFmt w:val="chineseCounting"/>
      <w:suff w:val="nothing"/>
      <w:lvlText w:val="（%1）"/>
      <w:lvlJc w:val="left"/>
      <w:pPr>
        <w:ind w:left="-10"/>
      </w:pPr>
      <w:rPr>
        <w:rFonts w:hint="eastAsia"/>
      </w:rPr>
    </w:lvl>
  </w:abstractNum>
  <w:abstractNum w:abstractNumId="2" w15:restartNumberingAfterBreak="0">
    <w:nsid w:val="D6B59635"/>
    <w:multiLevelType w:val="singleLevel"/>
    <w:tmpl w:val="D6B59635"/>
    <w:lvl w:ilvl="0">
      <w:start w:val="2"/>
      <w:numFmt w:val="chineseCounting"/>
      <w:suff w:val="nothing"/>
      <w:lvlText w:val="（%1）"/>
      <w:lvlJc w:val="left"/>
      <w:pPr>
        <w:ind w:left="0" w:firstLine="0"/>
      </w:pPr>
    </w:lvl>
  </w:abstractNum>
  <w:abstractNum w:abstractNumId="3" w15:restartNumberingAfterBreak="0">
    <w:nsid w:val="FDC310B5"/>
    <w:multiLevelType w:val="singleLevel"/>
    <w:tmpl w:val="FDC310B5"/>
    <w:lvl w:ilvl="0">
      <w:start w:val="1"/>
      <w:numFmt w:val="chineseCounting"/>
      <w:suff w:val="nothing"/>
      <w:lvlText w:val="%1、"/>
      <w:lvlJc w:val="left"/>
      <w:rPr>
        <w:rFonts w:hint="eastAsia"/>
      </w:rPr>
    </w:lvl>
  </w:abstractNum>
  <w:num w:numId="1">
    <w:abstractNumId w:val="3"/>
  </w:num>
  <w:num w:numId="2">
    <w:abstractNumId w:val="1"/>
  </w:num>
  <w:num w:numId="3">
    <w:abstractNumId w:val="2"/>
    <w:lvlOverride w:ilvl="0">
      <w:startOverride w:val="2"/>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YwYjM2OWEwNDQ4ZmQ3Yzg4MmVhMWNlZTIyZTQ4MWMifQ=="/>
  </w:docVars>
  <w:rsids>
    <w:rsidRoot w:val="008F70C4"/>
    <w:rsid w:val="00263B26"/>
    <w:rsid w:val="00583651"/>
    <w:rsid w:val="005A147E"/>
    <w:rsid w:val="005C0F69"/>
    <w:rsid w:val="007A207F"/>
    <w:rsid w:val="008F70C4"/>
    <w:rsid w:val="00974551"/>
    <w:rsid w:val="00AD294D"/>
    <w:rsid w:val="00AF1143"/>
    <w:rsid w:val="00B37616"/>
    <w:rsid w:val="00C84128"/>
    <w:rsid w:val="00DA39CD"/>
    <w:rsid w:val="00DE5D64"/>
    <w:rsid w:val="00E10AA6"/>
    <w:rsid w:val="00F5742B"/>
    <w:rsid w:val="15BF56EC"/>
    <w:rsid w:val="35CB6416"/>
    <w:rsid w:val="4B4334AB"/>
    <w:rsid w:val="5403276E"/>
    <w:rsid w:val="54C57A37"/>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7C69B"/>
  <w15:docId w15:val="{FB9FB878-3CE5-418E-8D91-13948B57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pPr>
      <w:ind w:firstLineChars="200" w:firstLine="420"/>
    </w:pPr>
    <w:rPr>
      <w:rFonts w:ascii="Calibri" w:eastAsia="宋体" w:hAnsi="Calibri" w:cs="Times New Roman"/>
      <w:szCs w:val="22"/>
    </w:rPr>
  </w:style>
  <w:style w:type="paragraph" w:styleId="a6">
    <w:name w:val="Normal (Web)"/>
    <w:basedOn w:val="a"/>
    <w:rsid w:val="00AF1143"/>
    <w:pPr>
      <w:spacing w:before="100" w:beforeAutospacing="1" w:after="100" w:afterAutospacing="1"/>
    </w:pPr>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0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11</cp:revision>
  <dcterms:created xsi:type="dcterms:W3CDTF">2024-08-12T02:40:00Z</dcterms:created>
  <dcterms:modified xsi:type="dcterms:W3CDTF">2025-07-25T08:46:00Z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