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2024年度炎陵县妇幼保健计划生育服务中心（炎陵县妇幼保健院）</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hint="eastAsia" w:eastAsia="楷体_GB2312"/>
          <w:sz w:val="32"/>
          <w:szCs w:val="32"/>
          <w:lang w:eastAsia="zh-CN"/>
        </w:rPr>
      </w:pPr>
      <w:r>
        <w:rPr>
          <w:rFonts w:hint="eastAsia" w:eastAsia="楷体_GB2312"/>
          <w:sz w:val="32"/>
          <w:szCs w:val="32"/>
          <w:lang w:val="en-US" w:eastAsia="zh-CN"/>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 xml:space="preserve">        单位名称（盖章）：炎陵县妇幼保健计划生育服务中心（炎陵县妇幼保健院）</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bookmarkStart w:id="0" w:name="_GoBack"/>
      <w:bookmarkEnd w:id="0"/>
    </w:p>
    <w:p>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pStyle w:val="6"/>
        <w:keepNext w:val="0"/>
        <w:keepLines w:val="0"/>
        <w:pageBreakBefore w:val="0"/>
        <w:widowControl/>
        <w:numPr>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妇幼保健计划生育服务中心（炎陵县妇幼保健院）属于全额拨款，公益一类，非营利性的医疗卫生事业单位。主要职责是负责全县妇女儿童的保健服务，承担全县孕产妇、儿童系统管理、妇女病普查普治、儿童健康检查、婚前医学检查等妇女、儿童保健服务和妇女、儿童常见病、多发病及疑难杂症的诊断与治疗，承担全县增补叶酸预防神经管畸形项目、农村适龄妇女和城镇低保适龄妇女两癌免费检查项目等国家重大妇幼公共卫生项目。</w:t>
      </w:r>
    </w:p>
    <w:p>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妇幼保健计划生育服务中心（炎陵县妇幼保健院）主要承担全县妇科病普查、免费婚检、全县儿童保健、计划生育技术服务工作，妇幼保健民生实事项目绩效目标总体为保护广大妇女儿童身心健康，预防出生缺陷发生风险，提高出生人口素质。</w:t>
      </w:r>
    </w:p>
    <w:p>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2024年度总支出为903.76万元，财政拨款支出为686.43万元，占总支出比重为75.95%，事业支出为217.33万元，占总支出比重为24.05%。</w:t>
      </w:r>
    </w:p>
    <w:p>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年度专项资金安排和</w:t>
      </w:r>
      <w:r>
        <w:rPr>
          <w:rFonts w:hint="eastAsia" w:eastAsia="仿宋_GB2312"/>
          <w:sz w:val="32"/>
          <w:szCs w:val="32"/>
        </w:rPr>
        <w:t>使用管理情况，资金使用管理均符合支出符合国家财经法规和财务管理制度规定以及有关专项资金管理办法的规定，资金拨付有完整的审批程序和手续，资金使用无截留、挤占、挪用、虚列支出等情况。</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（1）两癌免费检查项目：县级财政安排预算25万元，预算支出25万元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执行率100%。</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（2）孕产妇免费产前筛查项目：县级财政安排8万元，预算支出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执行率100%</w:t>
      </w:r>
      <w:r>
        <w:rPr>
          <w:rFonts w:hint="eastAsia" w:ascii="仿宋_GB2312" w:hAnsi="仿宋_GB2312" w:eastAsia="仿宋_GB2312" w:cs="仿宋_GB2312"/>
          <w:sz w:val="32"/>
          <w:szCs w:val="32"/>
        </w:rPr>
        <w:t>。</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both"/>
        <w:textAlignment w:val="baseline"/>
        <w:rPr>
          <w:rFonts w:hint="eastAsia" w:ascii="Times New Roman" w:hAnsi="Times New Roman" w:eastAsia="黑体"/>
          <w:sz w:val="32"/>
          <w:szCs w:val="32"/>
        </w:rPr>
      </w:pPr>
      <w:r>
        <w:rPr>
          <w:rFonts w:hint="eastAsia" w:ascii="仿宋_GB2312" w:hAnsi="仿宋_GB2312" w:eastAsia="仿宋_GB2312" w:cs="仿宋_GB2312"/>
          <w:snapToGrid w:val="0"/>
          <w:color w:val="000000"/>
          <w:kern w:val="0"/>
          <w:sz w:val="32"/>
          <w:szCs w:val="32"/>
          <w:lang w:val="en-US" w:eastAsia="zh-CN" w:bidi="ar-SA"/>
        </w:rPr>
        <w:t>2024年度本单位无政府性基金预算。</w:t>
      </w:r>
    </w:p>
    <w:p>
      <w:pPr>
        <w:pStyle w:val="6"/>
        <w:widowControl/>
        <w:spacing w:line="520" w:lineRule="exact"/>
        <w:ind w:left="640" w:firstLine="0" w:firstLineChars="0"/>
        <w:jc w:val="left"/>
        <w:rPr>
          <w:rFonts w:hint="default"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2024年度本单位无国有资本经营预算。</w:t>
      </w:r>
    </w:p>
    <w:p>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6"/>
        <w:jc w:val="both"/>
        <w:textAlignment w:val="baseline"/>
        <w:rPr>
          <w:rFonts w:hint="eastAsia" w:eastAsia="黑体"/>
          <w:sz w:val="32"/>
          <w:szCs w:val="32"/>
          <w:lang w:val="en-US" w:eastAsia="zh-CN"/>
        </w:rPr>
      </w:pPr>
      <w:r>
        <w:rPr>
          <w:rFonts w:hint="eastAsia" w:ascii="仿宋_GB2312" w:hAnsi="仿宋_GB2312" w:eastAsia="仿宋_GB2312" w:cs="仿宋_GB2312"/>
          <w:sz w:val="32"/>
          <w:szCs w:val="32"/>
          <w:lang w:val="en-US" w:eastAsia="zh-CN"/>
        </w:rPr>
        <w:t>2024年度本单位无社会保险基金预算。</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（一）部门整体支出决策情况。立项依据充分、立项程序规范、绩效目标合理、绩效指标明确、预算编制科学、资金分配合理。</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（二）部门整体支出过程情况。资金到位率100%，预算执行率为100%。资金使用合规、管理制度健全及执行有效。</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（三）部门整体支出产出情况。各项目任务均按要求完成，实际完成率100%，质量达标率100%，完成及时，资金使用无浪费。</w:t>
      </w:r>
    </w:p>
    <w:p>
      <w:pPr>
        <w:pStyle w:val="6"/>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（四）部门整体支出效益情况。保护广大妇女儿童身心健康，提高妇女保健相关知识、政策知晓率，提高出生人口素质，降低出生缺陷率。群众较满意。</w:t>
      </w:r>
    </w:p>
    <w:p>
      <w:pPr>
        <w:widowControl/>
        <w:spacing w:line="520" w:lineRule="exact"/>
        <w:ind w:firstLine="645"/>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eastAsia="仿宋_GB2312"/>
          <w:sz w:val="32"/>
          <w:szCs w:val="32"/>
        </w:rPr>
      </w:pPr>
      <w:r>
        <w:rPr>
          <w:rFonts w:hint="eastAsia" w:eastAsia="仿宋_GB2312"/>
          <w:sz w:val="32"/>
          <w:szCs w:val="32"/>
        </w:rPr>
        <w:t>（一）预算编制不准确问题。因年初预算未纳入专项上级资金预算以及事业收入预算，导致年初预算数与全年预算数存在较大偏差。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eastAsia="仿宋_GB2312"/>
          <w:sz w:val="32"/>
          <w:szCs w:val="32"/>
        </w:rPr>
      </w:pPr>
      <w:r>
        <w:rPr>
          <w:rFonts w:hint="eastAsia" w:eastAsia="仿宋_GB2312"/>
          <w:sz w:val="32"/>
          <w:szCs w:val="32"/>
        </w:rPr>
        <w:t>（二）预算绩效管理水平有待提高问题。因预算绩效管理工作人员缺乏系统、全面的知识培训，对重点工作把握不到位，致使单位现建立的各项预算绩效目标指标仍有不完善的地方，对预算绩效评价结果存在一定影响。</w:t>
      </w:r>
    </w:p>
    <w:p>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（一）加强对预算编制管理和绩效管理相关知识的业务学习和培训，不断增强预算编制和绩效评价管理水平，进一步把预算编制做得更准确，将绩效评价的结果运用到工作实际中。</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eastAsia="仿宋_GB2312"/>
          <w:sz w:val="32"/>
          <w:szCs w:val="32"/>
          <w:lang w:val="en-US" w:eastAsia="zh-CN"/>
        </w:rPr>
      </w:pPr>
      <w:r>
        <w:rPr>
          <w:rFonts w:hint="eastAsia" w:eastAsia="仿宋_GB2312"/>
          <w:sz w:val="32"/>
          <w:szCs w:val="32"/>
          <w:lang w:val="en-US" w:eastAsia="zh-CN"/>
        </w:rPr>
        <w:t>（二）细化预算指标，提高预算科学性。根据年度内单位可预见的工作任务，确定年度预算目标，细化预算指标，科学合理编制部门预算，推进预算编制科学化、准确化。</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本单位较好地完成了年度目标任务。2024年度部门支出绩效评价得分为98分，绩效评定等级为优。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4B4334AB"/>
    <w:rsid w:val="5403276E"/>
    <w:rsid w:val="5432524F"/>
    <w:rsid w:val="54C57A37"/>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5</TotalTime>
  <ScaleCrop>false</ScaleCrop>
  <LinksUpToDate>false</LinksUpToDate>
  <CharactersWithSpaces>458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ミ安锦流年ミ</cp:lastModifiedBy>
  <cp:lastPrinted>2025-07-24T01:44:21Z</cp:lastPrinted>
  <dcterms:modified xsi:type="dcterms:W3CDTF">2025-07-24T01:47:01Z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