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0E779B">
      <w:pPr>
        <w:pStyle w:val="2"/>
        <w:keepNext w:val="0"/>
        <w:keepLines w:val="0"/>
        <w:pageBreakBefore w:val="0"/>
        <w:widowControl/>
        <w:kinsoku w:val="0"/>
        <w:wordWrap/>
        <w:overflowPunct/>
        <w:topLinePunct w:val="0"/>
        <w:autoSpaceDE w:val="0"/>
        <w:autoSpaceDN w:val="0"/>
        <w:bidi w:val="0"/>
        <w:adjustRightInd w:val="0"/>
        <w:snapToGrid w:val="0"/>
        <w:spacing w:before="162" w:line="560" w:lineRule="exact"/>
        <w:textAlignment w:val="baseline"/>
        <w:rPr>
          <w:rFonts w:hint="eastAsia" w:ascii="黑体" w:hAnsi="黑体" w:eastAsia="黑体" w:cs="黑体"/>
          <w:sz w:val="34"/>
          <w:szCs w:val="34"/>
          <w:lang w:eastAsia="zh-CN"/>
        </w:rPr>
      </w:pPr>
      <w:r>
        <w:rPr>
          <w:rFonts w:hint="eastAsia" w:ascii="黑体" w:hAnsi="黑体" w:eastAsia="黑体" w:cs="黑体"/>
          <w:spacing w:val="14"/>
          <w:sz w:val="34"/>
          <w:szCs w:val="34"/>
        </w:rPr>
        <w:t>附件</w:t>
      </w:r>
      <w:r>
        <w:rPr>
          <w:rFonts w:hint="eastAsia" w:ascii="黑体" w:hAnsi="黑体" w:eastAsia="黑体" w:cs="黑体"/>
          <w:spacing w:val="14"/>
          <w:sz w:val="34"/>
          <w:szCs w:val="34"/>
          <w:lang w:val="en-US" w:eastAsia="zh-CN"/>
        </w:rPr>
        <w:t>3</w:t>
      </w:r>
    </w:p>
    <w:p w14:paraId="33738981">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黑体" w:hAnsi="黑体" w:eastAsia="黑体" w:cs="黑体"/>
          <w:sz w:val="44"/>
          <w:szCs w:val="44"/>
        </w:rPr>
      </w:pPr>
    </w:p>
    <w:p w14:paraId="4097EFB5">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黑体" w:hAnsi="黑体" w:eastAsia="黑体" w:cs="黑体"/>
          <w:sz w:val="44"/>
          <w:szCs w:val="44"/>
        </w:rPr>
      </w:pPr>
    </w:p>
    <w:p w14:paraId="44A74DCE">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黑体" w:hAnsi="黑体" w:eastAsia="黑体" w:cs="黑体"/>
          <w:sz w:val="44"/>
          <w:szCs w:val="44"/>
        </w:rPr>
      </w:pPr>
    </w:p>
    <w:p w14:paraId="0DFB6BB4">
      <w:pPr>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 xml:space="preserve">2024年度                            炎陵高新技术产业开发区管理委员会    </w:t>
      </w:r>
      <w:r>
        <w:rPr>
          <w:rFonts w:hint="eastAsia" w:ascii="方正小标宋简体" w:hAnsi="方正小标宋简体" w:eastAsia="方正小标宋简体" w:cs="方正小标宋简体"/>
          <w:sz w:val="44"/>
          <w:szCs w:val="44"/>
        </w:rPr>
        <w:t>整体支出绩效</w:t>
      </w:r>
      <w:r>
        <w:rPr>
          <w:rFonts w:hint="eastAsia" w:ascii="方正小标宋简体" w:hAnsi="方正小标宋简体" w:eastAsia="方正小标宋简体" w:cs="方正小标宋简体"/>
          <w:sz w:val="44"/>
          <w:szCs w:val="44"/>
          <w:lang w:val="en-US" w:eastAsia="zh-CN"/>
        </w:rPr>
        <w:t>自评</w:t>
      </w:r>
      <w:r>
        <w:rPr>
          <w:rFonts w:hint="eastAsia" w:ascii="方正小标宋简体" w:hAnsi="方正小标宋简体" w:eastAsia="方正小标宋简体" w:cs="方正小标宋简体"/>
          <w:sz w:val="44"/>
          <w:szCs w:val="44"/>
        </w:rPr>
        <w:t>报告</w:t>
      </w:r>
    </w:p>
    <w:p w14:paraId="17F58897">
      <w:pPr>
        <w:spacing w:line="600" w:lineRule="exact"/>
        <w:jc w:val="center"/>
        <w:rPr>
          <w:rFonts w:eastAsia="楷体_GB2312"/>
          <w:sz w:val="32"/>
          <w:szCs w:val="32"/>
        </w:rPr>
      </w:pPr>
    </w:p>
    <w:p w14:paraId="14D03ED1">
      <w:pPr>
        <w:spacing w:line="600" w:lineRule="exact"/>
        <w:jc w:val="center"/>
        <w:rPr>
          <w:rFonts w:eastAsia="楷体_GB2312"/>
          <w:sz w:val="32"/>
          <w:szCs w:val="32"/>
        </w:rPr>
      </w:pPr>
    </w:p>
    <w:p w14:paraId="315F8578">
      <w:pPr>
        <w:spacing w:line="600" w:lineRule="exact"/>
        <w:jc w:val="center"/>
        <w:rPr>
          <w:rFonts w:eastAsia="楷体_GB2312"/>
          <w:sz w:val="32"/>
          <w:szCs w:val="32"/>
        </w:rPr>
      </w:pPr>
    </w:p>
    <w:p w14:paraId="2E029910">
      <w:pPr>
        <w:spacing w:line="600" w:lineRule="exact"/>
        <w:jc w:val="center"/>
        <w:rPr>
          <w:rFonts w:eastAsia="楷体_GB2312"/>
          <w:sz w:val="32"/>
          <w:szCs w:val="32"/>
        </w:rPr>
      </w:pPr>
    </w:p>
    <w:p w14:paraId="1C92C148">
      <w:pPr>
        <w:spacing w:line="600" w:lineRule="exact"/>
        <w:jc w:val="center"/>
        <w:rPr>
          <w:rFonts w:eastAsia="楷体_GB2312"/>
          <w:sz w:val="32"/>
          <w:szCs w:val="32"/>
        </w:rPr>
      </w:pPr>
    </w:p>
    <w:p w14:paraId="2E9017B2">
      <w:pPr>
        <w:spacing w:line="600" w:lineRule="exact"/>
        <w:jc w:val="center"/>
        <w:rPr>
          <w:rFonts w:eastAsia="楷体_GB2312"/>
          <w:sz w:val="32"/>
          <w:szCs w:val="32"/>
        </w:rPr>
      </w:pPr>
    </w:p>
    <w:p w14:paraId="0FA4C78A">
      <w:pPr>
        <w:spacing w:line="600" w:lineRule="exact"/>
        <w:jc w:val="center"/>
        <w:rPr>
          <w:rFonts w:eastAsia="楷体_GB2312"/>
          <w:sz w:val="32"/>
          <w:szCs w:val="32"/>
        </w:rPr>
      </w:pPr>
    </w:p>
    <w:p w14:paraId="6833FC49">
      <w:pPr>
        <w:spacing w:line="600" w:lineRule="exact"/>
        <w:jc w:val="center"/>
        <w:rPr>
          <w:rFonts w:eastAsia="楷体_GB2312"/>
          <w:sz w:val="32"/>
          <w:szCs w:val="32"/>
        </w:rPr>
      </w:pPr>
    </w:p>
    <w:p w14:paraId="082DCFC8">
      <w:pPr>
        <w:spacing w:line="600" w:lineRule="exact"/>
        <w:jc w:val="center"/>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单位名称（盖章）：</w:t>
      </w:r>
    </w:p>
    <w:p w14:paraId="123D12D1">
      <w:pPr>
        <w:spacing w:line="600" w:lineRule="exact"/>
        <w:jc w:val="center"/>
        <w:rPr>
          <w:rFonts w:hint="eastAsia" w:ascii="黑体" w:hAnsi="黑体" w:eastAsia="黑体" w:cs="黑体"/>
          <w:sz w:val="36"/>
          <w:szCs w:val="36"/>
          <w:lang w:val="en-US" w:eastAsia="zh-CN"/>
        </w:rPr>
      </w:pPr>
    </w:p>
    <w:p w14:paraId="70828991">
      <w:pPr>
        <w:spacing w:line="600" w:lineRule="exact"/>
        <w:jc w:val="center"/>
        <w:rPr>
          <w:rFonts w:hint="eastAsia" w:ascii="黑体" w:hAnsi="黑体" w:eastAsia="黑体" w:cs="黑体"/>
          <w:sz w:val="36"/>
          <w:szCs w:val="36"/>
          <w:lang w:val="en-US" w:eastAsia="zh-CN"/>
        </w:rPr>
      </w:pPr>
    </w:p>
    <w:p w14:paraId="17DB65AB">
      <w:pPr>
        <w:spacing w:line="600" w:lineRule="exact"/>
        <w:jc w:val="center"/>
        <w:rPr>
          <w:rFonts w:hint="eastAsia" w:ascii="黑体" w:hAnsi="黑体" w:eastAsia="黑体" w:cs="黑体"/>
          <w:sz w:val="36"/>
          <w:szCs w:val="36"/>
          <w:lang w:val="en-US" w:eastAsia="zh-CN"/>
        </w:rPr>
      </w:pPr>
    </w:p>
    <w:p w14:paraId="2010740C">
      <w:pPr>
        <w:spacing w:line="600" w:lineRule="exact"/>
        <w:jc w:val="center"/>
        <w:rPr>
          <w:rFonts w:hint="eastAsia" w:ascii="黑体" w:hAnsi="黑体" w:eastAsia="黑体" w:cs="黑体"/>
          <w:sz w:val="36"/>
          <w:szCs w:val="36"/>
          <w:lang w:val="en-US" w:eastAsia="zh-CN"/>
        </w:rPr>
      </w:pPr>
    </w:p>
    <w:p w14:paraId="084269F2">
      <w:pPr>
        <w:spacing w:line="600" w:lineRule="exact"/>
        <w:jc w:val="center"/>
        <w:rPr>
          <w:rFonts w:hint="eastAsia" w:ascii="黑体" w:hAnsi="黑体" w:eastAsia="黑体" w:cs="黑体"/>
          <w:sz w:val="36"/>
          <w:szCs w:val="36"/>
          <w:lang w:val="en-US" w:eastAsia="zh-CN"/>
        </w:rPr>
      </w:pPr>
    </w:p>
    <w:p w14:paraId="698BEB94">
      <w:pPr>
        <w:spacing w:line="600" w:lineRule="exact"/>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（此页为封面）</w:t>
      </w:r>
    </w:p>
    <w:p w14:paraId="660F4AB2">
      <w:pPr>
        <w:rPr>
          <w:rFonts w:eastAsia="楷体_GB2312"/>
          <w:sz w:val="32"/>
          <w:szCs w:val="32"/>
        </w:rPr>
      </w:pPr>
      <w:r>
        <w:rPr>
          <w:rFonts w:hint="eastAsia" w:ascii="仿宋_GB2312" w:hAnsi="仿宋_GB2312" w:eastAsia="仿宋_GB2312" w:cs="仿宋_GB2312"/>
          <w:sz w:val="32"/>
          <w:szCs w:val="32"/>
          <w:lang w:val="en-US" w:eastAsia="zh-CN"/>
        </w:rPr>
        <w:br w:type="page"/>
      </w:r>
    </w:p>
    <w:p w14:paraId="69FD9C40">
      <w:pPr>
        <w:pStyle w:val="7"/>
        <w:widowControl/>
        <w:numPr>
          <w:ilvl w:val="0"/>
          <w:numId w:val="1"/>
        </w:numPr>
        <w:spacing w:line="520" w:lineRule="exact"/>
        <w:ind w:firstLine="640"/>
        <w:rPr>
          <w:rFonts w:ascii="Times New Roman" w:hAnsi="Times New Roman" w:eastAsia="黑体"/>
          <w:sz w:val="32"/>
          <w:szCs w:val="32"/>
        </w:rPr>
      </w:pPr>
      <w:r>
        <w:rPr>
          <w:rFonts w:ascii="Times New Roman" w:hAnsi="Times New Roman" w:eastAsia="黑体"/>
          <w:sz w:val="32"/>
          <w:szCs w:val="32"/>
        </w:rPr>
        <w:t>基本情况</w:t>
      </w:r>
    </w:p>
    <w:p w14:paraId="049DC1A2">
      <w:pPr>
        <w:pStyle w:val="7"/>
        <w:widowControl/>
        <w:numPr>
          <w:ilvl w:val="0"/>
          <w:numId w:val="2"/>
        </w:numPr>
        <w:spacing w:line="520" w:lineRule="exact"/>
        <w:ind w:left="-10" w:leftChars="0" w:firstLine="640" w:firstLineChars="0"/>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rPr>
        <w:t>部门</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单位</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基本情况</w:t>
      </w:r>
    </w:p>
    <w:p w14:paraId="716F4CEC">
      <w:pPr>
        <w:spacing w:line="560" w:lineRule="exact"/>
        <w:ind w:firstLine="640" w:firstLineChars="200"/>
        <w:rPr>
          <w:rFonts w:hint="eastAsia" w:ascii="楷体_GB2312" w:hAnsi="楷体_GB2312" w:eastAsia="楷体_GB2312" w:cs="楷体_GB2312"/>
          <w:sz w:val="32"/>
          <w:szCs w:val="32"/>
          <w:lang w:val="en-US" w:eastAsia="zh-CN"/>
        </w:rPr>
      </w:pPr>
      <w:r>
        <w:rPr>
          <w:rFonts w:hint="eastAsia" w:ascii="仿宋_GB2312" w:hAnsi="仿宋_GB2312" w:eastAsia="仿宋_GB2312" w:cs="仿宋_GB2312"/>
          <w:color w:val="auto"/>
          <w:sz w:val="32"/>
          <w:szCs w:val="32"/>
          <w:lang w:val="en-US" w:eastAsia="zh-CN"/>
        </w:rPr>
        <w:t>炎陵高新技术产业开发区管理委员会为全额拨款参公事业单位，内设局室5个，分别为：办公室、经济合作局、产业发展局、开发建设局、营商环境局。2024年县编办核实人员编制数为27人，年末实有在编人员22人。</w:t>
      </w:r>
    </w:p>
    <w:p w14:paraId="5556C9CE">
      <w:pPr>
        <w:pStyle w:val="7"/>
        <w:widowControl/>
        <w:numPr>
          <w:ilvl w:val="0"/>
          <w:numId w:val="2"/>
        </w:numPr>
        <w:spacing w:line="520" w:lineRule="exact"/>
        <w:ind w:left="-10" w:leftChars="0" w:firstLine="640" w:firstLineChars="0"/>
        <w:rPr>
          <w:rFonts w:hint="default" w:ascii="楷体_GB2312" w:hAnsi="楷体_GB2312" w:eastAsia="楷体_GB2312" w:cs="楷体_GB2312"/>
          <w:sz w:val="32"/>
          <w:szCs w:val="32"/>
          <w:lang w:val="en-US" w:eastAsia="zh-CN"/>
        </w:rPr>
      </w:pPr>
      <w:r>
        <w:rPr>
          <w:rFonts w:hint="eastAsia" w:ascii="楷体_GB2312" w:hAnsi="楷体_GB2312" w:eastAsia="楷体_GB2312" w:cs="楷体_GB2312"/>
          <w:sz w:val="32"/>
          <w:szCs w:val="32"/>
        </w:rPr>
        <w:t>部门</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单位</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年度整体支出绩效目标，专项资金绩效目标、其他项目支出（除专项资金以外）绩效目标</w:t>
      </w:r>
    </w:p>
    <w:p w14:paraId="310CC985">
      <w:pPr>
        <w:pStyle w:val="7"/>
        <w:widowControl/>
        <w:numPr>
          <w:ilvl w:val="0"/>
          <w:numId w:val="0"/>
        </w:numPr>
        <w:spacing w:line="520" w:lineRule="exact"/>
        <w:ind w:firstLine="640" w:firstLineChars="200"/>
        <w:rPr>
          <w:rFonts w:hint="default" w:ascii="仿宋_GB2312" w:hAnsi="仿宋_GB2312" w:eastAsia="仿宋_GB2312" w:cs="仿宋_GB2312"/>
          <w:snapToGrid w:val="0"/>
          <w:color w:val="auto"/>
          <w:kern w:val="0"/>
          <w:sz w:val="32"/>
          <w:szCs w:val="32"/>
          <w:highlight w:val="none"/>
          <w:lang w:val="en-US" w:eastAsia="zh-CN" w:bidi="ar-SA"/>
        </w:rPr>
      </w:pPr>
      <w:r>
        <w:rPr>
          <w:rFonts w:hint="default" w:ascii="仿宋_GB2312" w:hAnsi="仿宋_GB2312" w:eastAsia="仿宋_GB2312" w:cs="仿宋_GB2312"/>
          <w:snapToGrid w:val="0"/>
          <w:color w:val="auto"/>
          <w:kern w:val="0"/>
          <w:sz w:val="32"/>
          <w:szCs w:val="32"/>
          <w:highlight w:val="none"/>
          <w:lang w:val="en-US" w:eastAsia="zh-CN" w:bidi="ar-SA"/>
        </w:rPr>
        <w:t>一是推进园区高质量发展，狠抓主要经济指标，实现税收收入增长15%，“五好”园区排名争先进位。二是狠抓招商引资，力争引进“三类”500强3家，10亿元以上项目5家，紧盯链上企业，实现储能新材料产业链实现闭环，推产业链高质量发展。三是持续加强要素保障，完成三类地考核任务，力争盘活“僵尸企业”1家。</w:t>
      </w:r>
    </w:p>
    <w:p w14:paraId="7587B28A">
      <w:pPr>
        <w:pStyle w:val="7"/>
        <w:widowControl/>
        <w:numPr>
          <w:ilvl w:val="0"/>
          <w:numId w:val="1"/>
        </w:numPr>
        <w:spacing w:line="520" w:lineRule="exact"/>
        <w:ind w:firstLine="640"/>
        <w:rPr>
          <w:rFonts w:ascii="Times New Roman" w:hAnsi="Times New Roman" w:eastAsia="黑体" w:cs="Times New Roman"/>
          <w:sz w:val="32"/>
          <w:szCs w:val="32"/>
        </w:rPr>
      </w:pPr>
      <w:r>
        <w:rPr>
          <w:rFonts w:ascii="Times New Roman" w:hAnsi="Times New Roman" w:eastAsia="黑体" w:cs="Times New Roman"/>
          <w:sz w:val="32"/>
          <w:szCs w:val="32"/>
        </w:rPr>
        <w:t>一般公共预算支出情况</w:t>
      </w:r>
    </w:p>
    <w:p w14:paraId="55115D6B">
      <w:pPr>
        <w:pStyle w:val="7"/>
        <w:widowControl/>
        <w:spacing w:line="520" w:lineRule="exact"/>
        <w:ind w:left="640" w:firstLine="0" w:firstLineChars="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（一）基本支出情况</w:t>
      </w:r>
    </w:p>
    <w:p w14:paraId="1DDA920A">
      <w:pPr>
        <w:pStyle w:val="7"/>
        <w:widowControl/>
        <w:spacing w:line="520" w:lineRule="exact"/>
        <w:rPr>
          <w:rFonts w:hint="eastAsia" w:ascii="仿宋_GB2312" w:hAnsi="仿宋_GB2312" w:eastAsia="仿宋_GB2312" w:cs="仿宋_GB2312"/>
          <w:snapToGrid w:val="0"/>
          <w:color w:val="auto"/>
          <w:kern w:val="0"/>
          <w:sz w:val="32"/>
          <w:szCs w:val="32"/>
          <w:highlight w:val="yellow"/>
          <w:lang w:val="en-US" w:eastAsia="zh-CN" w:bidi="ar-SA"/>
        </w:rPr>
      </w:pPr>
      <w:r>
        <w:rPr>
          <w:rFonts w:hint="eastAsia" w:ascii="仿宋_GB2312" w:hAnsi="仿宋_GB2312" w:eastAsia="仿宋_GB2312" w:cs="仿宋_GB2312"/>
          <w:snapToGrid w:val="0"/>
          <w:color w:val="auto"/>
          <w:kern w:val="0"/>
          <w:sz w:val="32"/>
          <w:szCs w:val="32"/>
          <w:lang w:val="en-US" w:eastAsia="zh-CN" w:bidi="ar-SA"/>
        </w:rPr>
        <w:t>2024年一般公共预算支出中基本支出323.15万元，占一般公共预算总支出的4.84%，占年度整体总支出的3.71%。按经济科目分类：工资福利支出272.13万元、商品和服务支出51.02万元。</w:t>
      </w:r>
      <w:r>
        <w:rPr>
          <w:rFonts w:hint="eastAsia" w:ascii="仿宋_GB2312" w:hAnsi="仿宋_GB2312" w:eastAsia="仿宋_GB2312" w:cs="仿宋_GB2312"/>
          <w:snapToGrid w:val="0"/>
          <w:color w:val="auto"/>
          <w:kern w:val="0"/>
          <w:sz w:val="32"/>
          <w:szCs w:val="32"/>
          <w:highlight w:val="none"/>
          <w:lang w:val="en-US" w:eastAsia="zh-CN" w:bidi="ar-SA"/>
        </w:rPr>
        <w:t>按功能科目分类：科学技术支出15.85万元、社会保障和就业支出30.06万元、卫生健康支出16.41万元、资源勘探信息等支出236.67万元、住房保障支出24.16万元。</w:t>
      </w:r>
    </w:p>
    <w:p w14:paraId="19AC5B1B">
      <w:pPr>
        <w:pStyle w:val="7"/>
        <w:widowControl/>
        <w:spacing w:line="52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2024年“三公”经费预算数为0.29万元，其中公务接待费预算数0.29</w:t>
      </w:r>
      <w:bookmarkStart w:id="0" w:name="_GoBack"/>
      <w:bookmarkEnd w:id="0"/>
      <w:r>
        <w:rPr>
          <w:rFonts w:hint="eastAsia" w:ascii="仿宋_GB2312" w:hAnsi="仿宋_GB2312" w:eastAsia="仿宋_GB2312" w:cs="仿宋_GB2312"/>
          <w:snapToGrid w:val="0"/>
          <w:color w:val="auto"/>
          <w:kern w:val="0"/>
          <w:sz w:val="32"/>
          <w:szCs w:val="32"/>
          <w:lang w:val="en-US" w:eastAsia="zh-CN" w:bidi="ar-SA"/>
        </w:rPr>
        <w:t>万元，公务用车购置及运行费0万元。“三公”经费决算数为0.29万元。</w:t>
      </w:r>
    </w:p>
    <w:p w14:paraId="7C11EFB6">
      <w:pPr>
        <w:pStyle w:val="7"/>
        <w:widowControl/>
        <w:spacing w:line="520" w:lineRule="exact"/>
        <w:ind w:left="640" w:firstLine="0" w:firstLineChars="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（二）项目支出情况</w:t>
      </w:r>
    </w:p>
    <w:p w14:paraId="523EDC1C">
      <w:pPr>
        <w:pStyle w:val="7"/>
        <w:widowControl/>
        <w:numPr>
          <w:ilvl w:val="0"/>
          <w:numId w:val="0"/>
        </w:numPr>
        <w:spacing w:line="520" w:lineRule="exact"/>
        <w:ind w:firstLine="640" w:firstLineChars="200"/>
        <w:jc w:val="left"/>
        <w:rPr>
          <w:rFonts w:hint="default" w:ascii="Times New Roman" w:hAnsi="Times New Roman" w:eastAsia="仿宋_GB2312" w:cs="Times New Roman"/>
          <w:snapToGrid w:val="0"/>
          <w:color w:val="auto"/>
          <w:kern w:val="2"/>
          <w:sz w:val="32"/>
          <w:szCs w:val="32"/>
          <w:highlight w:val="yellow"/>
          <w:lang w:val="en-US" w:eastAsia="zh-CN" w:bidi="ar-SA"/>
        </w:rPr>
      </w:pPr>
      <w:r>
        <w:rPr>
          <w:rFonts w:hint="eastAsia" w:ascii="Times New Roman" w:hAnsi="Times New Roman" w:eastAsia="仿宋_GB2312" w:cs="Times New Roman"/>
          <w:snapToGrid w:val="0"/>
          <w:color w:val="auto"/>
          <w:kern w:val="2"/>
          <w:sz w:val="32"/>
          <w:szCs w:val="32"/>
          <w:highlight w:val="none"/>
          <w:lang w:val="en-US" w:eastAsia="zh-CN" w:bidi="ar-SA"/>
        </w:rPr>
        <w:t>2024年项目支出6348.17万元，占一般公共预算总支出的95.16%，占年度整体总支出的72.96%。按经济科目分类：商品和服务支出599.93万元、债务利息及费用支出3879.79万元、资本性支出1848.44万元、对企业补助20万元。按功能科目分类：一般公共服务支出1388.63万元、科学技术支出3626.38万元、农林水支出1333.16万元。</w:t>
      </w:r>
    </w:p>
    <w:p w14:paraId="56F7D6B3">
      <w:pPr>
        <w:widowControl/>
        <w:spacing w:line="520" w:lineRule="exact"/>
        <w:ind w:firstLine="643" w:firstLineChars="200"/>
        <w:jc w:val="left"/>
        <w:rPr>
          <w:rFonts w:hint="eastAsia" w:eastAsia="仿宋_GB2312"/>
          <w:sz w:val="32"/>
          <w:szCs w:val="32"/>
          <w:highlight w:val="none"/>
          <w:lang w:eastAsia="zh-CN"/>
        </w:rPr>
      </w:pPr>
      <w:r>
        <w:rPr>
          <w:rFonts w:hint="eastAsia" w:eastAsia="仿宋_GB2312"/>
          <w:b/>
          <w:bCs/>
          <w:sz w:val="32"/>
          <w:szCs w:val="32"/>
          <w:lang w:eastAsia="zh-CN"/>
        </w:rPr>
        <w:t>专</w:t>
      </w:r>
      <w:r>
        <w:rPr>
          <w:rFonts w:hint="eastAsia" w:eastAsia="仿宋_GB2312"/>
          <w:b/>
          <w:bCs/>
          <w:sz w:val="32"/>
          <w:szCs w:val="32"/>
          <w:highlight w:val="none"/>
          <w:lang w:eastAsia="zh-CN"/>
        </w:rPr>
        <w:t>项资金一为园区体制结算补助资金。</w:t>
      </w:r>
      <w:r>
        <w:rPr>
          <w:rFonts w:hint="eastAsia" w:ascii="Times New Roman" w:hAnsi="Times New Roman" w:eastAsia="仿宋_GB2312" w:cs="Times New Roman"/>
          <w:snapToGrid w:val="0"/>
          <w:color w:val="auto"/>
          <w:kern w:val="2"/>
          <w:sz w:val="32"/>
          <w:szCs w:val="32"/>
          <w:highlight w:val="none"/>
          <w:lang w:val="en-US" w:eastAsia="zh-CN" w:bidi="ar-SA"/>
        </w:rPr>
        <w:t>一般公共预算支出3273.16万元，占一般公共预算总支出的49.06%，占年度整体总支出的37.62%。按经济科目分类：商品和服务支出290.14万元、债务利息及费用支出1139.57万元、资本性支出1843.44万元。按功能科目分类为科学技术支出1940万元、农林水支出1333.16万元。</w:t>
      </w:r>
    </w:p>
    <w:p w14:paraId="0FB10EC9">
      <w:pPr>
        <w:widowControl/>
        <w:spacing w:line="520" w:lineRule="exact"/>
        <w:ind w:firstLine="643" w:firstLineChars="200"/>
        <w:jc w:val="left"/>
        <w:rPr>
          <w:rFonts w:hint="eastAsia" w:eastAsia="仿宋_GB2312"/>
          <w:sz w:val="32"/>
          <w:szCs w:val="32"/>
          <w:highlight w:val="none"/>
          <w:lang w:eastAsia="zh-CN"/>
        </w:rPr>
      </w:pPr>
      <w:r>
        <w:rPr>
          <w:rFonts w:hint="eastAsia" w:eastAsia="仿宋_GB2312"/>
          <w:b/>
          <w:bCs/>
          <w:sz w:val="32"/>
          <w:szCs w:val="32"/>
          <w:lang w:eastAsia="zh-CN"/>
        </w:rPr>
        <w:t>专项资金二为其他项目资金。</w:t>
      </w:r>
      <w:r>
        <w:rPr>
          <w:rFonts w:hint="eastAsia" w:ascii="Times New Roman" w:hAnsi="Times New Roman" w:eastAsia="仿宋_GB2312" w:cs="Times New Roman"/>
          <w:snapToGrid w:val="0"/>
          <w:color w:val="auto"/>
          <w:kern w:val="2"/>
          <w:sz w:val="32"/>
          <w:szCs w:val="32"/>
          <w:highlight w:val="none"/>
          <w:lang w:val="en-US" w:eastAsia="zh-CN" w:bidi="ar-SA"/>
        </w:rPr>
        <w:t>一般公共预算支出3075.01万元，占一般公共预算总支出的46.09%，占年度整体总支出的35.34%。按经济科目分类：商品和服务支出309.79万元、债务利息及费用支出2740.22万元、资本性支出5万元、对企业补助20万元。按功能科目分类为一般公共服务支出1388.63万元、科学技术支出1686.38万元。</w:t>
      </w:r>
    </w:p>
    <w:p w14:paraId="261F2714">
      <w:pPr>
        <w:pStyle w:val="7"/>
        <w:widowControl/>
        <w:numPr>
          <w:ilvl w:val="0"/>
          <w:numId w:val="1"/>
        </w:numPr>
        <w:spacing w:line="520" w:lineRule="exact"/>
        <w:ind w:left="0" w:leftChars="0" w:firstLine="640" w:firstLineChars="200"/>
        <w:jc w:val="left"/>
        <w:rPr>
          <w:rFonts w:ascii="Times New Roman" w:hAnsi="Times New Roman" w:eastAsia="黑体"/>
          <w:sz w:val="32"/>
          <w:szCs w:val="32"/>
        </w:rPr>
      </w:pPr>
      <w:r>
        <w:rPr>
          <w:rFonts w:ascii="Times New Roman" w:hAnsi="Times New Roman" w:eastAsia="黑体"/>
          <w:sz w:val="32"/>
          <w:szCs w:val="32"/>
        </w:rPr>
        <w:t>政府性基金预算支出情况</w:t>
      </w:r>
    </w:p>
    <w:p w14:paraId="31A68256">
      <w:pPr>
        <w:pStyle w:val="7"/>
        <w:widowControl/>
        <w:numPr>
          <w:ilvl w:val="0"/>
          <w:numId w:val="0"/>
        </w:numPr>
        <w:spacing w:line="520" w:lineRule="exact"/>
        <w:ind w:firstLine="640" w:firstLineChars="200"/>
        <w:jc w:val="left"/>
        <w:rPr>
          <w:rFonts w:hint="default" w:ascii="Times New Roman" w:hAnsi="Times New Roman" w:eastAsia="仿宋_GB2312" w:cs="Times New Roman"/>
          <w:snapToGrid w:val="0"/>
          <w:color w:val="auto"/>
          <w:kern w:val="2"/>
          <w:sz w:val="32"/>
          <w:szCs w:val="32"/>
          <w:highlight w:val="yellow"/>
          <w:lang w:val="en-US" w:eastAsia="zh-CN" w:bidi="ar-SA"/>
        </w:rPr>
      </w:pPr>
      <w:r>
        <w:rPr>
          <w:rFonts w:hint="eastAsia" w:ascii="Times New Roman" w:hAnsi="Times New Roman" w:eastAsia="仿宋_GB2312" w:cs="Times New Roman"/>
          <w:snapToGrid w:val="0"/>
          <w:color w:val="auto"/>
          <w:kern w:val="2"/>
          <w:sz w:val="32"/>
          <w:szCs w:val="32"/>
          <w:highlight w:val="none"/>
          <w:lang w:val="en-US" w:eastAsia="zh-CN" w:bidi="ar-SA"/>
        </w:rPr>
        <w:t>2024年政府性基金预算支出2030.03万元，均为项目支出，占年度整体总支出的23.33%。按经济科目分类：商品和服务支出257.82万元、债务利息及费用支出20万元、资本性支出971.93万元、对企业补助780.28万元。按功能科目分类：城乡社区支出2030.03万元。</w:t>
      </w:r>
    </w:p>
    <w:p w14:paraId="40A499C1">
      <w:pPr>
        <w:widowControl/>
        <w:spacing w:line="520" w:lineRule="exact"/>
        <w:ind w:firstLine="643" w:firstLineChars="200"/>
        <w:jc w:val="left"/>
        <w:rPr>
          <w:rFonts w:hint="eastAsia" w:eastAsia="仿宋_GB2312"/>
          <w:sz w:val="32"/>
          <w:szCs w:val="32"/>
          <w:highlight w:val="none"/>
          <w:lang w:eastAsia="zh-CN"/>
        </w:rPr>
      </w:pPr>
      <w:r>
        <w:rPr>
          <w:rFonts w:hint="eastAsia" w:eastAsia="仿宋_GB2312"/>
          <w:b/>
          <w:bCs/>
          <w:sz w:val="32"/>
          <w:szCs w:val="32"/>
          <w:lang w:eastAsia="zh-CN"/>
        </w:rPr>
        <w:t>专</w:t>
      </w:r>
      <w:r>
        <w:rPr>
          <w:rFonts w:hint="eastAsia" w:eastAsia="仿宋_GB2312"/>
          <w:b/>
          <w:bCs/>
          <w:sz w:val="32"/>
          <w:szCs w:val="32"/>
          <w:highlight w:val="none"/>
          <w:lang w:eastAsia="zh-CN"/>
        </w:rPr>
        <w:t>项资金一为园区体制结算补助资金。</w:t>
      </w:r>
      <w:r>
        <w:rPr>
          <w:rFonts w:hint="eastAsia" w:ascii="Times New Roman" w:hAnsi="Times New Roman" w:eastAsia="仿宋_GB2312" w:cs="Times New Roman"/>
          <w:snapToGrid w:val="0"/>
          <w:color w:val="auto"/>
          <w:kern w:val="2"/>
          <w:sz w:val="32"/>
          <w:szCs w:val="32"/>
          <w:highlight w:val="none"/>
          <w:lang w:val="en-US" w:eastAsia="zh-CN" w:bidi="ar-SA"/>
        </w:rPr>
        <w:t>政府性基金预算支出600万元，占政府性基金预算总支出的29.56%，占年度整体总支出的6.90%。按经济科目分类为资本性支出600万元。按功能科目分类为城乡社区支出600万元。</w:t>
      </w:r>
    </w:p>
    <w:p w14:paraId="5B626387">
      <w:pPr>
        <w:widowControl/>
        <w:spacing w:line="520" w:lineRule="exact"/>
        <w:ind w:firstLine="643" w:firstLineChars="200"/>
        <w:jc w:val="left"/>
        <w:rPr>
          <w:rFonts w:ascii="Times New Roman" w:hAnsi="Times New Roman" w:eastAsia="黑体"/>
          <w:sz w:val="32"/>
          <w:szCs w:val="32"/>
        </w:rPr>
      </w:pPr>
      <w:r>
        <w:rPr>
          <w:rFonts w:hint="eastAsia" w:eastAsia="仿宋_GB2312"/>
          <w:b/>
          <w:bCs/>
          <w:sz w:val="32"/>
          <w:szCs w:val="32"/>
          <w:lang w:eastAsia="zh-CN"/>
        </w:rPr>
        <w:t>专项资金二为其他项目资金。</w:t>
      </w:r>
      <w:r>
        <w:rPr>
          <w:rFonts w:hint="eastAsia" w:ascii="Times New Roman" w:hAnsi="Times New Roman" w:eastAsia="仿宋_GB2312" w:cs="Times New Roman"/>
          <w:snapToGrid w:val="0"/>
          <w:color w:val="auto"/>
          <w:kern w:val="2"/>
          <w:sz w:val="32"/>
          <w:szCs w:val="32"/>
          <w:highlight w:val="none"/>
          <w:lang w:val="en-US" w:eastAsia="zh-CN" w:bidi="ar-SA"/>
        </w:rPr>
        <w:t>政府性基金预算支出1430.03万元，占政府性基金预算总支出的70.44%，占年度整体总支出的16.43%。按经济科目分类：商品和服务支出257.82万元、债务利息及费用支出20万元、资本性支出371.93万元、对企业补助780.28万元。按功能科目分类为城乡社区支出1430.03万元。</w:t>
      </w:r>
    </w:p>
    <w:p w14:paraId="216101D4">
      <w:pPr>
        <w:pStyle w:val="7"/>
        <w:widowControl/>
        <w:numPr>
          <w:ilvl w:val="0"/>
          <w:numId w:val="1"/>
        </w:numPr>
        <w:spacing w:line="520" w:lineRule="exact"/>
        <w:ind w:left="0" w:leftChars="0" w:firstLine="640" w:firstLineChars="200"/>
        <w:jc w:val="left"/>
        <w:rPr>
          <w:rFonts w:hint="eastAsia" w:ascii="Times New Roman" w:hAnsi="Times New Roman" w:eastAsia="黑体"/>
          <w:sz w:val="32"/>
          <w:szCs w:val="32"/>
          <w:lang w:val="en-US" w:eastAsia="zh-CN"/>
        </w:rPr>
      </w:pPr>
      <w:r>
        <w:rPr>
          <w:rFonts w:hint="eastAsia" w:ascii="Times New Roman" w:hAnsi="Times New Roman" w:eastAsia="黑体"/>
          <w:sz w:val="32"/>
          <w:szCs w:val="32"/>
          <w:lang w:val="en-US" w:eastAsia="zh-CN"/>
        </w:rPr>
        <w:t>国有资本经营预算支出情况</w:t>
      </w:r>
    </w:p>
    <w:p w14:paraId="75B28919">
      <w:pPr>
        <w:pStyle w:val="7"/>
        <w:widowControl/>
        <w:numPr>
          <w:ilvl w:val="0"/>
          <w:numId w:val="0"/>
        </w:numPr>
        <w:spacing w:line="520" w:lineRule="exact"/>
        <w:ind w:firstLine="640" w:firstLineChars="200"/>
        <w:jc w:val="left"/>
        <w:rPr>
          <w:rFonts w:hint="default" w:ascii="Times New Roman" w:hAnsi="Times New Roman" w:eastAsia="仿宋_GB2312" w:cs="Times New Roman"/>
          <w:snapToGrid w:val="0"/>
          <w:color w:val="auto"/>
          <w:kern w:val="2"/>
          <w:sz w:val="32"/>
          <w:szCs w:val="32"/>
          <w:highlight w:val="none"/>
          <w:lang w:val="en-US" w:eastAsia="zh-CN" w:bidi="ar-SA"/>
        </w:rPr>
      </w:pPr>
      <w:r>
        <w:rPr>
          <w:rFonts w:hint="eastAsia" w:ascii="Times New Roman" w:hAnsi="Times New Roman" w:eastAsia="仿宋_GB2312" w:cs="Times New Roman"/>
          <w:snapToGrid w:val="0"/>
          <w:color w:val="auto"/>
          <w:kern w:val="2"/>
          <w:sz w:val="32"/>
          <w:szCs w:val="32"/>
          <w:highlight w:val="none"/>
          <w:lang w:val="en-US" w:eastAsia="zh-CN" w:bidi="ar-SA"/>
        </w:rPr>
        <w:t>2024年无国有资本经营预算支出。</w:t>
      </w:r>
    </w:p>
    <w:p w14:paraId="690EE68D">
      <w:pPr>
        <w:pStyle w:val="7"/>
        <w:widowControl/>
        <w:numPr>
          <w:ilvl w:val="0"/>
          <w:numId w:val="1"/>
        </w:numPr>
        <w:spacing w:line="520" w:lineRule="exact"/>
        <w:ind w:left="0" w:leftChars="0" w:firstLine="640" w:firstLineChars="200"/>
        <w:jc w:val="left"/>
        <w:rPr>
          <w:rFonts w:ascii="Times New Roman" w:hAnsi="Times New Roman" w:eastAsia="黑体"/>
          <w:sz w:val="32"/>
          <w:szCs w:val="32"/>
        </w:rPr>
      </w:pPr>
      <w:r>
        <w:rPr>
          <w:rFonts w:ascii="Times New Roman" w:hAnsi="Times New Roman" w:eastAsia="黑体"/>
          <w:sz w:val="32"/>
          <w:szCs w:val="32"/>
        </w:rPr>
        <w:t>社会保险基金预算支出情况</w:t>
      </w:r>
    </w:p>
    <w:p w14:paraId="6A8E6B21">
      <w:pPr>
        <w:pStyle w:val="7"/>
        <w:widowControl/>
        <w:numPr>
          <w:ilvl w:val="0"/>
          <w:numId w:val="0"/>
        </w:numPr>
        <w:spacing w:line="520" w:lineRule="exact"/>
        <w:ind w:firstLine="640" w:firstLineChars="200"/>
        <w:jc w:val="left"/>
        <w:rPr>
          <w:rFonts w:ascii="Times New Roman" w:hAnsi="Times New Roman" w:eastAsia="黑体"/>
          <w:sz w:val="32"/>
          <w:szCs w:val="32"/>
        </w:rPr>
      </w:pPr>
      <w:r>
        <w:rPr>
          <w:rFonts w:hint="eastAsia" w:ascii="Times New Roman" w:hAnsi="Times New Roman" w:eastAsia="仿宋_GB2312" w:cs="Times New Roman"/>
          <w:snapToGrid w:val="0"/>
          <w:color w:val="auto"/>
          <w:kern w:val="2"/>
          <w:sz w:val="32"/>
          <w:szCs w:val="32"/>
          <w:highlight w:val="none"/>
          <w:lang w:val="en-US" w:eastAsia="zh-CN" w:bidi="ar-SA"/>
        </w:rPr>
        <w:t>2024年无社会保险基金预算支出。</w:t>
      </w:r>
    </w:p>
    <w:p w14:paraId="7074D3E2">
      <w:pPr>
        <w:widowControl/>
        <w:spacing w:line="520" w:lineRule="exact"/>
        <w:ind w:firstLine="645"/>
        <w:jc w:val="left"/>
        <w:rPr>
          <w:rFonts w:eastAsia="黑体"/>
          <w:sz w:val="32"/>
          <w:szCs w:val="32"/>
          <w:highlight w:val="none"/>
        </w:rPr>
      </w:pPr>
      <w:r>
        <w:rPr>
          <w:rFonts w:hint="eastAsia" w:eastAsia="黑体"/>
          <w:sz w:val="32"/>
          <w:szCs w:val="32"/>
          <w:highlight w:val="none"/>
          <w:lang w:val="en-US" w:eastAsia="zh-CN"/>
        </w:rPr>
        <w:t>六</w:t>
      </w:r>
      <w:r>
        <w:rPr>
          <w:rFonts w:eastAsia="黑体"/>
          <w:sz w:val="32"/>
          <w:szCs w:val="32"/>
          <w:highlight w:val="none"/>
        </w:rPr>
        <w:t>、部门整体支出绩效情况</w:t>
      </w:r>
    </w:p>
    <w:p w14:paraId="4E8FBF54">
      <w:pPr>
        <w:widowControl/>
        <w:spacing w:line="520" w:lineRule="exact"/>
        <w:ind w:firstLine="645"/>
        <w:jc w:val="left"/>
        <w:rPr>
          <w:rFonts w:hint="default" w:ascii="Times New Roman" w:hAnsi="Times New Roman" w:eastAsia="方正仿宋_GB2312" w:cs="Times New Roman"/>
          <w:color w:val="000000" w:themeColor="text1"/>
          <w:kern w:val="2"/>
          <w:sz w:val="32"/>
          <w:szCs w:val="32"/>
          <w:lang w:val="en-US" w:eastAsia="zh-CN" w:bidi="ar-SA"/>
          <w14:textFill>
            <w14:solidFill>
              <w14:schemeClr w14:val="tx1"/>
            </w14:solidFill>
          </w14:textFill>
        </w:rPr>
      </w:pPr>
      <w:r>
        <w:rPr>
          <w:rFonts w:hint="eastAsia" w:ascii="楷体" w:hAnsi="楷体" w:eastAsia="楷体"/>
          <w:color w:val="auto"/>
          <w:sz w:val="32"/>
          <w:szCs w:val="32"/>
          <w:highlight w:val="none"/>
          <w:lang w:val="en-US" w:eastAsia="zh-CN"/>
        </w:rPr>
        <w:t>（一）</w:t>
      </w:r>
      <w:r>
        <w:rPr>
          <w:rFonts w:hint="default" w:ascii="楷体" w:hAnsi="楷体" w:eastAsia="楷体"/>
          <w:color w:val="auto"/>
          <w:sz w:val="32"/>
          <w:szCs w:val="32"/>
          <w:highlight w:val="none"/>
          <w:lang w:val="en-US" w:eastAsia="zh-CN"/>
        </w:rPr>
        <w:t>产业布局逐步优化。</w:t>
      </w:r>
      <w:r>
        <w:rPr>
          <w:rFonts w:hint="default" w:ascii="Times New Roman" w:hAnsi="Times New Roman" w:eastAsia="方正仿宋_GB2312" w:cs="Times New Roman"/>
          <w:color w:val="000000" w:themeColor="text1"/>
          <w:kern w:val="2"/>
          <w:sz w:val="32"/>
          <w:szCs w:val="32"/>
          <w:lang w:val="en-US" w:eastAsia="zh-CN" w:bidi="ar-SA"/>
          <w14:textFill>
            <w14:solidFill>
              <w14:schemeClr w14:val="tx1"/>
            </w14:solidFill>
          </w14:textFill>
        </w:rPr>
        <w:t>积极对接湖南省“4×4”和株洲市“3+3+2”现代化产业体系，以新材料产业为主链，全力打造数控刀具、钽铌材料、人造金刚石、先进储能材料等子链，建成全国最具影响力的钽铌生产基地和南方最大的人造金刚石生产基地。目前，园区聚集新材料企业53家，占工业企业的48%，新材料产业入选“省县域外贸特色产业集群”名单，市场竞争优势十分明显。</w:t>
      </w:r>
    </w:p>
    <w:p w14:paraId="3AA49AA3">
      <w:pPr>
        <w:widowControl/>
        <w:spacing w:line="520" w:lineRule="exact"/>
        <w:ind w:firstLine="645"/>
        <w:jc w:val="left"/>
        <w:rPr>
          <w:rFonts w:hint="default" w:ascii="Times New Roman" w:hAnsi="Times New Roman" w:eastAsia="方正仿宋_GB2312" w:cs="Times New Roman"/>
          <w:color w:val="000000" w:themeColor="text1"/>
          <w:kern w:val="2"/>
          <w:sz w:val="32"/>
          <w:szCs w:val="32"/>
          <w:lang w:val="en-US" w:eastAsia="zh-CN" w:bidi="ar-SA"/>
          <w14:textFill>
            <w14:solidFill>
              <w14:schemeClr w14:val="tx1"/>
            </w14:solidFill>
          </w14:textFill>
        </w:rPr>
      </w:pPr>
      <w:r>
        <w:rPr>
          <w:rFonts w:hint="eastAsia" w:ascii="Times New Roman" w:hAnsi="Times New Roman" w:eastAsia="方正仿宋_GB2312" w:cs="Times New Roman"/>
          <w:color w:val="000000" w:themeColor="text1"/>
          <w:kern w:val="2"/>
          <w:sz w:val="32"/>
          <w:szCs w:val="32"/>
          <w:lang w:val="en-US" w:eastAsia="zh-CN" w:bidi="ar-SA"/>
          <w14:textFill>
            <w14:solidFill>
              <w14:schemeClr w14:val="tx1"/>
            </w14:solidFill>
          </w14:textFill>
        </w:rPr>
        <w:t>（二）</w:t>
      </w:r>
      <w:r>
        <w:rPr>
          <w:rFonts w:hint="default" w:ascii="楷体" w:hAnsi="楷体" w:eastAsia="楷体"/>
          <w:color w:val="auto"/>
          <w:sz w:val="32"/>
          <w:szCs w:val="32"/>
          <w:highlight w:val="none"/>
          <w:lang w:val="en-US" w:eastAsia="zh-CN"/>
        </w:rPr>
        <w:t>招商引资稳步推进。</w:t>
      </w:r>
      <w:r>
        <w:rPr>
          <w:rFonts w:hint="default" w:ascii="Times New Roman" w:hAnsi="Times New Roman" w:eastAsia="方正仿宋_GB2312" w:cs="Times New Roman"/>
          <w:color w:val="000000" w:themeColor="text1"/>
          <w:kern w:val="2"/>
          <w:sz w:val="32"/>
          <w:szCs w:val="32"/>
          <w:lang w:val="en-US" w:eastAsia="zh-CN" w:bidi="ar-SA"/>
          <w14:textFill>
            <w14:solidFill>
              <w14:schemeClr w14:val="tx1"/>
            </w14:solidFill>
          </w14:textFill>
        </w:rPr>
        <w:t>围绕主导产业，大力开展产业链招商、以商招商、湘商回乡行动。县主要领导亲自带队赴河南柘城、陕西宝鸡等金刚石、钽铌产业集聚地开展精准招商10余次。截至目前，成功引进亿元以上项目15个，合同引资34.8亿元。其中，世界500强项目1家。同时，储备项目10个，积极向上争取资金，包装项目7个，其中专项债项目4个。</w:t>
      </w:r>
    </w:p>
    <w:p w14:paraId="7EA62896">
      <w:pPr>
        <w:widowControl/>
        <w:spacing w:line="520" w:lineRule="exact"/>
        <w:ind w:firstLine="645"/>
        <w:jc w:val="left"/>
        <w:rPr>
          <w:rFonts w:hint="default" w:ascii="Times New Roman" w:hAnsi="Times New Roman" w:eastAsia="方正仿宋_GB2312" w:cs="Times New Roman"/>
          <w:color w:val="000000" w:themeColor="text1"/>
          <w:kern w:val="2"/>
          <w:sz w:val="32"/>
          <w:szCs w:val="32"/>
          <w:lang w:val="en-US" w:eastAsia="zh-CN" w:bidi="ar-SA"/>
          <w14:textFill>
            <w14:solidFill>
              <w14:schemeClr w14:val="tx1"/>
            </w14:solidFill>
          </w14:textFill>
        </w:rPr>
      </w:pPr>
      <w:r>
        <w:rPr>
          <w:rFonts w:hint="eastAsia" w:ascii="楷体" w:hAnsi="楷体" w:eastAsia="楷体"/>
          <w:color w:val="auto"/>
          <w:sz w:val="32"/>
          <w:szCs w:val="32"/>
          <w:highlight w:val="none"/>
          <w:lang w:val="en-US" w:eastAsia="zh-CN"/>
        </w:rPr>
        <w:t>（三）</w:t>
      </w:r>
      <w:r>
        <w:rPr>
          <w:rFonts w:hint="default" w:ascii="楷体" w:hAnsi="楷体" w:eastAsia="楷体"/>
          <w:color w:val="auto"/>
          <w:sz w:val="32"/>
          <w:szCs w:val="32"/>
          <w:highlight w:val="none"/>
          <w:lang w:val="en-US" w:eastAsia="zh-CN"/>
        </w:rPr>
        <w:t>持续强化要素保障。</w:t>
      </w:r>
      <w:r>
        <w:rPr>
          <w:rFonts w:hint="default" w:ascii="Times New Roman" w:hAnsi="Times New Roman" w:eastAsia="方正仿宋_GB2312" w:cs="Times New Roman"/>
          <w:color w:val="000000" w:themeColor="text1"/>
          <w:kern w:val="2"/>
          <w:sz w:val="32"/>
          <w:szCs w:val="32"/>
          <w:lang w:val="en-US" w:eastAsia="zh-CN" w:bidi="ar-SA"/>
          <w14:textFill>
            <w14:solidFill>
              <w14:schemeClr w14:val="tx1"/>
            </w14:solidFill>
          </w14:textFill>
        </w:rPr>
        <w:t>积极盘活三类地，闲置土地、批而未供土地完成三年工作目标，排名全市前列；完成</w:t>
      </w:r>
      <w:r>
        <w:rPr>
          <w:rFonts w:hint="default" w:ascii="Times New Roman" w:hAnsi="Times New Roman" w:eastAsia="方正仿宋_GB2312" w:cs="Times New Roman"/>
          <w:color w:val="000000" w:themeColor="text1"/>
          <w:spacing w:val="6"/>
          <w:kern w:val="0"/>
          <w:sz w:val="32"/>
          <w:szCs w:val="32"/>
          <w:lang w:val="en-US" w:eastAsia="zh-CN" w:bidi="ar-SA"/>
          <w14:textFill>
            <w14:solidFill>
              <w14:schemeClr w14:val="tx1"/>
            </w14:solidFill>
          </w14:textFill>
        </w:rPr>
        <w:t>园区调区工作，土地资源结构进一步优化。</w:t>
      </w:r>
      <w:r>
        <w:rPr>
          <w:rFonts w:hint="default" w:ascii="Times New Roman" w:hAnsi="Times New Roman" w:eastAsia="方正仿宋_GB2312" w:cs="Times New Roman"/>
          <w:color w:val="000000" w:themeColor="text1"/>
          <w:kern w:val="2"/>
          <w:sz w:val="32"/>
          <w:szCs w:val="32"/>
          <w:lang w:val="en-US" w:eastAsia="zh-CN" w:bidi="ar-SA"/>
          <w14:textFill>
            <w14:solidFill>
              <w14:schemeClr w14:val="tx1"/>
            </w14:solidFill>
          </w14:textFill>
        </w:rPr>
        <w:t>全面开展“腾笼换鸟”行动，成功盘活僵尸企业2家，累计盘活僵尸企业16家，为企业节约资金超2亿元，</w:t>
      </w:r>
      <w:r>
        <w:rPr>
          <w:rFonts w:hint="default" w:ascii="Times New Roman" w:hAnsi="Times New Roman" w:eastAsia="方正仿宋_GB2312" w:cs="Times New Roman"/>
          <w:color w:val="000000" w:themeColor="text1"/>
          <w:spacing w:val="6"/>
          <w:kern w:val="0"/>
          <w:sz w:val="32"/>
          <w:szCs w:val="32"/>
          <w:lang w:val="en-US" w:eastAsia="zh-CN" w:bidi="ar-SA"/>
          <w14:textFill>
            <w14:solidFill>
              <w14:schemeClr w14:val="tx1"/>
            </w14:solidFill>
          </w14:textFill>
        </w:rPr>
        <w:t>2021年以来，亩均税收大幅提升。</w:t>
      </w:r>
      <w:r>
        <w:rPr>
          <w:rFonts w:hint="default" w:ascii="Times New Roman" w:hAnsi="Times New Roman" w:eastAsia="方正仿宋_GB2312" w:cs="Times New Roman"/>
          <w:color w:val="000000" w:themeColor="text1"/>
          <w:kern w:val="2"/>
          <w:sz w:val="32"/>
          <w:szCs w:val="32"/>
          <w:lang w:val="en-US" w:eastAsia="zh-CN" w:bidi="ar-SA"/>
          <w14:textFill>
            <w14:solidFill>
              <w14:schemeClr w14:val="tx1"/>
            </w14:solidFill>
          </w14:textFill>
        </w:rPr>
        <w:t>开通“政银企对接”绿色通道，组织银行入企走访40余次，为企业提供了3亿余元的贷款额度</w:t>
      </w:r>
      <w:r>
        <w:rPr>
          <w:rFonts w:hint="eastAsia" w:ascii="Times New Roman" w:hAnsi="Times New Roman" w:eastAsia="方正仿宋_GB2312" w:cs="Times New Roman"/>
          <w:color w:val="000000" w:themeColor="text1"/>
          <w:kern w:val="2"/>
          <w:sz w:val="32"/>
          <w:szCs w:val="32"/>
          <w:lang w:val="en-US" w:eastAsia="zh-CN" w:bidi="ar-SA"/>
          <w14:textFill>
            <w14:solidFill>
              <w14:schemeClr w14:val="tx1"/>
            </w14:solidFill>
          </w14:textFill>
        </w:rPr>
        <w:t>。</w:t>
      </w:r>
    </w:p>
    <w:p w14:paraId="40A07C61">
      <w:pPr>
        <w:pStyle w:val="7"/>
        <w:widowControl/>
        <w:spacing w:line="520" w:lineRule="exact"/>
        <w:ind w:left="640" w:firstLine="0" w:firstLineChars="0"/>
        <w:jc w:val="left"/>
        <w:rPr>
          <w:rFonts w:ascii="Times New Roman" w:hAnsi="Times New Roman" w:eastAsia="黑体"/>
          <w:sz w:val="32"/>
          <w:szCs w:val="32"/>
        </w:rPr>
      </w:pPr>
      <w:r>
        <w:rPr>
          <w:rFonts w:hint="eastAsia" w:ascii="Times New Roman" w:hAnsi="Times New Roman" w:eastAsia="黑体"/>
          <w:sz w:val="32"/>
          <w:szCs w:val="32"/>
          <w:lang w:val="en-US" w:eastAsia="zh-CN"/>
        </w:rPr>
        <w:t>七</w:t>
      </w:r>
      <w:r>
        <w:rPr>
          <w:rFonts w:hint="eastAsia" w:ascii="Times New Roman" w:hAnsi="Times New Roman" w:eastAsia="黑体"/>
          <w:sz w:val="32"/>
          <w:szCs w:val="32"/>
        </w:rPr>
        <w:t>、</w:t>
      </w:r>
      <w:r>
        <w:rPr>
          <w:rFonts w:ascii="Times New Roman" w:hAnsi="Times New Roman" w:eastAsia="黑体"/>
          <w:sz w:val="32"/>
          <w:szCs w:val="32"/>
        </w:rPr>
        <w:t>存在的问题及原因分析</w:t>
      </w:r>
    </w:p>
    <w:p w14:paraId="5F227A28">
      <w:pPr>
        <w:widowControl/>
        <w:spacing w:line="520" w:lineRule="exact"/>
        <w:ind w:firstLine="640" w:firstLineChars="200"/>
        <w:jc w:val="left"/>
        <w:rPr>
          <w:rFonts w:eastAsia="仿宋_GB2312"/>
          <w:sz w:val="32"/>
          <w:szCs w:val="32"/>
        </w:rPr>
      </w:pPr>
      <w:r>
        <w:rPr>
          <w:rFonts w:eastAsia="仿宋_GB2312"/>
          <w:sz w:val="32"/>
          <w:szCs w:val="32"/>
        </w:rPr>
        <w:t>主要反映各种</w:t>
      </w:r>
      <w:r>
        <w:rPr>
          <w:rFonts w:eastAsia="仿宋_GB2312"/>
          <w:color w:val="000000"/>
          <w:sz w:val="32"/>
          <w:szCs w:val="32"/>
        </w:rPr>
        <w:t>预算支出执行偏离绩效目标的情况，</w:t>
      </w:r>
      <w:r>
        <w:rPr>
          <w:rFonts w:eastAsia="仿宋_GB2312"/>
          <w:sz w:val="32"/>
          <w:szCs w:val="32"/>
        </w:rPr>
        <w:t>并分析其原因。</w:t>
      </w:r>
    </w:p>
    <w:p w14:paraId="455796B8">
      <w:pPr>
        <w:widowControl/>
        <w:spacing w:line="520" w:lineRule="exact"/>
        <w:ind w:firstLine="640" w:firstLineChars="200"/>
        <w:jc w:val="left"/>
        <w:rPr>
          <w:rFonts w:eastAsia="黑体"/>
          <w:sz w:val="32"/>
          <w:szCs w:val="32"/>
        </w:rPr>
      </w:pPr>
      <w:r>
        <w:rPr>
          <w:rFonts w:hint="eastAsia" w:eastAsia="黑体"/>
          <w:sz w:val="32"/>
          <w:szCs w:val="32"/>
          <w:lang w:val="en-US" w:eastAsia="zh-CN"/>
        </w:rPr>
        <w:t>八</w:t>
      </w:r>
      <w:r>
        <w:rPr>
          <w:rFonts w:eastAsia="黑体"/>
          <w:sz w:val="32"/>
          <w:szCs w:val="32"/>
        </w:rPr>
        <w:t>、下一步改进措施</w:t>
      </w:r>
    </w:p>
    <w:p w14:paraId="47BCC704">
      <w:pPr>
        <w:widowControl/>
        <w:spacing w:line="520" w:lineRule="exact"/>
        <w:ind w:firstLine="645"/>
        <w:jc w:val="left"/>
        <w:rPr>
          <w:rFonts w:eastAsia="黑体"/>
          <w:sz w:val="32"/>
          <w:szCs w:val="32"/>
        </w:rPr>
      </w:pPr>
      <w:r>
        <w:rPr>
          <w:rFonts w:hint="eastAsia" w:eastAsia="黑体"/>
          <w:sz w:val="32"/>
          <w:szCs w:val="32"/>
          <w:lang w:val="en-US" w:eastAsia="zh-CN"/>
        </w:rPr>
        <w:t>九</w:t>
      </w:r>
      <w:r>
        <w:rPr>
          <w:rFonts w:eastAsia="黑体"/>
          <w:sz w:val="32"/>
          <w:szCs w:val="32"/>
        </w:rPr>
        <w:t>、</w:t>
      </w:r>
      <w:r>
        <w:rPr>
          <w:rFonts w:hint="eastAsia" w:eastAsia="黑体"/>
          <w:sz w:val="32"/>
          <w:szCs w:val="32"/>
          <w:lang w:val="en-US" w:eastAsia="zh-CN"/>
        </w:rPr>
        <w:t>绩效自评结果及</w:t>
      </w:r>
      <w:r>
        <w:rPr>
          <w:rFonts w:eastAsia="黑体"/>
          <w:sz w:val="32"/>
          <w:szCs w:val="32"/>
        </w:rPr>
        <w:t>其他需要说明的情况</w:t>
      </w:r>
    </w:p>
    <w:p w14:paraId="48C275C6">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pPr>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00007A87" w:usb1="80000000" w:usb2="00000008" w:usb3="00000000" w:csb0="400001FF" w:csb1="FFFF0000"/>
  </w:font>
  <w:font w:name="宋体">
    <w:panose1 w:val="02010600030101010101"/>
    <w:charset w:val="50"/>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_GB2312">
    <w:panose1 w:val="02000000000000000000"/>
    <w:charset w:val="86"/>
    <w:family w:val="auto"/>
    <w:pitch w:val="default"/>
    <w:sig w:usb0="A00002BF" w:usb1="184F6CFA" w:usb2="00000012" w:usb3="00000000" w:csb0="00040001"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2AB514">
    <w:pPr>
      <w:spacing w:line="176" w:lineRule="auto"/>
      <w:ind w:left="4039"/>
      <w:rPr>
        <w:rFonts w:ascii="Times New Roman" w:hAnsi="Times New Roman" w:eastAsia="Times New Roman" w:cs="Times New Roman"/>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18E7EC"/>
    <w:multiLevelType w:val="singleLevel"/>
    <w:tmpl w:val="A418E7EC"/>
    <w:lvl w:ilvl="0" w:tentative="0">
      <w:start w:val="1"/>
      <w:numFmt w:val="chineseCounting"/>
      <w:suff w:val="nothing"/>
      <w:lvlText w:val="（%1）"/>
      <w:lvlJc w:val="left"/>
      <w:pPr>
        <w:ind w:left="-10"/>
      </w:pPr>
      <w:rPr>
        <w:rFonts w:hint="eastAsia"/>
      </w:rPr>
    </w:lvl>
  </w:abstractNum>
  <w:abstractNum w:abstractNumId="1">
    <w:nsid w:val="FDC310B5"/>
    <w:multiLevelType w:val="singleLevel"/>
    <w:tmpl w:val="FDC310B5"/>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wYjM2OWEwNDQ4ZmQ3Yzg4MmVhMWNlZTIyZTQ4MWMifQ=="/>
  </w:docVars>
  <w:rsids>
    <w:rsidRoot w:val="00000000"/>
    <w:rsid w:val="15BF56EC"/>
    <w:rsid w:val="1F22718A"/>
    <w:rsid w:val="2C8348D0"/>
    <w:rsid w:val="2E0961E0"/>
    <w:rsid w:val="33099D4C"/>
    <w:rsid w:val="35CB6416"/>
    <w:rsid w:val="4B4334AB"/>
    <w:rsid w:val="5403276E"/>
    <w:rsid w:val="54C57A37"/>
    <w:rsid w:val="674F5DD5"/>
    <w:rsid w:val="70AB01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2"/>
      <w:szCs w:val="32"/>
      <w:lang w:val="en-US" w:eastAsia="en-US" w:bidi="ar-SA"/>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footnote text"/>
    <w:basedOn w:val="1"/>
    <w:qFormat/>
    <w:uiPriority w:val="0"/>
    <w:pPr>
      <w:snapToGrid w:val="0"/>
      <w:jc w:val="left"/>
    </w:pPr>
    <w:rPr>
      <w:sz w:val="18"/>
      <w:szCs w:val="18"/>
    </w:rPr>
  </w:style>
  <w:style w:type="paragraph" w:styleId="7">
    <w:name w:val="List Paragraph"/>
    <w:basedOn w:val="1"/>
    <w:qFormat/>
    <w:uiPriority w:val="99"/>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1532</Words>
  <Characters>1838</Characters>
  <Lines>0</Lines>
  <Paragraphs>0</Paragraphs>
  <TotalTime>1</TotalTime>
  <ScaleCrop>false</ScaleCrop>
  <LinksUpToDate>false</LinksUpToDate>
  <CharactersWithSpaces>1870</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2024-08-12T10:40:00Z</dcterms:created>
  <dc:creator>mini4use</dc:creator>
  <cp:lastModifiedBy>三文鱼</cp:lastModifiedBy>
  <dcterms:modified xsi:type="dcterms:W3CDTF">2025-11-06T09:57:18Z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ICV">
    <vt:lpwstr>DEC29D6FF1984251977FAFE43F2C91AB_12</vt:lpwstr>
  </property>
  <property fmtid="{D5CDD505-2E9C-101B-9397-08002B2CF9AE}" pid="4" name="KSOTemplateDocerSaveRecord">
    <vt:lpwstr>eyJoZGlkIjoiOWUwODQwMzlkZjYzMzI5Y2RhMWFlNDVhZThkNDg5NGEiLCJ1c2VySWQiOiIyMTk0OTgxMzAifQ==</vt:lpwstr>
  </property>
</Properties>
</file>